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4731D" w14:textId="0EDBAEF1" w:rsidR="00B42781" w:rsidRDefault="00AE42BA" w:rsidP="00FB1CA7">
      <w:pPr>
        <w:rPr>
          <w:b/>
          <w:sz w:val="32"/>
        </w:rPr>
      </w:pPr>
      <w:r w:rsidRPr="00EF56BE">
        <w:rPr>
          <w:sz w:val="28"/>
        </w:rPr>
        <w:t xml:space="preserve">Science </w:t>
      </w:r>
      <w:r w:rsidR="00B42781">
        <w:rPr>
          <w:sz w:val="28"/>
        </w:rPr>
        <w:t>Beyond the</w:t>
      </w:r>
      <w:r w:rsidR="00B42781" w:rsidRPr="00EF56BE">
        <w:rPr>
          <w:sz w:val="28"/>
        </w:rPr>
        <w:t xml:space="preserve"> </w:t>
      </w:r>
      <w:r w:rsidR="00B42781">
        <w:rPr>
          <w:sz w:val="28"/>
        </w:rPr>
        <w:t>B</w:t>
      </w:r>
      <w:r w:rsidRPr="00EF56BE">
        <w:rPr>
          <w:sz w:val="28"/>
        </w:rPr>
        <w:t xml:space="preserve">oundaries </w:t>
      </w:r>
    </w:p>
    <w:p w14:paraId="4CAF7A64" w14:textId="56C2F23F" w:rsidR="00823F07" w:rsidRDefault="00F231AA" w:rsidP="00823F07">
      <w:pPr>
        <w:rPr>
          <w:b/>
          <w:sz w:val="32"/>
        </w:rPr>
      </w:pPr>
      <w:r>
        <w:rPr>
          <w:b/>
          <w:sz w:val="32"/>
        </w:rPr>
        <w:t>T</w:t>
      </w:r>
      <w:r w:rsidR="000432B3">
        <w:rPr>
          <w:b/>
          <w:sz w:val="32"/>
        </w:rPr>
        <w:t>he commercial exploration of space</w:t>
      </w:r>
      <w:r>
        <w:rPr>
          <w:b/>
          <w:sz w:val="32"/>
        </w:rPr>
        <w:t>: land base</w:t>
      </w:r>
      <w:r w:rsidRPr="00823C11">
        <w:rPr>
          <w:b/>
          <w:sz w:val="32"/>
        </w:rPr>
        <w:t xml:space="preserve"> </w:t>
      </w:r>
      <w:r>
        <w:rPr>
          <w:b/>
          <w:sz w:val="32"/>
        </w:rPr>
        <w:t>on Mars</w:t>
      </w:r>
    </w:p>
    <w:p w14:paraId="0CBE9105" w14:textId="02F727CC" w:rsidR="00AE42BA" w:rsidRDefault="00823F07" w:rsidP="00823F07">
      <w:r>
        <w:rPr>
          <w:b/>
          <w:sz w:val="32"/>
        </w:rPr>
        <w:t>Teacher notes</w:t>
      </w:r>
    </w:p>
    <w:p w14:paraId="01344108" w14:textId="77777777" w:rsidR="00823F07" w:rsidRDefault="00823F07" w:rsidP="00AE42BA"/>
    <w:p w14:paraId="5390D46C" w14:textId="0591CF97" w:rsidR="00DB381B" w:rsidRPr="00E6051E" w:rsidRDefault="00DB381B" w:rsidP="00AE42BA">
      <w:pPr>
        <w:rPr>
          <w:b/>
          <w:sz w:val="28"/>
        </w:rPr>
      </w:pPr>
      <w:r w:rsidRPr="00E6051E">
        <w:rPr>
          <w:b/>
          <w:sz w:val="28"/>
        </w:rPr>
        <w:t>Intended learning outcome</w:t>
      </w:r>
    </w:p>
    <w:p w14:paraId="788A9F87" w14:textId="77777777" w:rsidR="00943747" w:rsidRPr="002D5EFD" w:rsidRDefault="00943747" w:rsidP="002D5EFD">
      <w:pPr>
        <w:pStyle w:val="CommentText"/>
        <w:spacing w:line="259" w:lineRule="auto"/>
        <w:rPr>
          <w:rFonts w:cstheme="minorHAnsi"/>
          <w:b/>
          <w:i/>
          <w:sz w:val="24"/>
          <w:szCs w:val="22"/>
        </w:rPr>
      </w:pPr>
      <w:r w:rsidRPr="002D5EFD">
        <w:rPr>
          <w:rFonts w:cstheme="minorHAnsi"/>
          <w:color w:val="000000"/>
          <w:sz w:val="22"/>
        </w:rPr>
        <w:t>Students understand the risks, costs and potential benefits for different parties involved in a commercial exploration of space; and why decisions about scientific and engineering solutions need to take account of expert opinions from a range of other disciplines.</w:t>
      </w:r>
      <w:r w:rsidRPr="002D5EFD">
        <w:rPr>
          <w:rFonts w:cstheme="minorHAnsi"/>
          <w:b/>
          <w:i/>
          <w:sz w:val="24"/>
          <w:szCs w:val="22"/>
        </w:rPr>
        <w:t xml:space="preserve"> </w:t>
      </w:r>
    </w:p>
    <w:p w14:paraId="59A29516" w14:textId="1A45884D" w:rsidR="00F10A9D" w:rsidRPr="00E6051E" w:rsidRDefault="00F10A9D" w:rsidP="00591BBC">
      <w:pPr>
        <w:pStyle w:val="CommentText"/>
        <w:rPr>
          <w:b/>
          <w:i/>
          <w:sz w:val="22"/>
          <w:szCs w:val="22"/>
        </w:rPr>
      </w:pPr>
      <w:r w:rsidRPr="00E6051E">
        <w:rPr>
          <w:b/>
          <w:i/>
          <w:sz w:val="22"/>
          <w:szCs w:val="22"/>
        </w:rPr>
        <w:t>Commentary:</w:t>
      </w:r>
    </w:p>
    <w:p w14:paraId="4F886374" w14:textId="76F65A0D" w:rsidR="00A42FD3" w:rsidRDefault="00F0487B" w:rsidP="00A42FD3">
      <w:r>
        <w:t>Humans have been sending objects and people into space since the 1950s, mainly through government-funded space programmes</w:t>
      </w:r>
      <w:r w:rsidR="00A24B01">
        <w:t>.</w:t>
      </w:r>
      <w:r w:rsidR="004525A0">
        <w:t xml:space="preserve"> </w:t>
      </w:r>
      <w:r w:rsidR="00DF6EA9">
        <w:t>Over the last few decades, a strong</w:t>
      </w:r>
      <w:r w:rsidR="00A711FB">
        <w:t xml:space="preserve"> and rapidly growing </w:t>
      </w:r>
      <w:r w:rsidR="00DF6EA9">
        <w:t>c</w:t>
      </w:r>
      <w:r w:rsidR="00DF6EA9" w:rsidRPr="00DF6EA9">
        <w:t xml:space="preserve">ommercial </w:t>
      </w:r>
      <w:r w:rsidR="00A711FB">
        <w:t xml:space="preserve">space industry has </w:t>
      </w:r>
      <w:r w:rsidR="009A0E22">
        <w:t xml:space="preserve">been </w:t>
      </w:r>
      <w:r w:rsidR="00A711FB">
        <w:t>develop</w:t>
      </w:r>
      <w:r w:rsidR="009A0E22">
        <w:t>ing</w:t>
      </w:r>
      <w:r w:rsidR="00A711FB">
        <w:t>, particularly in the United States</w:t>
      </w:r>
      <w:r w:rsidR="00A42FD3">
        <w:t xml:space="preserve">. </w:t>
      </w:r>
      <w:r w:rsidR="00A42FD3">
        <w:rPr>
          <w:rFonts w:cstheme="minorHAnsi"/>
        </w:rPr>
        <w:t xml:space="preserve">This is being achieved, in part, through deliberate US government policy. NASA’s dominance in the sector is being used to develop forms of collaboration with new commercial actors that lowers </w:t>
      </w:r>
      <w:r w:rsidR="009A0E22">
        <w:rPr>
          <w:rFonts w:cstheme="minorHAnsi"/>
        </w:rPr>
        <w:t xml:space="preserve">the </w:t>
      </w:r>
      <w:r w:rsidR="00A42FD3">
        <w:rPr>
          <w:rFonts w:cstheme="minorHAnsi"/>
        </w:rPr>
        <w:t>barriers of entry into the industry, encourages innovation</w:t>
      </w:r>
      <w:r w:rsidR="00E63008">
        <w:rPr>
          <w:rFonts w:cstheme="minorHAnsi"/>
        </w:rPr>
        <w:t>,</w:t>
      </w:r>
      <w:r w:rsidR="00A42FD3">
        <w:rPr>
          <w:rFonts w:cstheme="minorHAnsi"/>
        </w:rPr>
        <w:t xml:space="preserve"> and creates investment opportunities for venture capitalists</w:t>
      </w:r>
      <w:r w:rsidR="009A0E22">
        <w:rPr>
          <w:rFonts w:cstheme="minorHAnsi"/>
        </w:rPr>
        <w:t xml:space="preserve"> and others</w:t>
      </w:r>
      <w:r w:rsidR="00A42FD3">
        <w:rPr>
          <w:rFonts w:cstheme="minorHAnsi"/>
        </w:rPr>
        <w:t xml:space="preserve">. </w:t>
      </w:r>
    </w:p>
    <w:p w14:paraId="0DDCDD69" w14:textId="6BB5471D" w:rsidR="00C21BA0" w:rsidRDefault="00A42FD3" w:rsidP="00A42FD3">
      <w:pPr>
        <w:rPr>
          <w:rFonts w:cstheme="minorHAnsi"/>
          <w:bCs/>
        </w:rPr>
      </w:pPr>
      <w:r w:rsidRPr="00921D72">
        <w:rPr>
          <w:rFonts w:cstheme="minorHAnsi"/>
        </w:rPr>
        <w:t xml:space="preserve">NASA </w:t>
      </w:r>
      <w:r w:rsidR="00C21BA0">
        <w:rPr>
          <w:rFonts w:cstheme="minorHAnsi"/>
        </w:rPr>
        <w:t xml:space="preserve">now focuses less on developing its own technology and products and </w:t>
      </w:r>
      <w:r w:rsidR="009A0E22">
        <w:rPr>
          <w:rFonts w:cstheme="minorHAnsi"/>
        </w:rPr>
        <w:t>more on contracting this work out. It</w:t>
      </w:r>
      <w:r w:rsidR="00C21BA0">
        <w:rPr>
          <w:rFonts w:cstheme="minorHAnsi"/>
        </w:rPr>
        <w:t xml:space="preserve"> often </w:t>
      </w:r>
      <w:r w:rsidRPr="00921D72">
        <w:rPr>
          <w:rFonts w:cstheme="minorHAnsi"/>
        </w:rPr>
        <w:t>posts innovation challenges online</w:t>
      </w:r>
      <w:r w:rsidR="00C21BA0">
        <w:rPr>
          <w:rFonts w:cstheme="minorHAnsi"/>
        </w:rPr>
        <w:t>,</w:t>
      </w:r>
      <w:r w:rsidRPr="00921D72">
        <w:rPr>
          <w:rFonts w:cstheme="minorHAnsi"/>
        </w:rPr>
        <w:t xml:space="preserve"> in open competitions</w:t>
      </w:r>
      <w:r w:rsidR="009A0E22">
        <w:rPr>
          <w:rFonts w:cstheme="minorHAnsi"/>
        </w:rPr>
        <w:t>,</w:t>
      </w:r>
      <w:r w:rsidR="00C21BA0">
        <w:rPr>
          <w:rFonts w:cstheme="minorHAnsi"/>
        </w:rPr>
        <w:t xml:space="preserve"> to encourage innovation</w:t>
      </w:r>
      <w:r>
        <w:rPr>
          <w:rFonts w:cstheme="minorHAnsi"/>
        </w:rPr>
        <w:t xml:space="preserve">. </w:t>
      </w:r>
      <w:r w:rsidR="00C21BA0">
        <w:rPr>
          <w:rFonts w:cstheme="minorHAnsi"/>
        </w:rPr>
        <w:t xml:space="preserve">It increasingly </w:t>
      </w:r>
      <w:proofErr w:type="gramStart"/>
      <w:r w:rsidR="00C21BA0">
        <w:rPr>
          <w:rFonts w:cstheme="minorHAnsi"/>
        </w:rPr>
        <w:t>enters into</w:t>
      </w:r>
      <w:proofErr w:type="gramEnd"/>
      <w:r w:rsidR="00C21BA0">
        <w:rPr>
          <w:rFonts w:cstheme="minorHAnsi"/>
        </w:rPr>
        <w:t xml:space="preserve"> </w:t>
      </w:r>
      <w:r w:rsidR="00C21BA0">
        <w:rPr>
          <w:rFonts w:cstheme="minorHAnsi"/>
          <w:bCs/>
        </w:rPr>
        <w:t>fixed price contracts with the successful entrants</w:t>
      </w:r>
      <w:r w:rsidR="009A0E22">
        <w:rPr>
          <w:rFonts w:cstheme="minorHAnsi"/>
          <w:bCs/>
        </w:rPr>
        <w:t>.</w:t>
      </w:r>
      <w:r w:rsidR="00C21BA0">
        <w:rPr>
          <w:rFonts w:cstheme="minorHAnsi"/>
          <w:bCs/>
        </w:rPr>
        <w:t xml:space="preserve"> These contracts </w:t>
      </w:r>
      <w:r w:rsidR="009A0E22">
        <w:rPr>
          <w:rFonts w:cstheme="minorHAnsi"/>
          <w:bCs/>
        </w:rPr>
        <w:t>give</w:t>
      </w:r>
      <w:r w:rsidR="00C21BA0">
        <w:rPr>
          <w:rFonts w:cstheme="minorHAnsi"/>
          <w:bCs/>
        </w:rPr>
        <w:t xml:space="preserve"> new companies </w:t>
      </w:r>
      <w:r w:rsidR="009A0E22">
        <w:rPr>
          <w:rFonts w:cstheme="minorHAnsi"/>
          <w:bCs/>
        </w:rPr>
        <w:t xml:space="preserve">security </w:t>
      </w:r>
      <w:r w:rsidR="00C21BA0">
        <w:rPr>
          <w:rFonts w:cstheme="minorHAnsi"/>
          <w:bCs/>
        </w:rPr>
        <w:t xml:space="preserve">to </w:t>
      </w:r>
      <w:r w:rsidR="009A0E22">
        <w:rPr>
          <w:rFonts w:cstheme="minorHAnsi"/>
          <w:bCs/>
        </w:rPr>
        <w:t>attract</w:t>
      </w:r>
      <w:r w:rsidR="00C21BA0">
        <w:rPr>
          <w:rFonts w:cstheme="minorHAnsi"/>
          <w:bCs/>
        </w:rPr>
        <w:t xml:space="preserve"> investment and encourage</w:t>
      </w:r>
      <w:r w:rsidR="009A0E22">
        <w:rPr>
          <w:rFonts w:cstheme="minorHAnsi"/>
          <w:bCs/>
        </w:rPr>
        <w:t>s them to improve</w:t>
      </w:r>
      <w:r w:rsidR="00C21BA0">
        <w:rPr>
          <w:rFonts w:cstheme="minorHAnsi"/>
          <w:bCs/>
        </w:rPr>
        <w:t xml:space="preserve"> efficiency </w:t>
      </w:r>
      <w:r w:rsidR="009A0E22">
        <w:rPr>
          <w:rFonts w:cstheme="minorHAnsi"/>
          <w:bCs/>
        </w:rPr>
        <w:t xml:space="preserve">and to find lower cost solutions </w:t>
      </w:r>
      <w:proofErr w:type="gramStart"/>
      <w:r w:rsidR="00C21BA0">
        <w:rPr>
          <w:rFonts w:cstheme="minorHAnsi"/>
          <w:bCs/>
        </w:rPr>
        <w:t>in order to</w:t>
      </w:r>
      <w:proofErr w:type="gramEnd"/>
      <w:r w:rsidR="00C21BA0">
        <w:rPr>
          <w:rFonts w:cstheme="minorHAnsi"/>
          <w:bCs/>
        </w:rPr>
        <w:t xml:space="preserve"> maximise profit.</w:t>
      </w:r>
    </w:p>
    <w:p w14:paraId="3E5C2664" w14:textId="371BFFE0" w:rsidR="00A42FD3" w:rsidRPr="00127859" w:rsidRDefault="00B25116" w:rsidP="00A42FD3">
      <w:pPr>
        <w:rPr>
          <w:rFonts w:cstheme="minorHAnsi"/>
        </w:rPr>
      </w:pPr>
      <w:r>
        <w:rPr>
          <w:rFonts w:cstheme="minorHAnsi"/>
          <w:bCs/>
        </w:rPr>
        <w:t xml:space="preserve">The </w:t>
      </w:r>
      <w:r w:rsidRPr="00F27534">
        <w:rPr>
          <w:rFonts w:cstheme="minorHAnsi"/>
          <w:bCs/>
          <w:i/>
        </w:rPr>
        <w:t>Mars Exploration Program</w:t>
      </w:r>
      <w:r w:rsidR="002B0914">
        <w:rPr>
          <w:rFonts w:cstheme="minorHAnsi"/>
          <w:bCs/>
        </w:rPr>
        <w:t xml:space="preserve"> is a long-term effort to explore the planet Mars</w:t>
      </w:r>
      <w:r w:rsidR="00514A50">
        <w:rPr>
          <w:rFonts w:cstheme="minorHAnsi"/>
          <w:bCs/>
        </w:rPr>
        <w:t xml:space="preserve"> that is</w:t>
      </w:r>
      <w:r w:rsidR="002B0914">
        <w:rPr>
          <w:rFonts w:cstheme="minorHAnsi"/>
          <w:bCs/>
        </w:rPr>
        <w:t xml:space="preserve"> funded and led by NASA. One a</w:t>
      </w:r>
      <w:r w:rsidR="00514A50">
        <w:rPr>
          <w:rFonts w:cstheme="minorHAnsi"/>
          <w:bCs/>
        </w:rPr>
        <w:t>im</w:t>
      </w:r>
      <w:r w:rsidR="002B0914">
        <w:rPr>
          <w:rFonts w:cstheme="minorHAnsi"/>
          <w:bCs/>
        </w:rPr>
        <w:t xml:space="preserve"> of the programme is to prepare for the human exploration of Mars. Already a range of companies are developing technology and products that </w:t>
      </w:r>
      <w:r w:rsidR="00CC7E26">
        <w:rPr>
          <w:rFonts w:cstheme="minorHAnsi"/>
          <w:bCs/>
        </w:rPr>
        <w:t>could</w:t>
      </w:r>
      <w:r w:rsidR="002B0914">
        <w:rPr>
          <w:rFonts w:cstheme="minorHAnsi"/>
          <w:bCs/>
        </w:rPr>
        <w:t xml:space="preserve"> make such a venture possible. Amongst these are some working on ideas for an orbiting space base </w:t>
      </w:r>
      <w:r w:rsidR="00514A50">
        <w:rPr>
          <w:rFonts w:cstheme="minorHAnsi"/>
          <w:bCs/>
        </w:rPr>
        <w:t xml:space="preserve">around Mars </w:t>
      </w:r>
      <w:r w:rsidR="002B0914">
        <w:rPr>
          <w:rFonts w:cstheme="minorHAnsi"/>
          <w:bCs/>
        </w:rPr>
        <w:t xml:space="preserve">and </w:t>
      </w:r>
      <w:r w:rsidR="00CC7E26">
        <w:rPr>
          <w:rFonts w:cstheme="minorHAnsi"/>
          <w:bCs/>
        </w:rPr>
        <w:t xml:space="preserve">others on ideas </w:t>
      </w:r>
      <w:r w:rsidR="002B0914" w:rsidRPr="00127859">
        <w:rPr>
          <w:rFonts w:cstheme="minorHAnsi"/>
          <w:bCs/>
        </w:rPr>
        <w:t>for a</w:t>
      </w:r>
      <w:r w:rsidR="00CC7E26" w:rsidRPr="00127859">
        <w:rPr>
          <w:rFonts w:cstheme="minorHAnsi"/>
          <w:bCs/>
        </w:rPr>
        <w:t xml:space="preserve"> small settlement </w:t>
      </w:r>
      <w:r w:rsidR="002B0914" w:rsidRPr="00127859">
        <w:rPr>
          <w:rFonts w:cstheme="minorHAnsi"/>
          <w:bCs/>
        </w:rPr>
        <w:t xml:space="preserve">on the </w:t>
      </w:r>
      <w:r w:rsidR="00514A50">
        <w:rPr>
          <w:rFonts w:cstheme="minorHAnsi"/>
          <w:bCs/>
        </w:rPr>
        <w:t xml:space="preserve">Martian </w:t>
      </w:r>
      <w:r w:rsidR="002B0914" w:rsidRPr="00127859">
        <w:rPr>
          <w:rFonts w:cstheme="minorHAnsi"/>
          <w:bCs/>
        </w:rPr>
        <w:t>surface</w:t>
      </w:r>
      <w:r w:rsidR="00CC7E26" w:rsidRPr="00127859">
        <w:rPr>
          <w:rFonts w:cstheme="minorHAnsi"/>
          <w:bCs/>
        </w:rPr>
        <w:t>.</w:t>
      </w:r>
    </w:p>
    <w:p w14:paraId="79BC22CE" w14:textId="0E655436" w:rsidR="00EE0485" w:rsidRPr="00EE0485" w:rsidRDefault="00127859">
      <w:r>
        <w:t xml:space="preserve">Much thought needs to be put into how humans can live and work </w:t>
      </w:r>
      <w:r w:rsidR="009E0977">
        <w:t xml:space="preserve">for long periods </w:t>
      </w:r>
      <w:r>
        <w:t>in isolated environments in space. The journey each way to Mars is likely to take between six and eight months and the occupants of</w:t>
      </w:r>
      <w:r w:rsidR="009E0977">
        <w:t xml:space="preserve"> a</w:t>
      </w:r>
      <w:r>
        <w:t xml:space="preserve"> space craft </w:t>
      </w:r>
      <w:r w:rsidR="009E0977">
        <w:t xml:space="preserve">making that journey </w:t>
      </w:r>
      <w:r>
        <w:t xml:space="preserve">would be together for </w:t>
      </w:r>
      <w:proofErr w:type="gramStart"/>
      <w:r>
        <w:t xml:space="preserve">all </w:t>
      </w:r>
      <w:r w:rsidR="00EE0485">
        <w:t>of</w:t>
      </w:r>
      <w:proofErr w:type="gramEnd"/>
      <w:r w:rsidR="00EE0485">
        <w:t xml:space="preserve"> </w:t>
      </w:r>
      <w:r>
        <w:t xml:space="preserve">that time </w:t>
      </w:r>
      <w:r w:rsidR="009E0977">
        <w:t xml:space="preserve">and have </w:t>
      </w:r>
      <w:r>
        <w:t xml:space="preserve">no form of escape from each </w:t>
      </w:r>
      <w:r w:rsidRPr="00EE0485">
        <w:t xml:space="preserve">other. </w:t>
      </w:r>
      <w:r w:rsidR="00EE0485" w:rsidRPr="00EE0485">
        <w:t>An orbiting space station or base on Mars would be little different.</w:t>
      </w:r>
    </w:p>
    <w:p w14:paraId="45FCE7EB" w14:textId="3233694D" w:rsidR="00E6051E" w:rsidRPr="00EE0485" w:rsidRDefault="00EE0485">
      <w:r w:rsidRPr="00EE0485">
        <w:t xml:space="preserve">Scientists </w:t>
      </w:r>
      <w:r>
        <w:t xml:space="preserve">and engineers </w:t>
      </w:r>
      <w:r w:rsidR="009E0977">
        <w:t>are</w:t>
      </w:r>
      <w:r>
        <w:t xml:space="preserve"> develop</w:t>
      </w:r>
      <w:r w:rsidR="009E0977">
        <w:t>ing</w:t>
      </w:r>
      <w:r>
        <w:t xml:space="preserve"> technology and equipment to overcome the technical challenges involved, but the solutions they find </w:t>
      </w:r>
      <w:r w:rsidR="009E0977">
        <w:t xml:space="preserve">will </w:t>
      </w:r>
      <w:r>
        <w:t xml:space="preserve">need to satisfy not only the physical needs of humans, but also their social, </w:t>
      </w:r>
      <w:proofErr w:type="gramStart"/>
      <w:r>
        <w:t>behavioural</w:t>
      </w:r>
      <w:proofErr w:type="gramEnd"/>
      <w:r>
        <w:t xml:space="preserve"> and psychological needs. Some ways of engineering space environments c</w:t>
      </w:r>
      <w:r w:rsidR="009E0977">
        <w:t>ould potentially</w:t>
      </w:r>
      <w:r>
        <w:t xml:space="preserve"> exacerbate difficulties in these areas and other strategies c</w:t>
      </w:r>
      <w:r w:rsidR="009E0977">
        <w:t>ould mitigate or</w:t>
      </w:r>
      <w:r>
        <w:t xml:space="preserve"> alleviate them. The best designs for space environments</w:t>
      </w:r>
      <w:r w:rsidR="009E0977">
        <w:t>, in which humans can live and thrive,</w:t>
      </w:r>
      <w:r>
        <w:t xml:space="preserve"> </w:t>
      </w:r>
      <w:r w:rsidR="009E0977">
        <w:t>are most likely to</w:t>
      </w:r>
      <w:r>
        <w:t xml:space="preserve"> be developed by a wide range of scientists</w:t>
      </w:r>
      <w:r w:rsidR="009E0977">
        <w:t xml:space="preserve"> and</w:t>
      </w:r>
      <w:r>
        <w:t xml:space="preserve"> engineers </w:t>
      </w:r>
      <w:r w:rsidR="009E0977">
        <w:t>together with</w:t>
      </w:r>
      <w:r>
        <w:t xml:space="preserve"> experts in </w:t>
      </w:r>
      <w:r w:rsidR="009E0977">
        <w:t xml:space="preserve">other </w:t>
      </w:r>
      <w:r>
        <w:t>fields</w:t>
      </w:r>
      <w:r w:rsidR="009E0977">
        <w:t>.</w:t>
      </w:r>
      <w:r w:rsidR="00E6051E" w:rsidRPr="00EE0485">
        <w:br w:type="page"/>
      </w:r>
    </w:p>
    <w:p w14:paraId="34B3A7AE" w14:textId="7B389D71" w:rsidR="00B42781" w:rsidRPr="00E6051E" w:rsidRDefault="00B42781" w:rsidP="00B42781">
      <w:pPr>
        <w:rPr>
          <w:b/>
          <w:sz w:val="28"/>
        </w:rPr>
      </w:pPr>
      <w:r w:rsidRPr="00E6051E">
        <w:rPr>
          <w:b/>
          <w:sz w:val="28"/>
        </w:rPr>
        <w:lastRenderedPageBreak/>
        <w:t>Outline of teaching unit</w:t>
      </w:r>
    </w:p>
    <w:p w14:paraId="41F136F0" w14:textId="02E41472" w:rsidR="00BB2F53" w:rsidRDefault="008927CF" w:rsidP="00B42781">
      <w:r>
        <w:t xml:space="preserve">For this unit, students start off working individually to design a </w:t>
      </w:r>
      <w:r w:rsidR="007F165E">
        <w:t xml:space="preserve">land base on </w:t>
      </w:r>
      <w:r>
        <w:t xml:space="preserve">Mars that would support an exploratory community on the </w:t>
      </w:r>
      <w:r w:rsidR="00660225">
        <w:t xml:space="preserve">surface of the </w:t>
      </w:r>
      <w:r>
        <w:t xml:space="preserve">planet. </w:t>
      </w:r>
      <w:r w:rsidR="00BB2F53">
        <w:t>One</w:t>
      </w:r>
      <w:r>
        <w:t xml:space="preserve"> design is chosen, </w:t>
      </w:r>
      <w:r w:rsidR="00BB2F53">
        <w:t xml:space="preserve">which is </w:t>
      </w:r>
      <w:r>
        <w:t xml:space="preserve">perhaps modified </w:t>
      </w:r>
      <w:r w:rsidR="00BB2F53">
        <w:t xml:space="preserve">using ideas from </w:t>
      </w:r>
      <w:r>
        <w:t>others, and aspects of th</w:t>
      </w:r>
      <w:r w:rsidR="00BB2F53">
        <w:t>e</w:t>
      </w:r>
      <w:r>
        <w:t xml:space="preserve"> design are ‘put out to tender’ to groups within the class</w:t>
      </w:r>
      <w:r w:rsidR="007F165E">
        <w:t xml:space="preserve"> with an ‘expert’ group developing a proposal for each aspect</w:t>
      </w:r>
      <w:r>
        <w:t xml:space="preserve">. </w:t>
      </w:r>
    </w:p>
    <w:p w14:paraId="0D792927" w14:textId="455BA4E0" w:rsidR="000C3D52" w:rsidRDefault="008927CF" w:rsidP="00B42781">
      <w:r>
        <w:t xml:space="preserve">The proposals </w:t>
      </w:r>
      <w:r w:rsidR="00E77F08">
        <w:t xml:space="preserve">are worked up by each group and </w:t>
      </w:r>
      <w:r w:rsidR="00BB2F53">
        <w:t xml:space="preserve">are presented to the class who </w:t>
      </w:r>
      <w:r w:rsidR="00E77F08">
        <w:t xml:space="preserve">question and </w:t>
      </w:r>
      <w:r w:rsidR="00BB2F53">
        <w:t>evaluate each one against the original specifications.</w:t>
      </w:r>
    </w:p>
    <w:p w14:paraId="48FAF687" w14:textId="698E7575" w:rsidR="00BB2F53" w:rsidRDefault="00BB2F53" w:rsidP="00B42781">
      <w:r>
        <w:t>This process models the practice of the USA government, working through NASA, to support the development of a thriving space sector in the United States.</w:t>
      </w:r>
    </w:p>
    <w:p w14:paraId="586CE26A" w14:textId="523319FF" w:rsidR="00B42781" w:rsidRPr="00CD0B45" w:rsidRDefault="00B42781" w:rsidP="00B42781">
      <w:r>
        <w:rPr>
          <w:b/>
        </w:rPr>
        <w:t xml:space="preserve">Bold sections are </w:t>
      </w:r>
      <w:r w:rsidR="00AF52E1">
        <w:rPr>
          <w:b/>
        </w:rPr>
        <w:t>classroom-based</w:t>
      </w:r>
      <w:r>
        <w:rPr>
          <w:b/>
        </w:rPr>
        <w:t xml:space="preserve"> activities, </w:t>
      </w:r>
      <w:r w:rsidRPr="0055445E">
        <w:t>those not in bold can be completed either in or out of the classroom.</w:t>
      </w:r>
      <w:r w:rsidR="0015690D">
        <w:t xml:space="preserve"> </w:t>
      </w:r>
    </w:p>
    <w:p w14:paraId="0C9EA6F2" w14:textId="7C2C64A7" w:rsidR="0015690D" w:rsidRDefault="00DB381B" w:rsidP="0015690D">
      <w:pPr>
        <w:ind w:left="426" w:hanging="426"/>
        <w:rPr>
          <w:b/>
        </w:rPr>
      </w:pPr>
      <w:r>
        <w:rPr>
          <w:b/>
        </w:rPr>
        <w:t xml:space="preserve">Phase </w:t>
      </w:r>
      <w:r w:rsidR="00B42781" w:rsidRPr="0055445E">
        <w:rPr>
          <w:b/>
        </w:rPr>
        <w:t xml:space="preserve">1. </w:t>
      </w:r>
    </w:p>
    <w:p w14:paraId="1C04DD93" w14:textId="05076838" w:rsidR="00F50022" w:rsidRDefault="00450452" w:rsidP="00F50022">
      <w:pPr>
        <w:ind w:left="426"/>
        <w:rPr>
          <w:b/>
        </w:rPr>
      </w:pPr>
      <w:r>
        <w:rPr>
          <w:b/>
        </w:rPr>
        <w:t xml:space="preserve">Introduce tasks for phase 2: </w:t>
      </w:r>
      <w:r w:rsidR="0072496E">
        <w:rPr>
          <w:b/>
        </w:rPr>
        <w:t xml:space="preserve">A competition is launched for the design of a </w:t>
      </w:r>
      <w:r w:rsidR="000D69CB">
        <w:rPr>
          <w:b/>
        </w:rPr>
        <w:t xml:space="preserve">land base on </w:t>
      </w:r>
      <w:r w:rsidR="0072496E">
        <w:rPr>
          <w:b/>
        </w:rPr>
        <w:t>Mars</w:t>
      </w:r>
      <w:r w:rsidR="000D69CB">
        <w:rPr>
          <w:b/>
        </w:rPr>
        <w:t xml:space="preserve"> </w:t>
      </w:r>
      <w:r w:rsidR="0072496E">
        <w:rPr>
          <w:b/>
        </w:rPr>
        <w:t xml:space="preserve">to support an exploratory community on the planet. Students will </w:t>
      </w:r>
      <w:r>
        <w:rPr>
          <w:b/>
        </w:rPr>
        <w:t xml:space="preserve">be asked to </w:t>
      </w:r>
      <w:r w:rsidR="0072496E">
        <w:rPr>
          <w:b/>
        </w:rPr>
        <w:t xml:space="preserve">individually design a Mars base, using whichever format they wish to, </w:t>
      </w:r>
      <w:r>
        <w:rPr>
          <w:b/>
        </w:rPr>
        <w:t>that will be ready to</w:t>
      </w:r>
      <w:r w:rsidR="0072496E">
        <w:rPr>
          <w:b/>
        </w:rPr>
        <w:t xml:space="preserve"> be judged during phase 3 of this unit.</w:t>
      </w:r>
    </w:p>
    <w:p w14:paraId="25980E67" w14:textId="10EF6A3F" w:rsidR="0072496E" w:rsidRDefault="00450452" w:rsidP="00F50022">
      <w:pPr>
        <w:ind w:left="426"/>
        <w:rPr>
          <w:b/>
        </w:rPr>
      </w:pPr>
      <w:r>
        <w:rPr>
          <w:b/>
        </w:rPr>
        <w:t>To prepare students for the competition, they complete several activities that explore some different considerations that they will need to think about for the design of their base.</w:t>
      </w:r>
    </w:p>
    <w:p w14:paraId="2E39DCE7" w14:textId="4BCBB20D" w:rsidR="00071C62" w:rsidRDefault="00DB381B" w:rsidP="000C3D52">
      <w:pPr>
        <w:ind w:left="426" w:hanging="426"/>
      </w:pPr>
      <w:r>
        <w:t xml:space="preserve">Phase </w:t>
      </w:r>
      <w:r w:rsidR="00B42781">
        <w:t xml:space="preserve">2. </w:t>
      </w:r>
    </w:p>
    <w:p w14:paraId="72244AD4" w14:textId="66458197" w:rsidR="00D955BA" w:rsidRDefault="00450452" w:rsidP="00D955BA">
      <w:pPr>
        <w:ind w:left="426" w:hanging="426"/>
      </w:pPr>
      <w:r>
        <w:tab/>
      </w:r>
      <w:r w:rsidR="00BA1D59">
        <w:t>Students each create their own design for a Mars base ready to present to others. This can be in whatever form they wish. It c</w:t>
      </w:r>
      <w:r w:rsidR="00213C66">
        <w:t>ould</w:t>
      </w:r>
      <w:r w:rsidR="00BA1D59">
        <w:t xml:space="preserve"> </w:t>
      </w:r>
      <w:proofErr w:type="gramStart"/>
      <w:r w:rsidR="00BA1D59">
        <w:t>be:</w:t>
      </w:r>
      <w:proofErr w:type="gramEnd"/>
      <w:r w:rsidR="00BA1D59">
        <w:t xml:space="preserve"> a written description; a labelled picture or diagram; a computer model; a physical model; or an animation.</w:t>
      </w:r>
      <w:r w:rsidR="00D955BA">
        <w:t xml:space="preserve"> In their design, students should </w:t>
      </w:r>
      <w:r w:rsidR="00213C66">
        <w:t xml:space="preserve">show how each of the different needs identified in phase 1 can be met. </w:t>
      </w:r>
    </w:p>
    <w:p w14:paraId="180CED48" w14:textId="12CDD438" w:rsidR="00733A87" w:rsidRDefault="00DB381B" w:rsidP="000C3D52">
      <w:pPr>
        <w:ind w:left="426" w:hanging="426"/>
        <w:rPr>
          <w:b/>
        </w:rPr>
      </w:pPr>
      <w:r>
        <w:rPr>
          <w:b/>
        </w:rPr>
        <w:t xml:space="preserve">Phase </w:t>
      </w:r>
      <w:r w:rsidR="00B42781" w:rsidRPr="0055445E">
        <w:rPr>
          <w:b/>
        </w:rPr>
        <w:t xml:space="preserve">3. </w:t>
      </w:r>
    </w:p>
    <w:p w14:paraId="76707346" w14:textId="14930884" w:rsidR="00D955BA" w:rsidRDefault="00234162" w:rsidP="000C3D52">
      <w:pPr>
        <w:ind w:left="426" w:hanging="426"/>
        <w:rPr>
          <w:b/>
        </w:rPr>
      </w:pPr>
      <w:r>
        <w:rPr>
          <w:b/>
        </w:rPr>
        <w:tab/>
      </w:r>
      <w:r w:rsidR="00D955BA">
        <w:rPr>
          <w:b/>
        </w:rPr>
        <w:t>In</w:t>
      </w:r>
      <w:r w:rsidR="00B253B8">
        <w:rPr>
          <w:b/>
        </w:rPr>
        <w:t xml:space="preserve"> groups of about five</w:t>
      </w:r>
      <w:r w:rsidR="00D955BA">
        <w:rPr>
          <w:b/>
        </w:rPr>
        <w:t>,</w:t>
      </w:r>
      <w:r w:rsidR="00B253B8">
        <w:rPr>
          <w:b/>
        </w:rPr>
        <w:t xml:space="preserve"> </w:t>
      </w:r>
      <w:r w:rsidR="00D955BA">
        <w:rPr>
          <w:b/>
        </w:rPr>
        <w:t>students</w:t>
      </w:r>
      <w:r w:rsidR="00B253B8">
        <w:rPr>
          <w:b/>
        </w:rPr>
        <w:t xml:space="preserve"> each present their design </w:t>
      </w:r>
      <w:r w:rsidR="00D955BA">
        <w:rPr>
          <w:b/>
        </w:rPr>
        <w:t>and the best one in each group is selected</w:t>
      </w:r>
      <w:r w:rsidR="00B253B8">
        <w:rPr>
          <w:b/>
        </w:rPr>
        <w:t xml:space="preserve">. </w:t>
      </w:r>
      <w:r w:rsidR="00D955BA">
        <w:rPr>
          <w:b/>
        </w:rPr>
        <w:t>The winning design from each group is presented to the class and the class select the best of these, which is the one they will all work on for the rest of this unit.</w:t>
      </w:r>
    </w:p>
    <w:p w14:paraId="6C658E3A" w14:textId="4B9FE9B6" w:rsidR="00127D57" w:rsidRPr="00127D57" w:rsidRDefault="00127D57" w:rsidP="00127D57">
      <w:pPr>
        <w:ind w:left="426"/>
        <w:rPr>
          <w:b/>
        </w:rPr>
      </w:pPr>
      <w:r>
        <w:rPr>
          <w:b/>
        </w:rPr>
        <w:t>The</w:t>
      </w:r>
      <w:r w:rsidR="001B1F42">
        <w:rPr>
          <w:b/>
        </w:rPr>
        <w:t xml:space="preserve"> students </w:t>
      </w:r>
      <w:r>
        <w:rPr>
          <w:b/>
        </w:rPr>
        <w:t>are now reformed into ‘expert’ groups and each group is</w:t>
      </w:r>
      <w:r w:rsidR="001B1F42">
        <w:rPr>
          <w:b/>
        </w:rPr>
        <w:t xml:space="preserve"> asked to develop a commercial proposal to develop one aspect of the space </w:t>
      </w:r>
      <w:r w:rsidR="00740F08">
        <w:rPr>
          <w:b/>
        </w:rPr>
        <w:t>settlement</w:t>
      </w:r>
      <w:r>
        <w:rPr>
          <w:b/>
        </w:rPr>
        <w:t xml:space="preserve">:  </w:t>
      </w:r>
    </w:p>
    <w:p w14:paraId="47A48862" w14:textId="72319D59" w:rsidR="006A6AB4" w:rsidRDefault="006A6AB4" w:rsidP="006A6AB4">
      <w:pPr>
        <w:pStyle w:val="ListParagraph"/>
        <w:numPr>
          <w:ilvl w:val="0"/>
          <w:numId w:val="16"/>
        </w:numPr>
        <w:rPr>
          <w:b/>
        </w:rPr>
      </w:pPr>
      <w:r>
        <w:rPr>
          <w:b/>
        </w:rPr>
        <w:t>Food production</w:t>
      </w:r>
      <w:r w:rsidR="00127D57">
        <w:rPr>
          <w:b/>
        </w:rPr>
        <w:t xml:space="preserve"> (biology)</w:t>
      </w:r>
    </w:p>
    <w:p w14:paraId="793555D8" w14:textId="47D2C4C6" w:rsidR="006A6AB4" w:rsidRDefault="006A6AB4" w:rsidP="006A6AB4">
      <w:pPr>
        <w:pStyle w:val="ListParagraph"/>
        <w:numPr>
          <w:ilvl w:val="0"/>
          <w:numId w:val="16"/>
        </w:numPr>
        <w:rPr>
          <w:b/>
        </w:rPr>
      </w:pPr>
      <w:r>
        <w:rPr>
          <w:b/>
        </w:rPr>
        <w:t>Power generation</w:t>
      </w:r>
      <w:r w:rsidR="00127D57">
        <w:rPr>
          <w:b/>
        </w:rPr>
        <w:t xml:space="preserve"> (physics)</w:t>
      </w:r>
    </w:p>
    <w:p w14:paraId="649942A2" w14:textId="0F1A4965" w:rsidR="006A6AB4" w:rsidRDefault="006A6AB4" w:rsidP="006A6AB4">
      <w:pPr>
        <w:pStyle w:val="ListParagraph"/>
        <w:numPr>
          <w:ilvl w:val="0"/>
          <w:numId w:val="16"/>
        </w:numPr>
        <w:rPr>
          <w:b/>
        </w:rPr>
      </w:pPr>
      <w:r>
        <w:rPr>
          <w:b/>
        </w:rPr>
        <w:t>Oxygen generation</w:t>
      </w:r>
      <w:r w:rsidR="00127D57">
        <w:rPr>
          <w:b/>
        </w:rPr>
        <w:t xml:space="preserve"> (chemistry)</w:t>
      </w:r>
    </w:p>
    <w:p w14:paraId="12D4C4D2" w14:textId="18C7AF48" w:rsidR="006A6AB4" w:rsidRPr="006A6AB4" w:rsidRDefault="00740F08" w:rsidP="006A6AB4">
      <w:pPr>
        <w:pStyle w:val="ListParagraph"/>
        <w:numPr>
          <w:ilvl w:val="0"/>
          <w:numId w:val="16"/>
        </w:numPr>
        <w:rPr>
          <w:b/>
        </w:rPr>
      </w:pPr>
      <w:r>
        <w:rPr>
          <w:b/>
        </w:rPr>
        <w:t>Lay out of the base and social organisation</w:t>
      </w:r>
      <w:r w:rsidR="00127D57">
        <w:rPr>
          <w:b/>
        </w:rPr>
        <w:t xml:space="preserve"> (sociology, psychology)</w:t>
      </w:r>
    </w:p>
    <w:p w14:paraId="24C61016" w14:textId="3B4C4900" w:rsidR="006A6AB4" w:rsidRDefault="00740F08" w:rsidP="006A6AB4">
      <w:pPr>
        <w:pStyle w:val="ListParagraph"/>
        <w:numPr>
          <w:ilvl w:val="0"/>
          <w:numId w:val="16"/>
        </w:numPr>
        <w:rPr>
          <w:b/>
        </w:rPr>
      </w:pPr>
      <w:r>
        <w:rPr>
          <w:b/>
        </w:rPr>
        <w:t>G</w:t>
      </w:r>
      <w:r w:rsidR="006A6AB4">
        <w:rPr>
          <w:b/>
        </w:rPr>
        <w:t>overnance</w:t>
      </w:r>
      <w:r>
        <w:rPr>
          <w:b/>
        </w:rPr>
        <w:t xml:space="preserve"> and jurisdiction</w:t>
      </w:r>
      <w:r w:rsidR="00127D57">
        <w:rPr>
          <w:b/>
        </w:rPr>
        <w:t xml:space="preserve"> (politics, history, sociology, psychology)</w:t>
      </w:r>
    </w:p>
    <w:p w14:paraId="21FF1E22" w14:textId="0F1C95E8" w:rsidR="00127D57" w:rsidRDefault="003C0BC5" w:rsidP="006A6AB4">
      <w:pPr>
        <w:ind w:left="426"/>
        <w:rPr>
          <w:b/>
        </w:rPr>
      </w:pPr>
      <w:r>
        <w:rPr>
          <w:b/>
        </w:rPr>
        <w:t>T</w:t>
      </w:r>
      <w:r w:rsidR="00127D57">
        <w:rPr>
          <w:b/>
        </w:rPr>
        <w:t>he subjects in brackets indicate how the subjects</w:t>
      </w:r>
      <w:r w:rsidR="00EC47EE">
        <w:rPr>
          <w:b/>
        </w:rPr>
        <w:t xml:space="preserve"> that </w:t>
      </w:r>
      <w:r w:rsidR="00127D57">
        <w:rPr>
          <w:b/>
        </w:rPr>
        <w:t xml:space="preserve">students are studying might be used to identify which ‘expert’ group they could be placed in. </w:t>
      </w:r>
    </w:p>
    <w:p w14:paraId="687BB3BC" w14:textId="54E414FB" w:rsidR="006A6AB4" w:rsidRDefault="001B1F42" w:rsidP="003C0BC5">
      <w:pPr>
        <w:ind w:left="426"/>
      </w:pPr>
      <w:r>
        <w:rPr>
          <w:b/>
        </w:rPr>
        <w:t xml:space="preserve">During this phase each group will complete an activity that provides support for </w:t>
      </w:r>
      <w:r w:rsidR="00406DD3">
        <w:rPr>
          <w:b/>
        </w:rPr>
        <w:t>the development</w:t>
      </w:r>
      <w:r>
        <w:rPr>
          <w:b/>
        </w:rPr>
        <w:t xml:space="preserve"> of their proposal, which includes a series of tasks that should be completed by members of each group during phase 4.</w:t>
      </w:r>
      <w:r w:rsidR="006A6AB4">
        <w:br w:type="page"/>
      </w:r>
    </w:p>
    <w:p w14:paraId="6B2BC718" w14:textId="343ECE43" w:rsidR="001A12E8" w:rsidRDefault="00DB381B" w:rsidP="000C3D52">
      <w:pPr>
        <w:ind w:left="426" w:hanging="426"/>
      </w:pPr>
      <w:r>
        <w:lastRenderedPageBreak/>
        <w:t xml:space="preserve">Phase </w:t>
      </w:r>
      <w:r w:rsidR="00B42781">
        <w:t xml:space="preserve">4. </w:t>
      </w:r>
    </w:p>
    <w:p w14:paraId="295398AD" w14:textId="06B28912" w:rsidR="00406DD3" w:rsidRDefault="00406DD3" w:rsidP="000C3D52">
      <w:pPr>
        <w:ind w:left="426" w:hanging="426"/>
      </w:pPr>
      <w:r>
        <w:tab/>
        <w:t xml:space="preserve">Individuals complete the tasks allocated to them at the end of phase 3, in order to enable </w:t>
      </w:r>
      <w:proofErr w:type="gramStart"/>
      <w:r>
        <w:t>the  develop</w:t>
      </w:r>
      <w:r w:rsidR="003C0BC5">
        <w:t>ment</w:t>
      </w:r>
      <w:proofErr w:type="gramEnd"/>
      <w:r w:rsidR="003C0BC5">
        <w:t xml:space="preserve"> of </w:t>
      </w:r>
      <w:r>
        <w:t>good commercial proposal</w:t>
      </w:r>
      <w:r w:rsidR="003C0BC5">
        <w:t>s</w:t>
      </w:r>
      <w:r>
        <w:t xml:space="preserve"> during phase 5.</w:t>
      </w:r>
      <w:r w:rsidR="003F6C09">
        <w:t xml:space="preserve"> </w:t>
      </w:r>
    </w:p>
    <w:p w14:paraId="0DE27A12" w14:textId="3113F8F3" w:rsidR="005B6160" w:rsidRPr="009C587A" w:rsidRDefault="00DB381B" w:rsidP="00507AF9">
      <w:pPr>
        <w:ind w:left="426" w:hanging="426"/>
        <w:rPr>
          <w:b/>
        </w:rPr>
      </w:pPr>
      <w:r>
        <w:rPr>
          <w:b/>
        </w:rPr>
        <w:t xml:space="preserve">Phase </w:t>
      </w:r>
      <w:r w:rsidR="00B42781" w:rsidRPr="0055445E">
        <w:rPr>
          <w:b/>
        </w:rPr>
        <w:t xml:space="preserve">5. </w:t>
      </w:r>
    </w:p>
    <w:p w14:paraId="11977955" w14:textId="55283E64" w:rsidR="00507AF9" w:rsidRDefault="00406DD3" w:rsidP="00507AF9">
      <w:pPr>
        <w:ind w:left="426" w:hanging="426"/>
        <w:rPr>
          <w:b/>
        </w:rPr>
      </w:pPr>
      <w:r>
        <w:rPr>
          <w:b/>
        </w:rPr>
        <w:tab/>
      </w:r>
      <w:r w:rsidR="00EE61F1">
        <w:rPr>
          <w:b/>
        </w:rPr>
        <w:t xml:space="preserve">At the start of this phase students </w:t>
      </w:r>
      <w:r w:rsidR="006C6309">
        <w:rPr>
          <w:b/>
        </w:rPr>
        <w:t>are formed into new</w:t>
      </w:r>
      <w:r w:rsidR="00EE61F1">
        <w:rPr>
          <w:b/>
        </w:rPr>
        <w:t xml:space="preserve"> groups </w:t>
      </w:r>
      <w:r w:rsidR="006C6309">
        <w:rPr>
          <w:b/>
        </w:rPr>
        <w:t>that each have a range of experts from as many expert groups as possible</w:t>
      </w:r>
      <w:r w:rsidR="00EE61F1">
        <w:rPr>
          <w:b/>
        </w:rPr>
        <w:t>. T</w:t>
      </w:r>
      <w:r w:rsidR="006A6AB4">
        <w:rPr>
          <w:b/>
        </w:rPr>
        <w:t xml:space="preserve">hey </w:t>
      </w:r>
      <w:r w:rsidR="00EE61F1">
        <w:rPr>
          <w:b/>
        </w:rPr>
        <w:t xml:space="preserve">then </w:t>
      </w:r>
      <w:r w:rsidR="006A6AB4">
        <w:rPr>
          <w:b/>
        </w:rPr>
        <w:t xml:space="preserve">have </w:t>
      </w:r>
      <w:r w:rsidR="00CB61B8">
        <w:rPr>
          <w:b/>
        </w:rPr>
        <w:t>3</w:t>
      </w:r>
      <w:r w:rsidR="006A6AB4">
        <w:rPr>
          <w:b/>
        </w:rPr>
        <w:t xml:space="preserve">0 minutes to </w:t>
      </w:r>
      <w:r w:rsidR="006C6309">
        <w:rPr>
          <w:b/>
        </w:rPr>
        <w:t xml:space="preserve">use their combined expertise to </w:t>
      </w:r>
      <w:r w:rsidR="006A6AB4">
        <w:rPr>
          <w:b/>
        </w:rPr>
        <w:t xml:space="preserve">develop </w:t>
      </w:r>
      <w:r w:rsidR="006C6309">
        <w:rPr>
          <w:b/>
        </w:rPr>
        <w:t>a</w:t>
      </w:r>
      <w:r w:rsidR="006A6AB4">
        <w:rPr>
          <w:b/>
        </w:rPr>
        <w:t xml:space="preserve"> proposal</w:t>
      </w:r>
      <w:r w:rsidR="00EE61F1">
        <w:rPr>
          <w:b/>
        </w:rPr>
        <w:t xml:space="preserve"> ready for presentation to the rest of the group</w:t>
      </w:r>
      <w:r w:rsidR="006A6AB4">
        <w:rPr>
          <w:b/>
        </w:rPr>
        <w:t xml:space="preserve">. </w:t>
      </w:r>
    </w:p>
    <w:p w14:paraId="0FCA75E0" w14:textId="75D53276" w:rsidR="00E77F08" w:rsidRPr="00E77F08" w:rsidRDefault="00E77F08" w:rsidP="003F6C09">
      <w:pPr>
        <w:pStyle w:val="CommentText"/>
        <w:ind w:left="426"/>
        <w:rPr>
          <w:b/>
          <w:sz w:val="22"/>
          <w:szCs w:val="22"/>
        </w:rPr>
      </w:pPr>
      <w:r>
        <w:rPr>
          <w:b/>
          <w:sz w:val="22"/>
          <w:szCs w:val="22"/>
        </w:rPr>
        <w:t>O</w:t>
      </w:r>
      <w:r w:rsidRPr="00E77F08">
        <w:rPr>
          <w:b/>
          <w:sz w:val="22"/>
          <w:szCs w:val="22"/>
        </w:rPr>
        <w:t>ne or two members of each team present their proposal to a small group of students from other teams – with the opportunity for Q and A.</w:t>
      </w:r>
      <w:r w:rsidR="003F6C09">
        <w:rPr>
          <w:b/>
          <w:sz w:val="22"/>
          <w:szCs w:val="22"/>
        </w:rPr>
        <w:t xml:space="preserve"> Questions should focus on the specification set out in each tender, which is provided for students. </w:t>
      </w:r>
      <w:r w:rsidRPr="00E77F08">
        <w:rPr>
          <w:b/>
          <w:sz w:val="22"/>
          <w:szCs w:val="22"/>
        </w:rPr>
        <w:t>This is repeated</w:t>
      </w:r>
      <w:r w:rsidR="003F6C09">
        <w:rPr>
          <w:b/>
          <w:sz w:val="22"/>
          <w:szCs w:val="22"/>
        </w:rPr>
        <w:t xml:space="preserve"> once</w:t>
      </w:r>
      <w:r w:rsidRPr="00E77F08">
        <w:rPr>
          <w:b/>
          <w:sz w:val="22"/>
          <w:szCs w:val="22"/>
        </w:rPr>
        <w:t>, so that each proposal is presented to two different groups of students.</w:t>
      </w:r>
    </w:p>
    <w:p w14:paraId="017998BC" w14:textId="3C888CAF" w:rsidR="00E77F08" w:rsidRPr="003F6C09" w:rsidRDefault="00E77F08" w:rsidP="00E77F08">
      <w:pPr>
        <w:pStyle w:val="CommentText"/>
        <w:ind w:left="426"/>
        <w:rPr>
          <w:b/>
          <w:sz w:val="22"/>
          <w:szCs w:val="22"/>
        </w:rPr>
      </w:pPr>
      <w:r w:rsidRPr="00E77F08">
        <w:rPr>
          <w:b/>
          <w:sz w:val="22"/>
          <w:szCs w:val="22"/>
        </w:rPr>
        <w:t xml:space="preserve">Students then go back to their groups and rank the other teams’ </w:t>
      </w:r>
      <w:proofErr w:type="gramStart"/>
      <w:r w:rsidRPr="00E77F08">
        <w:rPr>
          <w:b/>
          <w:sz w:val="22"/>
          <w:szCs w:val="22"/>
        </w:rPr>
        <w:t>proposals, and</w:t>
      </w:r>
      <w:proofErr w:type="gramEnd"/>
      <w:r w:rsidRPr="00E77F08">
        <w:rPr>
          <w:b/>
          <w:sz w:val="22"/>
          <w:szCs w:val="22"/>
        </w:rPr>
        <w:t xml:space="preserve"> write two </w:t>
      </w:r>
      <w:r w:rsidRPr="003F6C09">
        <w:rPr>
          <w:b/>
          <w:sz w:val="22"/>
          <w:szCs w:val="22"/>
        </w:rPr>
        <w:t>positives and an improvement to each one (to feedback to the teams).</w:t>
      </w:r>
      <w:r w:rsidR="003F6C09" w:rsidRPr="003F6C09">
        <w:rPr>
          <w:b/>
          <w:sz w:val="22"/>
          <w:szCs w:val="22"/>
        </w:rPr>
        <w:t xml:space="preserve">  </w:t>
      </w:r>
      <w:r w:rsidR="003F6C09">
        <w:rPr>
          <w:b/>
          <w:sz w:val="22"/>
          <w:szCs w:val="22"/>
        </w:rPr>
        <w:t>E</w:t>
      </w:r>
      <w:r w:rsidR="003F6C09" w:rsidRPr="003F6C09">
        <w:rPr>
          <w:b/>
          <w:sz w:val="22"/>
          <w:szCs w:val="22"/>
        </w:rPr>
        <w:t>valuation focus on effectiveness; ease of use; safety; fail safe mechanisms / back-up systems; and commercial viability.</w:t>
      </w:r>
    </w:p>
    <w:p w14:paraId="6AAC5BB6" w14:textId="77777777" w:rsidR="00E77F08" w:rsidRPr="00E77F08" w:rsidRDefault="00E77F08" w:rsidP="003F6C09">
      <w:pPr>
        <w:ind w:left="426"/>
        <w:rPr>
          <w:b/>
        </w:rPr>
      </w:pPr>
      <w:r w:rsidRPr="003F6C09">
        <w:rPr>
          <w:b/>
        </w:rPr>
        <w:t>The best proposal can</w:t>
      </w:r>
      <w:r w:rsidRPr="00E77F08">
        <w:rPr>
          <w:b/>
        </w:rPr>
        <w:t xml:space="preserve"> be worked out from the lowest cumulative ranking score from the class.</w:t>
      </w:r>
    </w:p>
    <w:p w14:paraId="2247289E" w14:textId="77777777" w:rsidR="00E6051E" w:rsidRDefault="00E6051E">
      <w:pPr>
        <w:rPr>
          <w:b/>
        </w:rPr>
      </w:pPr>
      <w:r>
        <w:rPr>
          <w:b/>
        </w:rPr>
        <w:br w:type="page"/>
      </w:r>
    </w:p>
    <w:p w14:paraId="2F515FCB" w14:textId="5256A6F8" w:rsidR="00B42781" w:rsidRDefault="00B42781" w:rsidP="00B42781">
      <w:pPr>
        <w:rPr>
          <w:b/>
          <w:i/>
        </w:rPr>
      </w:pPr>
      <w:r w:rsidRPr="00E6051E">
        <w:rPr>
          <w:b/>
          <w:i/>
        </w:rPr>
        <w:lastRenderedPageBreak/>
        <w:t xml:space="preserve">Activities for each of the five phases of learning </w:t>
      </w:r>
    </w:p>
    <w:p w14:paraId="2BC15CAC" w14:textId="127FF7EB" w:rsidR="00E6051E" w:rsidRPr="00E6051E" w:rsidRDefault="00E6051E" w:rsidP="00B42781">
      <w:r>
        <w:t>Phases 1, 3 and 5 are classroom based; and phases 2 and 4 can be completed either in the classroom or independently out of the classroom.</w:t>
      </w:r>
    </w:p>
    <w:tbl>
      <w:tblPr>
        <w:tblStyle w:val="TableGrid"/>
        <w:tblW w:w="9072" w:type="dxa"/>
        <w:tblLook w:val="04A0" w:firstRow="1" w:lastRow="0" w:firstColumn="1" w:lastColumn="0" w:noHBand="0" w:noVBand="1"/>
      </w:tblPr>
      <w:tblGrid>
        <w:gridCol w:w="1558"/>
        <w:gridCol w:w="761"/>
        <w:gridCol w:w="2780"/>
        <w:gridCol w:w="2781"/>
        <w:gridCol w:w="1192"/>
      </w:tblGrid>
      <w:tr w:rsidR="000C085C" w:rsidRPr="00975D05" w14:paraId="6F01AC0E" w14:textId="77777777" w:rsidTr="00F2687D">
        <w:tc>
          <w:tcPr>
            <w:tcW w:w="1558" w:type="dxa"/>
          </w:tcPr>
          <w:p w14:paraId="45323D19" w14:textId="77777777" w:rsidR="000C085C" w:rsidRPr="00975D05" w:rsidRDefault="000C085C" w:rsidP="00F2687D">
            <w:pPr>
              <w:jc w:val="center"/>
              <w:rPr>
                <w:b/>
              </w:rPr>
            </w:pPr>
            <w:r w:rsidRPr="00975D05">
              <w:rPr>
                <w:b/>
              </w:rPr>
              <w:t>Activity</w:t>
            </w:r>
          </w:p>
        </w:tc>
        <w:tc>
          <w:tcPr>
            <w:tcW w:w="761" w:type="dxa"/>
          </w:tcPr>
          <w:p w14:paraId="335EB4A9" w14:textId="77777777" w:rsidR="000C085C" w:rsidRPr="00975D05" w:rsidRDefault="000C085C" w:rsidP="00F2687D">
            <w:pPr>
              <w:jc w:val="center"/>
              <w:rPr>
                <w:b/>
              </w:rPr>
            </w:pPr>
            <w:r>
              <w:rPr>
                <w:b/>
              </w:rPr>
              <w:t>Phase</w:t>
            </w:r>
          </w:p>
        </w:tc>
        <w:tc>
          <w:tcPr>
            <w:tcW w:w="2780" w:type="dxa"/>
          </w:tcPr>
          <w:p w14:paraId="5345834C" w14:textId="77777777" w:rsidR="000C085C" w:rsidRPr="00975D05" w:rsidRDefault="000C085C" w:rsidP="00F2687D">
            <w:pPr>
              <w:jc w:val="center"/>
              <w:rPr>
                <w:b/>
              </w:rPr>
            </w:pPr>
            <w:r w:rsidRPr="00975D05">
              <w:rPr>
                <w:b/>
              </w:rPr>
              <w:t>Reason for it</w:t>
            </w:r>
          </w:p>
        </w:tc>
        <w:tc>
          <w:tcPr>
            <w:tcW w:w="2781" w:type="dxa"/>
          </w:tcPr>
          <w:p w14:paraId="2CCAD486" w14:textId="77777777" w:rsidR="000C085C" w:rsidRPr="00975D05" w:rsidRDefault="000C085C" w:rsidP="00F2687D">
            <w:pPr>
              <w:jc w:val="center"/>
              <w:rPr>
                <w:b/>
              </w:rPr>
            </w:pPr>
            <w:r>
              <w:rPr>
                <w:b/>
              </w:rPr>
              <w:t>Activity summary</w:t>
            </w:r>
          </w:p>
        </w:tc>
        <w:tc>
          <w:tcPr>
            <w:tcW w:w="1192" w:type="dxa"/>
          </w:tcPr>
          <w:p w14:paraId="7C47F151" w14:textId="77777777" w:rsidR="000C085C" w:rsidRPr="00975D05" w:rsidRDefault="000C085C" w:rsidP="00F2687D">
            <w:pPr>
              <w:jc w:val="center"/>
              <w:rPr>
                <w:b/>
              </w:rPr>
            </w:pPr>
            <w:r w:rsidRPr="00975D05">
              <w:rPr>
                <w:b/>
              </w:rPr>
              <w:t>Estimated time</w:t>
            </w:r>
          </w:p>
        </w:tc>
      </w:tr>
      <w:tr w:rsidR="005F2153" w14:paraId="321FD8DF" w14:textId="77777777" w:rsidTr="00DF394B">
        <w:tc>
          <w:tcPr>
            <w:tcW w:w="1558" w:type="dxa"/>
          </w:tcPr>
          <w:p w14:paraId="3E7E6AAC" w14:textId="75D437B7" w:rsidR="005F2153" w:rsidRDefault="005F2153" w:rsidP="00DF394B">
            <w:r>
              <w:t xml:space="preserve">1 </w:t>
            </w:r>
            <w:r w:rsidR="006D6935">
              <w:t>Introduction</w:t>
            </w:r>
            <w:r w:rsidR="00180705">
              <w:t>.</w:t>
            </w:r>
          </w:p>
        </w:tc>
        <w:tc>
          <w:tcPr>
            <w:tcW w:w="761" w:type="dxa"/>
          </w:tcPr>
          <w:p w14:paraId="12CF197C" w14:textId="77777777" w:rsidR="005F2153" w:rsidRDefault="005F2153" w:rsidP="00DF394B">
            <w:pPr>
              <w:jc w:val="center"/>
            </w:pPr>
            <w:r>
              <w:t>1</w:t>
            </w:r>
          </w:p>
          <w:p w14:paraId="2E116B16" w14:textId="77777777" w:rsidR="005F2153" w:rsidRDefault="005F2153" w:rsidP="00DF394B">
            <w:pPr>
              <w:jc w:val="center"/>
            </w:pPr>
          </w:p>
          <w:p w14:paraId="6D45F7F1" w14:textId="77777777" w:rsidR="005F2153" w:rsidRDefault="005F2153" w:rsidP="00DF394B">
            <w:pPr>
              <w:jc w:val="center"/>
            </w:pPr>
          </w:p>
          <w:p w14:paraId="3045C74C" w14:textId="77777777" w:rsidR="005F2153" w:rsidRPr="00BE6ABF" w:rsidRDefault="005F2153" w:rsidP="00DF394B">
            <w:pPr>
              <w:spacing w:before="120"/>
              <w:rPr>
                <w:i/>
              </w:rPr>
            </w:pPr>
          </w:p>
        </w:tc>
        <w:tc>
          <w:tcPr>
            <w:tcW w:w="2780" w:type="dxa"/>
          </w:tcPr>
          <w:p w14:paraId="1449CD1F" w14:textId="77777777" w:rsidR="005F2153" w:rsidRDefault="002428CC" w:rsidP="00DF394B">
            <w:pPr>
              <w:spacing w:after="120"/>
            </w:pPr>
            <w:r>
              <w:t>To i</w:t>
            </w:r>
            <w:r w:rsidR="005F2153" w:rsidRPr="002428CC">
              <w:t>ntroduc</w:t>
            </w:r>
            <w:r>
              <w:t xml:space="preserve">e the unit and to launch a </w:t>
            </w:r>
            <w:r w:rsidR="005F2153" w:rsidRPr="002428CC">
              <w:t xml:space="preserve">design </w:t>
            </w:r>
            <w:r>
              <w:t>c</w:t>
            </w:r>
            <w:r w:rsidR="005F2153" w:rsidRPr="002428CC">
              <w:t>ompetition</w:t>
            </w:r>
            <w:r>
              <w:t>.</w:t>
            </w:r>
            <w:r w:rsidR="005F2153" w:rsidRPr="002428CC">
              <w:t xml:space="preserve"> </w:t>
            </w:r>
          </w:p>
          <w:p w14:paraId="5F94DF8E" w14:textId="77777777" w:rsidR="00490EE3" w:rsidRDefault="00490EE3" w:rsidP="00490EE3"/>
          <w:p w14:paraId="618F85FC" w14:textId="77777777" w:rsidR="00490EE3" w:rsidRDefault="00490EE3" w:rsidP="00490EE3"/>
          <w:p w14:paraId="7FFB7410" w14:textId="5A140A8F" w:rsidR="00490EE3" w:rsidRPr="002428CC" w:rsidRDefault="00490EE3" w:rsidP="00DF394B">
            <w:pPr>
              <w:spacing w:after="120"/>
            </w:pPr>
          </w:p>
        </w:tc>
        <w:tc>
          <w:tcPr>
            <w:tcW w:w="2781" w:type="dxa"/>
          </w:tcPr>
          <w:p w14:paraId="6CA098A0" w14:textId="5CC5B7A8" w:rsidR="008915A5" w:rsidRPr="008915A5" w:rsidRDefault="002428CC" w:rsidP="008915A5">
            <w:pPr>
              <w:spacing w:after="120"/>
            </w:pPr>
            <w:r>
              <w:t xml:space="preserve">Short review of some benefits and risks of commercial exploration of space; and an introduction to a design competition that will be completed in phase 2. </w:t>
            </w:r>
          </w:p>
        </w:tc>
        <w:tc>
          <w:tcPr>
            <w:tcW w:w="1192" w:type="dxa"/>
          </w:tcPr>
          <w:p w14:paraId="680C140E" w14:textId="339F446C" w:rsidR="005F2153" w:rsidRDefault="002428CC" w:rsidP="00DF394B">
            <w:pPr>
              <w:spacing w:after="120"/>
              <w:jc w:val="center"/>
            </w:pPr>
            <w:r>
              <w:t xml:space="preserve">15 </w:t>
            </w:r>
            <w:r w:rsidR="005F2153">
              <w:t>minutes</w:t>
            </w:r>
          </w:p>
          <w:p w14:paraId="326A4683" w14:textId="77777777" w:rsidR="005F2153" w:rsidRPr="00BE6ABF" w:rsidRDefault="005F2153" w:rsidP="00DF394B">
            <w:pPr>
              <w:spacing w:after="60"/>
              <w:jc w:val="center"/>
              <w:rPr>
                <w:i/>
              </w:rPr>
            </w:pPr>
          </w:p>
        </w:tc>
      </w:tr>
      <w:tr w:rsidR="005F2153" w14:paraId="248BFB65" w14:textId="77777777" w:rsidTr="00DF394B">
        <w:tc>
          <w:tcPr>
            <w:tcW w:w="1558" w:type="dxa"/>
          </w:tcPr>
          <w:p w14:paraId="36E436E7" w14:textId="364E5308" w:rsidR="005F2153" w:rsidRDefault="005F2153" w:rsidP="005F2153">
            <w:r>
              <w:t>2 Land base on Mars</w:t>
            </w:r>
            <w:r w:rsidR="00180705">
              <w:t>.</w:t>
            </w:r>
          </w:p>
        </w:tc>
        <w:tc>
          <w:tcPr>
            <w:tcW w:w="761" w:type="dxa"/>
          </w:tcPr>
          <w:p w14:paraId="6C1B0EF0" w14:textId="4282FC59" w:rsidR="005F2153" w:rsidRDefault="005F2153" w:rsidP="005F2153">
            <w:pPr>
              <w:jc w:val="center"/>
            </w:pPr>
            <w:r>
              <w:t>1</w:t>
            </w:r>
          </w:p>
        </w:tc>
        <w:tc>
          <w:tcPr>
            <w:tcW w:w="2780" w:type="dxa"/>
          </w:tcPr>
          <w:p w14:paraId="6518F0EA" w14:textId="71FA1542" w:rsidR="005F2153" w:rsidRDefault="005F2153" w:rsidP="005F2153">
            <w:pPr>
              <w:spacing w:after="120"/>
            </w:pPr>
            <w:r>
              <w:t xml:space="preserve">Stimulus material, used to identify </w:t>
            </w:r>
            <w:r w:rsidR="0095338F">
              <w:t xml:space="preserve">needs for a land base on Mars and some </w:t>
            </w:r>
            <w:r>
              <w:t>challenges to be overcome</w:t>
            </w:r>
            <w:r w:rsidR="0095338F">
              <w:t>.</w:t>
            </w:r>
          </w:p>
        </w:tc>
        <w:tc>
          <w:tcPr>
            <w:tcW w:w="2781" w:type="dxa"/>
          </w:tcPr>
          <w:p w14:paraId="08DF3839" w14:textId="748B507B" w:rsidR="005F2153" w:rsidRDefault="005F2153" w:rsidP="005F2153">
            <w:r>
              <w:t>Video footage (YouTube links) o</w:t>
            </w:r>
            <w:r w:rsidR="0095338F">
              <w:t>f a potential land base on Mars from different perspectives.</w:t>
            </w:r>
          </w:p>
        </w:tc>
        <w:tc>
          <w:tcPr>
            <w:tcW w:w="1192" w:type="dxa"/>
          </w:tcPr>
          <w:p w14:paraId="767C95CE" w14:textId="4FC764B8" w:rsidR="005F2153" w:rsidRDefault="005F2153" w:rsidP="005F2153">
            <w:pPr>
              <w:jc w:val="center"/>
            </w:pPr>
            <w:r>
              <w:t>20 minutes</w:t>
            </w:r>
          </w:p>
        </w:tc>
      </w:tr>
      <w:tr w:rsidR="005F2153" w14:paraId="6FE8E884" w14:textId="77777777" w:rsidTr="00F2687D">
        <w:tc>
          <w:tcPr>
            <w:tcW w:w="1558" w:type="dxa"/>
          </w:tcPr>
          <w:p w14:paraId="2E328A33" w14:textId="42E3C020" w:rsidR="005F2153" w:rsidRDefault="005F2153" w:rsidP="005F2153">
            <w:r>
              <w:t>3. Priorities for a land base on Mars</w:t>
            </w:r>
            <w:r w:rsidR="00180705">
              <w:t>.</w:t>
            </w:r>
          </w:p>
        </w:tc>
        <w:tc>
          <w:tcPr>
            <w:tcW w:w="761" w:type="dxa"/>
          </w:tcPr>
          <w:p w14:paraId="63EC9CC5" w14:textId="1D5A943D" w:rsidR="005F2153" w:rsidRDefault="005F2153" w:rsidP="005F2153">
            <w:pPr>
              <w:jc w:val="center"/>
            </w:pPr>
            <w:r>
              <w:t>1</w:t>
            </w:r>
          </w:p>
        </w:tc>
        <w:tc>
          <w:tcPr>
            <w:tcW w:w="2780" w:type="dxa"/>
          </w:tcPr>
          <w:p w14:paraId="07470E08" w14:textId="372A5EC7" w:rsidR="005F2153" w:rsidRDefault="00FC09E0" w:rsidP="005F2153">
            <w:pPr>
              <w:spacing w:after="60"/>
            </w:pPr>
            <w:r>
              <w:t xml:space="preserve">To </w:t>
            </w:r>
            <w:r w:rsidR="00F2172E">
              <w:t>identify a range of needs that must be met in a land base on Mars and to consider what compromises might be acceptable.</w:t>
            </w:r>
          </w:p>
        </w:tc>
        <w:tc>
          <w:tcPr>
            <w:tcW w:w="2781" w:type="dxa"/>
          </w:tcPr>
          <w:p w14:paraId="4BF201ED" w14:textId="3B815BE0" w:rsidR="005F2153" w:rsidRDefault="00F2172E" w:rsidP="005F2153">
            <w:pPr>
              <w:spacing w:after="60"/>
            </w:pPr>
            <w:r>
              <w:t>A card sort with follow up questions to prompt discussion.</w:t>
            </w:r>
          </w:p>
        </w:tc>
        <w:tc>
          <w:tcPr>
            <w:tcW w:w="1192" w:type="dxa"/>
          </w:tcPr>
          <w:p w14:paraId="35A0ABBB" w14:textId="1B078C89" w:rsidR="005F2153" w:rsidRDefault="005A0702" w:rsidP="005F2153">
            <w:pPr>
              <w:jc w:val="center"/>
            </w:pPr>
            <w:r>
              <w:t>2</w:t>
            </w:r>
            <w:r w:rsidR="002428CC">
              <w:t>0</w:t>
            </w:r>
            <w:r>
              <w:t xml:space="preserve"> min</w:t>
            </w:r>
            <w:r w:rsidR="00866488">
              <w:t>utes</w:t>
            </w:r>
          </w:p>
        </w:tc>
      </w:tr>
      <w:tr w:rsidR="005F2153" w:rsidRPr="00490EE3" w14:paraId="161200AC" w14:textId="77777777" w:rsidTr="00F2687D">
        <w:tc>
          <w:tcPr>
            <w:tcW w:w="1558" w:type="dxa"/>
          </w:tcPr>
          <w:p w14:paraId="5C404025" w14:textId="652E78F8" w:rsidR="005F2153" w:rsidRPr="00490EE3" w:rsidRDefault="00490EE3" w:rsidP="00490EE3">
            <w:pPr>
              <w:rPr>
                <w:i/>
              </w:rPr>
            </w:pPr>
            <w:r>
              <w:rPr>
                <w:i/>
              </w:rPr>
              <w:t>Design competition (activity 1 continued)</w:t>
            </w:r>
            <w:r w:rsidR="00180705">
              <w:rPr>
                <w:i/>
              </w:rPr>
              <w:t>.</w:t>
            </w:r>
          </w:p>
        </w:tc>
        <w:tc>
          <w:tcPr>
            <w:tcW w:w="761" w:type="dxa"/>
          </w:tcPr>
          <w:p w14:paraId="27E9B5FE" w14:textId="1F360702" w:rsidR="005F2153" w:rsidRPr="00490EE3" w:rsidRDefault="00490EE3" w:rsidP="005F2153">
            <w:pPr>
              <w:jc w:val="center"/>
              <w:rPr>
                <w:i/>
              </w:rPr>
            </w:pPr>
            <w:r w:rsidRPr="00490EE3">
              <w:rPr>
                <w:i/>
              </w:rPr>
              <w:t>2</w:t>
            </w:r>
          </w:p>
        </w:tc>
        <w:tc>
          <w:tcPr>
            <w:tcW w:w="2780" w:type="dxa"/>
          </w:tcPr>
          <w:p w14:paraId="4BF78FFD" w14:textId="2C39A77F" w:rsidR="005F2153" w:rsidRPr="00490EE3" w:rsidRDefault="00490EE3" w:rsidP="00490EE3">
            <w:pPr>
              <w:spacing w:after="120"/>
              <w:rPr>
                <w:i/>
              </w:rPr>
            </w:pPr>
            <w:r>
              <w:rPr>
                <w:i/>
              </w:rPr>
              <w:t xml:space="preserve">To consider how the physical infrastructure and organisational systems of a land base on Mars could be organised. </w:t>
            </w:r>
          </w:p>
        </w:tc>
        <w:tc>
          <w:tcPr>
            <w:tcW w:w="2781" w:type="dxa"/>
          </w:tcPr>
          <w:p w14:paraId="735BB805" w14:textId="12AEE9B3" w:rsidR="005F2153" w:rsidRPr="00490EE3" w:rsidRDefault="00490EE3" w:rsidP="005F2153">
            <w:pPr>
              <w:spacing w:after="60"/>
              <w:rPr>
                <w:i/>
              </w:rPr>
            </w:pPr>
            <w:r w:rsidRPr="00490EE3">
              <w:rPr>
                <w:i/>
              </w:rPr>
              <w:t>Complete the design competition introduced in activity 1.</w:t>
            </w:r>
          </w:p>
        </w:tc>
        <w:tc>
          <w:tcPr>
            <w:tcW w:w="1192" w:type="dxa"/>
          </w:tcPr>
          <w:p w14:paraId="0AAFD1D8" w14:textId="133EFDDB" w:rsidR="005F2153" w:rsidRPr="00490EE3" w:rsidRDefault="00490EE3" w:rsidP="005F2153">
            <w:pPr>
              <w:jc w:val="center"/>
              <w:rPr>
                <w:i/>
              </w:rPr>
            </w:pPr>
            <w:r w:rsidRPr="00490EE3">
              <w:rPr>
                <w:i/>
              </w:rPr>
              <w:t>1-3 hours</w:t>
            </w:r>
          </w:p>
        </w:tc>
      </w:tr>
      <w:tr w:rsidR="005F2153" w14:paraId="307F657E" w14:textId="77777777" w:rsidTr="00F2687D">
        <w:tc>
          <w:tcPr>
            <w:tcW w:w="1558" w:type="dxa"/>
          </w:tcPr>
          <w:p w14:paraId="4BB0789C" w14:textId="588AF038" w:rsidR="005F2153" w:rsidRDefault="005F2153" w:rsidP="005F2153">
            <w:r>
              <w:t xml:space="preserve">4 </w:t>
            </w:r>
            <w:r w:rsidR="00A9006C">
              <w:t>Land base on Mars: judging</w:t>
            </w:r>
            <w:r w:rsidR="00180705">
              <w:t>.</w:t>
            </w:r>
          </w:p>
        </w:tc>
        <w:tc>
          <w:tcPr>
            <w:tcW w:w="761" w:type="dxa"/>
          </w:tcPr>
          <w:p w14:paraId="4C0FE65E" w14:textId="77777777" w:rsidR="005F2153" w:rsidRDefault="005F2153" w:rsidP="005F2153">
            <w:pPr>
              <w:jc w:val="center"/>
            </w:pPr>
            <w:r>
              <w:t>3</w:t>
            </w:r>
          </w:p>
        </w:tc>
        <w:tc>
          <w:tcPr>
            <w:tcW w:w="2780" w:type="dxa"/>
          </w:tcPr>
          <w:p w14:paraId="19057AFE" w14:textId="07BC56D4" w:rsidR="005F2153" w:rsidRDefault="005F2153" w:rsidP="005F2153">
            <w:r>
              <w:t xml:space="preserve">To </w:t>
            </w:r>
            <w:r w:rsidR="00405587">
              <w:t>review individual designs against the specification and to identify a winner</w:t>
            </w:r>
            <w:r>
              <w:t xml:space="preserve">. </w:t>
            </w:r>
          </w:p>
        </w:tc>
        <w:tc>
          <w:tcPr>
            <w:tcW w:w="2781" w:type="dxa"/>
          </w:tcPr>
          <w:p w14:paraId="024C29C2" w14:textId="6BD60990" w:rsidR="005F2153" w:rsidRDefault="000B6877" w:rsidP="005F2153">
            <w:pPr>
              <w:spacing w:after="60"/>
            </w:pPr>
            <w:r>
              <w:t>Presentation and peer review of individual designs.</w:t>
            </w:r>
          </w:p>
        </w:tc>
        <w:tc>
          <w:tcPr>
            <w:tcW w:w="1192" w:type="dxa"/>
          </w:tcPr>
          <w:p w14:paraId="4D50D16F" w14:textId="50F4FFC9" w:rsidR="005F2153" w:rsidRDefault="000B6877" w:rsidP="000B6877">
            <w:pPr>
              <w:jc w:val="center"/>
            </w:pPr>
            <w:r>
              <w:t>4</w:t>
            </w:r>
            <w:r w:rsidR="005F2153">
              <w:t>0 m</w:t>
            </w:r>
            <w:r>
              <w:t>inutes</w:t>
            </w:r>
          </w:p>
        </w:tc>
      </w:tr>
      <w:tr w:rsidR="005F2153" w:rsidRPr="000B6877" w14:paraId="798FA5C7" w14:textId="77777777" w:rsidTr="00F2687D">
        <w:tc>
          <w:tcPr>
            <w:tcW w:w="1558" w:type="dxa"/>
          </w:tcPr>
          <w:p w14:paraId="22656845" w14:textId="11B14403" w:rsidR="005F2153" w:rsidRPr="000B6877" w:rsidRDefault="005F2153" w:rsidP="005F2153">
            <w:r w:rsidRPr="000B6877">
              <w:t xml:space="preserve">5 </w:t>
            </w:r>
            <w:r w:rsidR="000B6877">
              <w:t>Expert development groups</w:t>
            </w:r>
            <w:r w:rsidR="00180705">
              <w:t>.</w:t>
            </w:r>
          </w:p>
        </w:tc>
        <w:tc>
          <w:tcPr>
            <w:tcW w:w="761" w:type="dxa"/>
          </w:tcPr>
          <w:p w14:paraId="3D56087A" w14:textId="77777777" w:rsidR="005F2153" w:rsidRDefault="000B6877" w:rsidP="00220651">
            <w:pPr>
              <w:jc w:val="center"/>
            </w:pPr>
            <w:r w:rsidRPr="000B6877">
              <w:t>3</w:t>
            </w:r>
          </w:p>
          <w:p w14:paraId="5BA19C4A" w14:textId="77777777" w:rsidR="00220651" w:rsidRDefault="00220651" w:rsidP="00220651">
            <w:pPr>
              <w:jc w:val="center"/>
            </w:pPr>
          </w:p>
          <w:p w14:paraId="45FD8E59" w14:textId="6990A160" w:rsidR="00220651" w:rsidRDefault="00220651" w:rsidP="00220651">
            <w:pPr>
              <w:jc w:val="center"/>
              <w:rPr>
                <w:i/>
              </w:rPr>
            </w:pPr>
          </w:p>
          <w:p w14:paraId="6C8BC39A" w14:textId="77777777" w:rsidR="00220651" w:rsidRDefault="00220651" w:rsidP="00220651">
            <w:pPr>
              <w:jc w:val="center"/>
              <w:rPr>
                <w:i/>
              </w:rPr>
            </w:pPr>
          </w:p>
          <w:p w14:paraId="275DDC36" w14:textId="3894F812" w:rsidR="000B6877" w:rsidRPr="00220651" w:rsidRDefault="000B6877" w:rsidP="00220651">
            <w:pPr>
              <w:jc w:val="center"/>
              <w:rPr>
                <w:i/>
              </w:rPr>
            </w:pPr>
            <w:r w:rsidRPr="00220651">
              <w:rPr>
                <w:i/>
              </w:rPr>
              <w:t>4</w:t>
            </w:r>
          </w:p>
        </w:tc>
        <w:tc>
          <w:tcPr>
            <w:tcW w:w="2780" w:type="dxa"/>
          </w:tcPr>
          <w:p w14:paraId="6C27A57D" w14:textId="4B8959B1" w:rsidR="00220651" w:rsidRDefault="00220651" w:rsidP="00220651">
            <w:r>
              <w:t xml:space="preserve">To introduce </w:t>
            </w:r>
            <w:r w:rsidR="00CE2067">
              <w:t xml:space="preserve">the </w:t>
            </w:r>
            <w:r>
              <w:t>task for phase 4</w:t>
            </w:r>
            <w:r w:rsidR="00CE2067">
              <w:t>.</w:t>
            </w:r>
          </w:p>
          <w:p w14:paraId="73485845" w14:textId="2B4AD4EF" w:rsidR="00220651" w:rsidRDefault="00220651" w:rsidP="00220651"/>
          <w:p w14:paraId="70D79E2D" w14:textId="77777777" w:rsidR="00220651" w:rsidRDefault="00220651" w:rsidP="00220651"/>
          <w:p w14:paraId="56D5BF7C" w14:textId="13C6741F" w:rsidR="005F2153" w:rsidRPr="00220651" w:rsidRDefault="005F2153" w:rsidP="00CA2941">
            <w:pPr>
              <w:spacing w:after="120"/>
              <w:rPr>
                <w:i/>
              </w:rPr>
            </w:pPr>
            <w:r w:rsidRPr="00220651">
              <w:rPr>
                <w:i/>
              </w:rPr>
              <w:t xml:space="preserve">To </w:t>
            </w:r>
            <w:r w:rsidR="00220651" w:rsidRPr="00220651">
              <w:rPr>
                <w:i/>
              </w:rPr>
              <w:t xml:space="preserve">research essential </w:t>
            </w:r>
            <w:r w:rsidR="00266FAA">
              <w:rPr>
                <w:i/>
              </w:rPr>
              <w:t xml:space="preserve">parts of the </w:t>
            </w:r>
            <w:r w:rsidR="00CA2941">
              <w:rPr>
                <w:i/>
              </w:rPr>
              <w:t>land base</w:t>
            </w:r>
            <w:r w:rsidR="00220651" w:rsidRPr="00220651">
              <w:rPr>
                <w:i/>
              </w:rPr>
              <w:t xml:space="preserve">, </w:t>
            </w:r>
            <w:proofErr w:type="gramStart"/>
            <w:r w:rsidR="00220651" w:rsidRPr="00220651">
              <w:rPr>
                <w:i/>
              </w:rPr>
              <w:t>in order to</w:t>
            </w:r>
            <w:proofErr w:type="gramEnd"/>
            <w:r w:rsidR="00220651" w:rsidRPr="00220651">
              <w:rPr>
                <w:i/>
              </w:rPr>
              <w:t xml:space="preserve"> improve the winning design.  </w:t>
            </w:r>
          </w:p>
        </w:tc>
        <w:tc>
          <w:tcPr>
            <w:tcW w:w="2781" w:type="dxa"/>
          </w:tcPr>
          <w:p w14:paraId="72FBA24F" w14:textId="0EE9C0C5" w:rsidR="00220651" w:rsidRDefault="00220651" w:rsidP="00220651">
            <w:r>
              <w:t xml:space="preserve">Expert groups are </w:t>
            </w:r>
            <w:proofErr w:type="gramStart"/>
            <w:r>
              <w:t>formed</w:t>
            </w:r>
            <w:proofErr w:type="gramEnd"/>
            <w:r>
              <w:t xml:space="preserve"> and each group is given their task. </w:t>
            </w:r>
          </w:p>
          <w:p w14:paraId="0B59FB42" w14:textId="77777777" w:rsidR="00220651" w:rsidRDefault="00220651" w:rsidP="00220651"/>
          <w:p w14:paraId="611FD6E8" w14:textId="3A8E9CAC" w:rsidR="005F2153" w:rsidRPr="00220651" w:rsidRDefault="00220651" w:rsidP="005F2153">
            <w:pPr>
              <w:rPr>
                <w:i/>
              </w:rPr>
            </w:pPr>
            <w:r w:rsidRPr="00220651">
              <w:rPr>
                <w:i/>
              </w:rPr>
              <w:t>Research and collaborative design, working in expert groups.</w:t>
            </w:r>
          </w:p>
        </w:tc>
        <w:tc>
          <w:tcPr>
            <w:tcW w:w="1192" w:type="dxa"/>
          </w:tcPr>
          <w:p w14:paraId="522224AA" w14:textId="79BB19CF" w:rsidR="00220651" w:rsidRDefault="00220651" w:rsidP="00220651">
            <w:pPr>
              <w:jc w:val="center"/>
            </w:pPr>
            <w:r>
              <w:t>15 minutes</w:t>
            </w:r>
          </w:p>
          <w:p w14:paraId="39701FF7" w14:textId="48DBE215" w:rsidR="00220651" w:rsidRDefault="00220651" w:rsidP="00220651">
            <w:pPr>
              <w:jc w:val="center"/>
            </w:pPr>
          </w:p>
          <w:p w14:paraId="367D1247" w14:textId="77777777" w:rsidR="00220651" w:rsidRDefault="00220651" w:rsidP="00220651">
            <w:pPr>
              <w:jc w:val="center"/>
            </w:pPr>
          </w:p>
          <w:p w14:paraId="1D845A79" w14:textId="533BEA4E" w:rsidR="005F2153" w:rsidRPr="00220651" w:rsidRDefault="005F2153" w:rsidP="00220651">
            <w:pPr>
              <w:spacing w:after="120"/>
              <w:jc w:val="center"/>
              <w:rPr>
                <w:i/>
              </w:rPr>
            </w:pPr>
            <w:r w:rsidRPr="00220651">
              <w:rPr>
                <w:i/>
              </w:rPr>
              <w:t>1-3 hours</w:t>
            </w:r>
          </w:p>
        </w:tc>
      </w:tr>
      <w:tr w:rsidR="00180705" w14:paraId="156A1F8A" w14:textId="77777777" w:rsidTr="00F2687D">
        <w:tc>
          <w:tcPr>
            <w:tcW w:w="1558" w:type="dxa"/>
          </w:tcPr>
          <w:p w14:paraId="3748F5EF" w14:textId="67004DB0" w:rsidR="00180705" w:rsidRDefault="00180705" w:rsidP="00180705">
            <w:r>
              <w:t>6 Developing final proposals.</w:t>
            </w:r>
          </w:p>
        </w:tc>
        <w:tc>
          <w:tcPr>
            <w:tcW w:w="761" w:type="dxa"/>
          </w:tcPr>
          <w:p w14:paraId="050FAB11" w14:textId="60E90940" w:rsidR="00180705" w:rsidRDefault="00180705" w:rsidP="00180705">
            <w:pPr>
              <w:jc w:val="center"/>
            </w:pPr>
            <w:r>
              <w:t>5</w:t>
            </w:r>
          </w:p>
        </w:tc>
        <w:tc>
          <w:tcPr>
            <w:tcW w:w="2780" w:type="dxa"/>
          </w:tcPr>
          <w:p w14:paraId="45226B77" w14:textId="6714C932" w:rsidR="00180705" w:rsidRDefault="00180705" w:rsidP="00180705">
            <w:r>
              <w:t xml:space="preserve">To integrate a range of potentially competing improvements into one coherent design; and to experience the need for compromise and cooperation with experts from different specialisms. </w:t>
            </w:r>
          </w:p>
        </w:tc>
        <w:tc>
          <w:tcPr>
            <w:tcW w:w="2781" w:type="dxa"/>
          </w:tcPr>
          <w:p w14:paraId="2377610D" w14:textId="77777777" w:rsidR="00180705" w:rsidRDefault="00180705" w:rsidP="00180705">
            <w:pPr>
              <w:spacing w:after="60"/>
            </w:pPr>
            <w:r>
              <w:t>Groups are formed that contain a member of each expert group from activity 5.</w:t>
            </w:r>
          </w:p>
          <w:p w14:paraId="54818839" w14:textId="45AE9732" w:rsidR="00180705" w:rsidRDefault="00180705" w:rsidP="00CA2941">
            <w:pPr>
              <w:spacing w:after="120"/>
            </w:pPr>
            <w:r>
              <w:t>Each mixed group works up the winning design (</w:t>
            </w:r>
            <w:r w:rsidR="00884526">
              <w:t xml:space="preserve">from </w:t>
            </w:r>
            <w:r>
              <w:t xml:space="preserve">activity 4) to make improvements based on </w:t>
            </w:r>
            <w:r w:rsidR="00884526">
              <w:t xml:space="preserve">the </w:t>
            </w:r>
            <w:r>
              <w:t>research and collaboration carried out in expert groups (</w:t>
            </w:r>
            <w:r w:rsidR="00884526">
              <w:t xml:space="preserve">in </w:t>
            </w:r>
            <w:r>
              <w:t>activity 5).</w:t>
            </w:r>
          </w:p>
        </w:tc>
        <w:tc>
          <w:tcPr>
            <w:tcW w:w="1192" w:type="dxa"/>
          </w:tcPr>
          <w:p w14:paraId="0853E44D" w14:textId="79CFA5C0" w:rsidR="00180705" w:rsidRDefault="00180705" w:rsidP="00180705">
            <w:pPr>
              <w:jc w:val="center"/>
            </w:pPr>
            <w:r>
              <w:t>25 minutes</w:t>
            </w:r>
          </w:p>
        </w:tc>
      </w:tr>
      <w:tr w:rsidR="00180705" w14:paraId="328CEF77" w14:textId="77777777" w:rsidTr="00F2687D">
        <w:tc>
          <w:tcPr>
            <w:tcW w:w="1558" w:type="dxa"/>
          </w:tcPr>
          <w:p w14:paraId="17C841E0" w14:textId="41402B47" w:rsidR="00180705" w:rsidRDefault="00180705" w:rsidP="00180705">
            <w:r>
              <w:lastRenderedPageBreak/>
              <w:t xml:space="preserve">7 </w:t>
            </w:r>
            <w:r w:rsidR="000506FD">
              <w:t xml:space="preserve">Judging </w:t>
            </w:r>
            <w:r>
              <w:t>final proposals.</w:t>
            </w:r>
          </w:p>
        </w:tc>
        <w:tc>
          <w:tcPr>
            <w:tcW w:w="761" w:type="dxa"/>
          </w:tcPr>
          <w:p w14:paraId="7893FDA5" w14:textId="4D951A18" w:rsidR="00180705" w:rsidRDefault="00FB76BE" w:rsidP="00180705">
            <w:pPr>
              <w:jc w:val="center"/>
            </w:pPr>
            <w:r>
              <w:t>5</w:t>
            </w:r>
          </w:p>
        </w:tc>
        <w:tc>
          <w:tcPr>
            <w:tcW w:w="2780" w:type="dxa"/>
          </w:tcPr>
          <w:p w14:paraId="6076A9E3" w14:textId="05B0EFAD" w:rsidR="00180705" w:rsidRDefault="00FB76BE" w:rsidP="000506FD">
            <w:pPr>
              <w:spacing w:after="120"/>
            </w:pPr>
            <w:r>
              <w:t xml:space="preserve">To </w:t>
            </w:r>
            <w:r w:rsidR="000506FD">
              <w:t>judge the improved final designs against the initial design specification.</w:t>
            </w:r>
          </w:p>
        </w:tc>
        <w:tc>
          <w:tcPr>
            <w:tcW w:w="2781" w:type="dxa"/>
          </w:tcPr>
          <w:p w14:paraId="4A552A58" w14:textId="77777777" w:rsidR="00180705" w:rsidRDefault="000506FD" w:rsidP="000506FD">
            <w:pPr>
              <w:spacing w:after="120"/>
            </w:pPr>
            <w:r>
              <w:t>Pairs of students from each group present their completed designs to other groups.</w:t>
            </w:r>
          </w:p>
          <w:p w14:paraId="4360488D" w14:textId="706FC767" w:rsidR="000506FD" w:rsidRDefault="000506FD" w:rsidP="000506FD">
            <w:pPr>
              <w:spacing w:after="120"/>
            </w:pPr>
            <w:r>
              <w:t>A structured debate is used to determine the best overall design.</w:t>
            </w:r>
          </w:p>
        </w:tc>
        <w:tc>
          <w:tcPr>
            <w:tcW w:w="1192" w:type="dxa"/>
          </w:tcPr>
          <w:p w14:paraId="5FCC0FF4" w14:textId="4B0403D8" w:rsidR="00180705" w:rsidRDefault="000506FD" w:rsidP="00180705">
            <w:pPr>
              <w:jc w:val="center"/>
            </w:pPr>
            <w:r>
              <w:t>30</w:t>
            </w:r>
            <w:r w:rsidR="00EA68B3">
              <w:t xml:space="preserve"> minutes</w:t>
            </w:r>
          </w:p>
        </w:tc>
      </w:tr>
    </w:tbl>
    <w:p w14:paraId="2B0048F7" w14:textId="77777777" w:rsidR="00B42781" w:rsidRDefault="00B42781" w:rsidP="00B42781"/>
    <w:p w14:paraId="51AD7181" w14:textId="7C356A85" w:rsidR="00DE5EE8" w:rsidRDefault="00DE5EE8">
      <w:pPr>
        <w:rPr>
          <w:b/>
        </w:rPr>
      </w:pPr>
    </w:p>
    <w:p w14:paraId="6654999A" w14:textId="1AFF5D5D" w:rsidR="005B6160" w:rsidRDefault="005B6160" w:rsidP="00B42781">
      <w:pPr>
        <w:rPr>
          <w:b/>
        </w:rPr>
      </w:pPr>
      <w:r>
        <w:rPr>
          <w:b/>
        </w:rPr>
        <w:t>Guidance notes</w:t>
      </w:r>
      <w:r w:rsidR="00862793">
        <w:rPr>
          <w:b/>
        </w:rPr>
        <w:t>: pedagogical approaches</w:t>
      </w:r>
    </w:p>
    <w:p w14:paraId="5EBE7767" w14:textId="77777777" w:rsidR="00823F07" w:rsidRDefault="005B6160" w:rsidP="00B42781">
      <w:r>
        <w:t>(Add a summary of how research supports the pedagogical approaches used in the unit)</w:t>
      </w:r>
    </w:p>
    <w:p w14:paraId="736B6BB3" w14:textId="77777777" w:rsidR="00823F07" w:rsidRDefault="00823F07" w:rsidP="00B42781"/>
    <w:p w14:paraId="097F3EDA" w14:textId="77777777" w:rsidR="00BD3731" w:rsidRDefault="00BD3731">
      <w:pPr>
        <w:rPr>
          <w:b/>
        </w:rPr>
      </w:pPr>
      <w:r>
        <w:rPr>
          <w:b/>
        </w:rPr>
        <w:br w:type="page"/>
      </w:r>
    </w:p>
    <w:p w14:paraId="1388628D" w14:textId="7EB89028" w:rsidR="00B42781" w:rsidRPr="00E6051E" w:rsidRDefault="00B42781" w:rsidP="00B42781">
      <w:pPr>
        <w:rPr>
          <w:b/>
          <w:sz w:val="28"/>
        </w:rPr>
      </w:pPr>
      <w:r w:rsidRPr="00E6051E">
        <w:rPr>
          <w:b/>
          <w:sz w:val="28"/>
        </w:rPr>
        <w:lastRenderedPageBreak/>
        <w:t>AS/A level specification links</w:t>
      </w:r>
    </w:p>
    <w:p w14:paraId="40AE3F75" w14:textId="77777777" w:rsidR="00B20030" w:rsidRDefault="00B20030" w:rsidP="00B20030"/>
    <w:p w14:paraId="7225387E" w14:textId="059292DE" w:rsidR="00986743" w:rsidRDefault="00986743" w:rsidP="00B20030">
      <w:pPr>
        <w:rPr>
          <w:sz w:val="28"/>
        </w:rPr>
      </w:pPr>
      <w:r>
        <w:rPr>
          <w:sz w:val="28"/>
        </w:rPr>
        <w:t>AQA Physics A-Level</w:t>
      </w:r>
    </w:p>
    <w:p w14:paraId="118B43A6" w14:textId="26AEF592" w:rsidR="00DF5D0B" w:rsidRPr="00DF5D0B" w:rsidRDefault="00DF5D0B" w:rsidP="00986743">
      <w:pPr>
        <w:autoSpaceDE w:val="0"/>
        <w:autoSpaceDN w:val="0"/>
        <w:adjustRightInd w:val="0"/>
        <w:spacing w:line="221" w:lineRule="atLeast"/>
        <w:rPr>
          <w:rFonts w:cs="AQA Chevin Pro DemiBold"/>
          <w:b/>
          <w:bCs/>
          <w:color w:val="000000"/>
          <w:sz w:val="24"/>
          <w:szCs w:val="26"/>
        </w:rPr>
      </w:pPr>
      <w:r w:rsidRPr="00DF5D0B">
        <w:rPr>
          <w:b/>
          <w:color w:val="000000"/>
          <w:sz w:val="24"/>
        </w:rPr>
        <w:t xml:space="preserve">Force, </w:t>
      </w:r>
      <w:proofErr w:type="gramStart"/>
      <w:r w:rsidRPr="00DF5D0B">
        <w:rPr>
          <w:b/>
          <w:color w:val="000000"/>
          <w:sz w:val="24"/>
        </w:rPr>
        <w:t>energy</w:t>
      </w:r>
      <w:proofErr w:type="gramEnd"/>
      <w:r w:rsidRPr="00DF5D0B">
        <w:rPr>
          <w:b/>
          <w:color w:val="000000"/>
          <w:sz w:val="24"/>
        </w:rPr>
        <w:t xml:space="preserve"> and momentum</w:t>
      </w:r>
    </w:p>
    <w:p w14:paraId="147AE97A" w14:textId="6DA94364" w:rsidR="00986743" w:rsidRPr="00DF5D0B" w:rsidRDefault="00DF5D0B" w:rsidP="00986743">
      <w:pPr>
        <w:autoSpaceDE w:val="0"/>
        <w:autoSpaceDN w:val="0"/>
        <w:adjustRightInd w:val="0"/>
        <w:spacing w:line="221" w:lineRule="atLeast"/>
        <w:rPr>
          <w:rFonts w:cs="AQA Chevin Pro DemiBold"/>
          <w:bCs/>
          <w:color w:val="000000"/>
          <w:szCs w:val="26"/>
        </w:rPr>
      </w:pPr>
      <w:r>
        <w:rPr>
          <w:rFonts w:cs="AQA Chevin Pro DemiBold"/>
          <w:bCs/>
          <w:color w:val="000000"/>
          <w:szCs w:val="26"/>
        </w:rPr>
        <w:t xml:space="preserve">3.4.1.4 </w:t>
      </w:r>
      <w:r w:rsidR="00986743" w:rsidRPr="00DF5D0B">
        <w:rPr>
          <w:rFonts w:cs="AQA Chevin Pro DemiBold"/>
          <w:bCs/>
          <w:color w:val="000000"/>
          <w:szCs w:val="26"/>
        </w:rPr>
        <w:t xml:space="preserve">Projectile motion </w:t>
      </w:r>
    </w:p>
    <w:p w14:paraId="0DA1D5C3" w14:textId="59F4840E" w:rsidR="00986743" w:rsidRPr="00986743" w:rsidRDefault="00986743" w:rsidP="00986743">
      <w:pPr>
        <w:autoSpaceDE w:val="0"/>
        <w:autoSpaceDN w:val="0"/>
        <w:adjustRightInd w:val="0"/>
        <w:spacing w:after="0"/>
        <w:rPr>
          <w:rFonts w:cstheme="minorHAnsi"/>
          <w:color w:val="000000"/>
        </w:rPr>
      </w:pPr>
      <w:r w:rsidRPr="00986743">
        <w:rPr>
          <w:rFonts w:cstheme="minorHAnsi"/>
          <w:color w:val="000000"/>
        </w:rPr>
        <w:t xml:space="preserve">Independent effect of motion in horizontal and vertical directions of a uniform gravitational field. Problems will be solvable using the equations of uniform acceleration. </w:t>
      </w:r>
    </w:p>
    <w:p w14:paraId="14925124" w14:textId="77777777" w:rsidR="00986743" w:rsidRPr="00986743" w:rsidRDefault="00986743" w:rsidP="00986743">
      <w:pPr>
        <w:autoSpaceDE w:val="0"/>
        <w:autoSpaceDN w:val="0"/>
        <w:adjustRightInd w:val="0"/>
        <w:spacing w:after="0"/>
        <w:rPr>
          <w:rFonts w:cstheme="minorHAnsi"/>
          <w:color w:val="000000"/>
        </w:rPr>
      </w:pPr>
      <w:r w:rsidRPr="00986743">
        <w:rPr>
          <w:rFonts w:cstheme="minorHAnsi"/>
          <w:color w:val="000000"/>
        </w:rPr>
        <w:t xml:space="preserve">Qualitative treatment of friction. </w:t>
      </w:r>
    </w:p>
    <w:p w14:paraId="3C3E26E5" w14:textId="77777777" w:rsidR="00986743" w:rsidRPr="00986743" w:rsidRDefault="00986743" w:rsidP="00986743">
      <w:pPr>
        <w:autoSpaceDE w:val="0"/>
        <w:autoSpaceDN w:val="0"/>
        <w:adjustRightInd w:val="0"/>
        <w:spacing w:after="0"/>
        <w:rPr>
          <w:rFonts w:cstheme="minorHAnsi"/>
          <w:color w:val="000000"/>
        </w:rPr>
      </w:pPr>
      <w:r w:rsidRPr="00986743">
        <w:rPr>
          <w:rFonts w:cstheme="minorHAnsi"/>
          <w:color w:val="000000"/>
        </w:rPr>
        <w:t xml:space="preserve">Qualitative treatment of lift and drag forces. </w:t>
      </w:r>
    </w:p>
    <w:p w14:paraId="37670086" w14:textId="77777777" w:rsidR="00986743" w:rsidRPr="00986743" w:rsidRDefault="00986743" w:rsidP="00986743">
      <w:pPr>
        <w:autoSpaceDE w:val="0"/>
        <w:autoSpaceDN w:val="0"/>
        <w:adjustRightInd w:val="0"/>
        <w:spacing w:after="0"/>
        <w:rPr>
          <w:rFonts w:cstheme="minorHAnsi"/>
          <w:color w:val="000000"/>
        </w:rPr>
      </w:pPr>
      <w:r w:rsidRPr="00986743">
        <w:rPr>
          <w:rFonts w:cstheme="minorHAnsi"/>
          <w:color w:val="000000"/>
        </w:rPr>
        <w:t xml:space="preserve">Terminal speed. </w:t>
      </w:r>
    </w:p>
    <w:p w14:paraId="058BECA6" w14:textId="77777777" w:rsidR="00986743" w:rsidRPr="00986743" w:rsidRDefault="00986743" w:rsidP="00986743">
      <w:pPr>
        <w:autoSpaceDE w:val="0"/>
        <w:autoSpaceDN w:val="0"/>
        <w:adjustRightInd w:val="0"/>
        <w:spacing w:after="0"/>
        <w:rPr>
          <w:rFonts w:cstheme="minorHAnsi"/>
          <w:color w:val="000000"/>
        </w:rPr>
      </w:pPr>
      <w:r w:rsidRPr="00986743">
        <w:rPr>
          <w:rFonts w:cstheme="minorHAnsi"/>
          <w:color w:val="000000"/>
        </w:rPr>
        <w:t xml:space="preserve">Knowledge that </w:t>
      </w:r>
      <w:proofErr w:type="gramStart"/>
      <w:r w:rsidRPr="00986743">
        <w:rPr>
          <w:rFonts w:cstheme="minorHAnsi"/>
          <w:color w:val="000000"/>
        </w:rPr>
        <w:t>air</w:t>
      </w:r>
      <w:proofErr w:type="gramEnd"/>
      <w:r w:rsidRPr="00986743">
        <w:rPr>
          <w:rFonts w:cstheme="minorHAnsi"/>
          <w:color w:val="000000"/>
        </w:rPr>
        <w:t xml:space="preserve"> resistance increases with speed. </w:t>
      </w:r>
    </w:p>
    <w:p w14:paraId="6318F48F" w14:textId="1F20326D" w:rsidR="00986743" w:rsidRDefault="00986743" w:rsidP="00DF5D0B">
      <w:pPr>
        <w:rPr>
          <w:rFonts w:cstheme="minorHAnsi"/>
          <w:color w:val="000000"/>
        </w:rPr>
      </w:pPr>
      <w:r w:rsidRPr="00986743">
        <w:rPr>
          <w:rFonts w:cstheme="minorHAnsi"/>
          <w:color w:val="000000"/>
        </w:rPr>
        <w:t xml:space="preserve">Qualitative understanding of the effect of air resistance on the trajectory of a projectile and </w:t>
      </w:r>
      <w:r w:rsidR="00DF5D0B" w:rsidRPr="00DF5D0B">
        <w:rPr>
          <w:rFonts w:cstheme="minorHAnsi"/>
          <w:color w:val="000000"/>
        </w:rPr>
        <w:t>on the factors that affect the</w:t>
      </w:r>
      <w:r w:rsidR="00DF5D0B">
        <w:rPr>
          <w:rFonts w:cstheme="minorHAnsi"/>
          <w:color w:val="000000"/>
        </w:rPr>
        <w:t xml:space="preserve"> </w:t>
      </w:r>
      <w:r w:rsidR="00DF5D0B" w:rsidRPr="00DF5D0B">
        <w:rPr>
          <w:rFonts w:cstheme="minorHAnsi"/>
          <w:color w:val="000000"/>
        </w:rPr>
        <w:t>maximum speed of a vehicle.</w:t>
      </w:r>
    </w:p>
    <w:p w14:paraId="313B516C" w14:textId="538A5EA7" w:rsidR="00DF5D0B" w:rsidRPr="00DF5D0B" w:rsidRDefault="00DF5D0B" w:rsidP="00DF5D0B">
      <w:pPr>
        <w:spacing w:after="60"/>
        <w:rPr>
          <w:rFonts w:cstheme="minorHAnsi"/>
          <w:bCs/>
          <w:color w:val="000000"/>
        </w:rPr>
      </w:pPr>
      <w:r w:rsidRPr="00DF5D0B">
        <w:rPr>
          <w:rFonts w:cstheme="minorHAnsi"/>
          <w:bCs/>
          <w:color w:val="000000"/>
        </w:rPr>
        <w:t>3.4.1.5 Newton’s laws of motion</w:t>
      </w:r>
    </w:p>
    <w:p w14:paraId="62221D38" w14:textId="77777777" w:rsidR="00DF5D0B" w:rsidRPr="00DF5D0B" w:rsidRDefault="00DF5D0B" w:rsidP="00DF5D0B">
      <w:pPr>
        <w:autoSpaceDE w:val="0"/>
        <w:autoSpaceDN w:val="0"/>
        <w:adjustRightInd w:val="0"/>
        <w:spacing w:after="0" w:line="221" w:lineRule="atLeast"/>
        <w:rPr>
          <w:rFonts w:cstheme="minorHAnsi"/>
          <w:color w:val="000000"/>
        </w:rPr>
      </w:pPr>
      <w:r w:rsidRPr="00DF5D0B">
        <w:rPr>
          <w:rFonts w:cstheme="minorHAnsi"/>
          <w:color w:val="000000"/>
        </w:rPr>
        <w:t xml:space="preserve">Knowledge and application of the three laws of motion in appropriate situations. </w:t>
      </w:r>
    </w:p>
    <w:p w14:paraId="7E5E0AB3" w14:textId="798FD7F7" w:rsidR="00DF5D0B" w:rsidRPr="00DF5D0B" w:rsidRDefault="00DF5D0B" w:rsidP="00DF5D0B">
      <w:pPr>
        <w:rPr>
          <w:rFonts w:cstheme="minorHAnsi"/>
          <w:color w:val="000000"/>
        </w:rPr>
      </w:pPr>
      <w:r w:rsidRPr="00DF5D0B">
        <w:rPr>
          <w:rFonts w:cstheme="minorHAnsi"/>
          <w:i/>
          <w:iCs/>
          <w:color w:val="000000"/>
        </w:rPr>
        <w:t xml:space="preserve">F </w:t>
      </w:r>
      <w:r w:rsidRPr="00DF5D0B">
        <w:rPr>
          <w:rFonts w:cstheme="minorHAnsi"/>
          <w:color w:val="000000"/>
        </w:rPr>
        <w:t xml:space="preserve">= </w:t>
      </w:r>
      <w:r w:rsidRPr="00DF5D0B">
        <w:rPr>
          <w:rFonts w:cstheme="minorHAnsi"/>
          <w:i/>
          <w:iCs/>
          <w:color w:val="000000"/>
        </w:rPr>
        <w:t xml:space="preserve">ma </w:t>
      </w:r>
      <w:r w:rsidRPr="00DF5D0B">
        <w:rPr>
          <w:rFonts w:cstheme="minorHAnsi"/>
          <w:color w:val="000000"/>
        </w:rPr>
        <w:t xml:space="preserve">for situations where the mass is constant. </w:t>
      </w:r>
    </w:p>
    <w:p w14:paraId="463849A4" w14:textId="1F13E86D" w:rsidR="00986743" w:rsidRPr="00DF5D0B" w:rsidRDefault="00986743" w:rsidP="00986743">
      <w:pPr>
        <w:rPr>
          <w:rFonts w:cs="AQA Chevin Pro Medium"/>
          <w:b/>
          <w:color w:val="000000"/>
          <w:sz w:val="24"/>
          <w:szCs w:val="32"/>
        </w:rPr>
      </w:pPr>
      <w:r w:rsidRPr="00DF5D0B">
        <w:rPr>
          <w:rFonts w:cs="AQA Chevin Pro Medium"/>
          <w:b/>
          <w:color w:val="000000"/>
          <w:sz w:val="24"/>
          <w:szCs w:val="32"/>
        </w:rPr>
        <w:t>Gravitational fields</w:t>
      </w:r>
    </w:p>
    <w:p w14:paraId="27D00E8A" w14:textId="3A2D43E7" w:rsidR="00B230AC" w:rsidRPr="00DF5D0B" w:rsidRDefault="00B230AC" w:rsidP="00DF5D0B">
      <w:pPr>
        <w:spacing w:after="60"/>
        <w:rPr>
          <w:rFonts w:cstheme="minorHAnsi"/>
        </w:rPr>
      </w:pPr>
      <w:r w:rsidRPr="00DF5D0B">
        <w:rPr>
          <w:rFonts w:cs="AQA Chevin Pro DemiBold"/>
          <w:bCs/>
          <w:color w:val="000000"/>
        </w:rPr>
        <w:t>3.7.2.2 Gravitational field strength</w:t>
      </w:r>
    </w:p>
    <w:p w14:paraId="09E06EE1" w14:textId="2237800D" w:rsidR="00986743" w:rsidRPr="00DF5D0B" w:rsidRDefault="00986743" w:rsidP="00B230AC">
      <w:pPr>
        <w:spacing w:after="0"/>
        <w:rPr>
          <w:rFonts w:cstheme="minorHAnsi"/>
        </w:rPr>
      </w:pPr>
      <w:r w:rsidRPr="00DF5D0B">
        <w:rPr>
          <w:rFonts w:cstheme="minorHAnsi"/>
        </w:rPr>
        <w:t>Gravity as a universal attractive force acting between all matter.</w:t>
      </w:r>
    </w:p>
    <w:p w14:paraId="452A1C0A" w14:textId="12C6DCC5" w:rsidR="00986743" w:rsidRPr="00DF5D0B" w:rsidRDefault="00986743" w:rsidP="00B230AC">
      <w:pPr>
        <w:spacing w:after="0"/>
        <w:rPr>
          <w:rFonts w:cstheme="minorHAnsi"/>
        </w:rPr>
      </w:pPr>
      <w:r w:rsidRPr="00DF5D0B">
        <w:rPr>
          <w:rFonts w:cstheme="minorHAnsi"/>
        </w:rPr>
        <w:t>Magnitude of force between point masses: F = Gm</w:t>
      </w:r>
      <w:r w:rsidRPr="00DF5D0B">
        <w:rPr>
          <w:rFonts w:cstheme="minorHAnsi"/>
          <w:vertAlign w:val="subscript"/>
        </w:rPr>
        <w:t>1</w:t>
      </w:r>
      <w:r w:rsidRPr="00DF5D0B">
        <w:rPr>
          <w:rFonts w:cstheme="minorHAnsi"/>
        </w:rPr>
        <w:t>m</w:t>
      </w:r>
      <w:r w:rsidRPr="00DF5D0B">
        <w:rPr>
          <w:rFonts w:cstheme="minorHAnsi"/>
          <w:vertAlign w:val="subscript"/>
        </w:rPr>
        <w:t>2</w:t>
      </w:r>
      <w:r w:rsidRPr="00DF5D0B">
        <w:rPr>
          <w:rFonts w:cstheme="minorHAnsi"/>
        </w:rPr>
        <w:t>/r</w:t>
      </w:r>
      <w:r w:rsidRPr="00DF5D0B">
        <w:rPr>
          <w:rFonts w:cstheme="minorHAnsi"/>
          <w:vertAlign w:val="superscript"/>
        </w:rPr>
        <w:t>2</w:t>
      </w:r>
      <w:r w:rsidRPr="00DF5D0B">
        <w:rPr>
          <w:rFonts w:cstheme="minorHAnsi"/>
        </w:rPr>
        <w:t xml:space="preserve"> where G is the gravitational constant.</w:t>
      </w:r>
    </w:p>
    <w:p w14:paraId="7B4F6C8D" w14:textId="77777777" w:rsidR="00986743" w:rsidRPr="00986743" w:rsidRDefault="00986743" w:rsidP="00B230AC">
      <w:pPr>
        <w:autoSpaceDE w:val="0"/>
        <w:autoSpaceDN w:val="0"/>
        <w:adjustRightInd w:val="0"/>
        <w:spacing w:after="0" w:line="221" w:lineRule="atLeast"/>
        <w:rPr>
          <w:rFonts w:cstheme="minorHAnsi"/>
          <w:color w:val="000000"/>
        </w:rPr>
      </w:pPr>
      <w:r w:rsidRPr="00986743">
        <w:rPr>
          <w:rFonts w:cstheme="minorHAnsi"/>
          <w:color w:val="000000"/>
        </w:rPr>
        <w:t xml:space="preserve">Representation of a gravitational field by gravitational field lines. </w:t>
      </w:r>
    </w:p>
    <w:p w14:paraId="31045FD3" w14:textId="6D11F9C6" w:rsidR="00986743" w:rsidRPr="00986743" w:rsidRDefault="007B3FDC" w:rsidP="00B230AC">
      <w:pPr>
        <w:autoSpaceDE w:val="0"/>
        <w:autoSpaceDN w:val="0"/>
        <w:adjustRightInd w:val="0"/>
        <w:spacing w:after="0" w:line="221" w:lineRule="atLeast"/>
        <w:rPr>
          <w:rFonts w:cstheme="minorHAnsi"/>
          <w:color w:val="000000"/>
        </w:rPr>
      </w:pPr>
      <w:r>
        <w:rPr>
          <w:rFonts w:cstheme="minorHAnsi"/>
          <w:color w:val="000000"/>
        </w:rPr>
        <w:t>g,</w:t>
      </w:r>
      <w:r w:rsidR="00986743" w:rsidRPr="00986743">
        <w:rPr>
          <w:rFonts w:cstheme="minorHAnsi"/>
          <w:color w:val="000000"/>
        </w:rPr>
        <w:t xml:space="preserve"> as force per unit mass as defined by </w:t>
      </w:r>
      <w:r w:rsidR="00986743" w:rsidRPr="00986743">
        <w:rPr>
          <w:rFonts w:cstheme="minorHAnsi"/>
          <w:i/>
          <w:iCs/>
          <w:color w:val="000000"/>
        </w:rPr>
        <w:t xml:space="preserve">g </w:t>
      </w:r>
      <w:r w:rsidR="00986743" w:rsidRPr="00986743">
        <w:rPr>
          <w:rFonts w:cstheme="minorHAnsi"/>
          <w:color w:val="000000"/>
        </w:rPr>
        <w:t xml:space="preserve">= </w:t>
      </w:r>
      <w:r w:rsidR="00986743" w:rsidRPr="00986743">
        <w:rPr>
          <w:rFonts w:cstheme="minorHAnsi"/>
          <w:i/>
          <w:iCs/>
          <w:color w:val="000000"/>
        </w:rPr>
        <w:t>F</w:t>
      </w:r>
      <w:r w:rsidR="00986743" w:rsidRPr="00DF5D0B">
        <w:rPr>
          <w:rFonts w:cstheme="minorHAnsi"/>
          <w:i/>
          <w:iCs/>
          <w:color w:val="000000"/>
        </w:rPr>
        <w:t>/</w:t>
      </w:r>
      <w:r w:rsidR="00986743" w:rsidRPr="00986743">
        <w:rPr>
          <w:rFonts w:cstheme="minorHAnsi"/>
          <w:i/>
          <w:iCs/>
          <w:color w:val="000000"/>
        </w:rPr>
        <w:t xml:space="preserve">m </w:t>
      </w:r>
    </w:p>
    <w:p w14:paraId="72101BD3" w14:textId="11978B83" w:rsidR="00986743" w:rsidRPr="00DF5D0B" w:rsidRDefault="00986743" w:rsidP="00986743">
      <w:pPr>
        <w:rPr>
          <w:rFonts w:cstheme="minorHAnsi"/>
          <w:color w:val="000000"/>
        </w:rPr>
      </w:pPr>
      <w:r w:rsidRPr="00986743">
        <w:rPr>
          <w:rFonts w:cstheme="minorHAnsi"/>
          <w:color w:val="000000"/>
        </w:rPr>
        <w:t xml:space="preserve">Magnitude of g in a radial field given by </w:t>
      </w:r>
      <w:r w:rsidRPr="00986743">
        <w:rPr>
          <w:rFonts w:cstheme="minorHAnsi"/>
          <w:i/>
          <w:iCs/>
          <w:color w:val="000000"/>
        </w:rPr>
        <w:t xml:space="preserve">g </w:t>
      </w:r>
      <w:r w:rsidRPr="00986743">
        <w:rPr>
          <w:rFonts w:cstheme="minorHAnsi"/>
          <w:color w:val="000000"/>
        </w:rPr>
        <w:t xml:space="preserve">= </w:t>
      </w:r>
      <w:r w:rsidRPr="00986743">
        <w:rPr>
          <w:rFonts w:cstheme="minorHAnsi"/>
          <w:i/>
          <w:iCs/>
          <w:color w:val="000000"/>
        </w:rPr>
        <w:t>GM</w:t>
      </w:r>
      <w:r w:rsidRPr="00DF5D0B">
        <w:rPr>
          <w:rFonts w:cstheme="minorHAnsi"/>
          <w:i/>
          <w:iCs/>
          <w:color w:val="000000"/>
        </w:rPr>
        <w:t>/</w:t>
      </w:r>
      <w:r w:rsidRPr="00986743">
        <w:rPr>
          <w:rFonts w:cstheme="minorHAnsi"/>
          <w:i/>
          <w:iCs/>
          <w:color w:val="000000"/>
        </w:rPr>
        <w:t>r</w:t>
      </w:r>
      <w:r w:rsidRPr="00986743">
        <w:rPr>
          <w:rFonts w:cstheme="minorHAnsi"/>
          <w:color w:val="000000"/>
          <w:vertAlign w:val="superscript"/>
        </w:rPr>
        <w:t>2</w:t>
      </w:r>
      <w:r w:rsidRPr="00986743">
        <w:rPr>
          <w:rFonts w:cstheme="minorHAnsi"/>
          <w:color w:val="000000"/>
        </w:rPr>
        <w:t xml:space="preserve"> </w:t>
      </w:r>
    </w:p>
    <w:p w14:paraId="5F586C35" w14:textId="5E3C122E" w:rsidR="00B230AC" w:rsidRPr="00DF5D0B" w:rsidRDefault="00B230AC" w:rsidP="00DF5D0B">
      <w:pPr>
        <w:autoSpaceDE w:val="0"/>
        <w:autoSpaceDN w:val="0"/>
        <w:adjustRightInd w:val="0"/>
        <w:spacing w:after="60" w:line="221" w:lineRule="atLeast"/>
        <w:rPr>
          <w:rFonts w:cstheme="minorHAnsi"/>
          <w:color w:val="000000"/>
        </w:rPr>
      </w:pPr>
      <w:r w:rsidRPr="00DF5D0B">
        <w:rPr>
          <w:rFonts w:cs="AQA Chevin Pro DemiBold"/>
          <w:bCs/>
          <w:color w:val="000000"/>
        </w:rPr>
        <w:t>3.7.2.3 Gravitational potential</w:t>
      </w:r>
    </w:p>
    <w:p w14:paraId="3C322D2D" w14:textId="056719E0" w:rsidR="00986743" w:rsidRPr="00986743" w:rsidRDefault="00986743" w:rsidP="00B230AC">
      <w:pPr>
        <w:autoSpaceDE w:val="0"/>
        <w:autoSpaceDN w:val="0"/>
        <w:adjustRightInd w:val="0"/>
        <w:spacing w:after="0" w:line="221" w:lineRule="atLeast"/>
        <w:rPr>
          <w:rFonts w:cstheme="minorHAnsi"/>
          <w:color w:val="000000"/>
        </w:rPr>
      </w:pPr>
      <w:r w:rsidRPr="00986743">
        <w:rPr>
          <w:rFonts w:cstheme="minorHAnsi"/>
          <w:color w:val="000000"/>
        </w:rPr>
        <w:t xml:space="preserve">Understanding of definition of gravitational potential, including zero value at infinity. </w:t>
      </w:r>
    </w:p>
    <w:p w14:paraId="6BFBF47B" w14:textId="77777777" w:rsidR="00986743" w:rsidRPr="00986743" w:rsidRDefault="00986743" w:rsidP="00B230AC">
      <w:pPr>
        <w:autoSpaceDE w:val="0"/>
        <w:autoSpaceDN w:val="0"/>
        <w:adjustRightInd w:val="0"/>
        <w:spacing w:after="0" w:line="221" w:lineRule="atLeast"/>
        <w:rPr>
          <w:rFonts w:cstheme="minorHAnsi"/>
          <w:color w:val="000000"/>
        </w:rPr>
      </w:pPr>
      <w:r w:rsidRPr="00986743">
        <w:rPr>
          <w:rFonts w:cstheme="minorHAnsi"/>
          <w:color w:val="000000"/>
        </w:rPr>
        <w:t xml:space="preserve">Understanding of gravitational potential difference. </w:t>
      </w:r>
    </w:p>
    <w:p w14:paraId="3BDF0A6B" w14:textId="77777777" w:rsidR="00986743" w:rsidRPr="00986743" w:rsidRDefault="00986743" w:rsidP="00B230AC">
      <w:pPr>
        <w:autoSpaceDE w:val="0"/>
        <w:autoSpaceDN w:val="0"/>
        <w:adjustRightInd w:val="0"/>
        <w:spacing w:after="60" w:line="221" w:lineRule="atLeast"/>
        <w:rPr>
          <w:rFonts w:cstheme="minorHAnsi"/>
          <w:color w:val="000000"/>
        </w:rPr>
      </w:pPr>
      <w:r w:rsidRPr="00986743">
        <w:rPr>
          <w:rFonts w:cstheme="minorHAnsi"/>
          <w:color w:val="000000"/>
        </w:rPr>
        <w:t>Work done in moving mass m given by Δ</w:t>
      </w:r>
      <w:r w:rsidRPr="00986743">
        <w:rPr>
          <w:rFonts w:cstheme="minorHAnsi"/>
          <w:i/>
          <w:iCs/>
          <w:color w:val="000000"/>
        </w:rPr>
        <w:t xml:space="preserve">W </w:t>
      </w:r>
      <w:r w:rsidRPr="00986743">
        <w:rPr>
          <w:rFonts w:cstheme="minorHAnsi"/>
          <w:color w:val="000000"/>
        </w:rPr>
        <w:t xml:space="preserve">= </w:t>
      </w:r>
      <w:proofErr w:type="spellStart"/>
      <w:r w:rsidRPr="00986743">
        <w:rPr>
          <w:rFonts w:cstheme="minorHAnsi"/>
          <w:i/>
          <w:iCs/>
          <w:color w:val="000000"/>
        </w:rPr>
        <w:t>m</w:t>
      </w:r>
      <w:r w:rsidRPr="00986743">
        <w:rPr>
          <w:rFonts w:cstheme="minorHAnsi"/>
          <w:color w:val="000000"/>
        </w:rPr>
        <w:t>Δ</w:t>
      </w:r>
      <w:r w:rsidRPr="00986743">
        <w:rPr>
          <w:rFonts w:cstheme="minorHAnsi"/>
          <w:i/>
          <w:iCs/>
          <w:color w:val="000000"/>
        </w:rPr>
        <w:t>V</w:t>
      </w:r>
      <w:proofErr w:type="spellEnd"/>
      <w:r w:rsidRPr="00986743">
        <w:rPr>
          <w:rFonts w:cstheme="minorHAnsi"/>
          <w:i/>
          <w:iCs/>
          <w:color w:val="000000"/>
        </w:rPr>
        <w:t xml:space="preserve"> </w:t>
      </w:r>
    </w:p>
    <w:p w14:paraId="769F8EE6" w14:textId="77777777" w:rsidR="00986743" w:rsidRPr="00986743" w:rsidRDefault="00986743" w:rsidP="00B230AC">
      <w:pPr>
        <w:autoSpaceDE w:val="0"/>
        <w:autoSpaceDN w:val="0"/>
        <w:adjustRightInd w:val="0"/>
        <w:spacing w:after="0" w:line="221" w:lineRule="atLeast"/>
        <w:rPr>
          <w:rFonts w:cstheme="minorHAnsi"/>
          <w:color w:val="000000"/>
        </w:rPr>
      </w:pPr>
      <w:r w:rsidRPr="00986743">
        <w:rPr>
          <w:rFonts w:cstheme="minorHAnsi"/>
          <w:color w:val="000000"/>
        </w:rPr>
        <w:t xml:space="preserve">Equipotential surfaces. </w:t>
      </w:r>
    </w:p>
    <w:p w14:paraId="6239FA33" w14:textId="77777777" w:rsidR="00986743" w:rsidRPr="00986743" w:rsidRDefault="00986743" w:rsidP="00B230AC">
      <w:pPr>
        <w:autoSpaceDE w:val="0"/>
        <w:autoSpaceDN w:val="0"/>
        <w:adjustRightInd w:val="0"/>
        <w:spacing w:after="0" w:line="221" w:lineRule="atLeast"/>
        <w:rPr>
          <w:rFonts w:cstheme="minorHAnsi"/>
          <w:color w:val="000000"/>
        </w:rPr>
      </w:pPr>
      <w:r w:rsidRPr="00986743">
        <w:rPr>
          <w:rFonts w:cstheme="minorHAnsi"/>
          <w:color w:val="000000"/>
        </w:rPr>
        <w:t xml:space="preserve">Idea that no work is done when moving along an equipotential surface. </w:t>
      </w:r>
    </w:p>
    <w:p w14:paraId="718B5E78" w14:textId="16D1D194" w:rsidR="00986743" w:rsidRPr="00986743" w:rsidRDefault="00986743" w:rsidP="00B230AC">
      <w:pPr>
        <w:autoSpaceDE w:val="0"/>
        <w:autoSpaceDN w:val="0"/>
        <w:adjustRightInd w:val="0"/>
        <w:spacing w:after="0" w:line="221" w:lineRule="atLeast"/>
        <w:rPr>
          <w:rFonts w:cstheme="minorHAnsi"/>
          <w:color w:val="000000"/>
        </w:rPr>
      </w:pPr>
      <w:r w:rsidRPr="00986743">
        <w:rPr>
          <w:rFonts w:cstheme="minorHAnsi"/>
          <w:color w:val="000000"/>
        </w:rPr>
        <w:t xml:space="preserve">V in a radial field given by </w:t>
      </w:r>
      <w:r w:rsidRPr="00986743">
        <w:rPr>
          <w:rFonts w:cstheme="minorHAnsi"/>
          <w:i/>
          <w:iCs/>
          <w:color w:val="000000"/>
        </w:rPr>
        <w:t xml:space="preserve">V </w:t>
      </w:r>
      <w:r w:rsidRPr="00986743">
        <w:rPr>
          <w:rFonts w:cstheme="minorHAnsi"/>
          <w:color w:val="000000"/>
        </w:rPr>
        <w:t xml:space="preserve">= − </w:t>
      </w:r>
      <w:r w:rsidRPr="00986743">
        <w:rPr>
          <w:rFonts w:cstheme="minorHAnsi"/>
          <w:i/>
          <w:iCs/>
          <w:color w:val="000000"/>
        </w:rPr>
        <w:t>GM</w:t>
      </w:r>
      <w:r w:rsidRPr="00DF5D0B">
        <w:rPr>
          <w:rFonts w:cstheme="minorHAnsi"/>
          <w:i/>
          <w:iCs/>
          <w:color w:val="000000"/>
        </w:rPr>
        <w:t>/</w:t>
      </w:r>
      <w:r w:rsidRPr="00986743">
        <w:rPr>
          <w:rFonts w:cstheme="minorHAnsi"/>
          <w:i/>
          <w:iCs/>
          <w:color w:val="000000"/>
        </w:rPr>
        <w:t xml:space="preserve">r </w:t>
      </w:r>
      <w:r w:rsidR="00B230AC" w:rsidRPr="00DF5D0B">
        <w:rPr>
          <w:rFonts w:cstheme="minorHAnsi"/>
          <w:color w:val="000000"/>
        </w:rPr>
        <w:t>and the s</w:t>
      </w:r>
      <w:r w:rsidRPr="00986743">
        <w:rPr>
          <w:rFonts w:cstheme="minorHAnsi"/>
          <w:color w:val="000000"/>
        </w:rPr>
        <w:t xml:space="preserve">ignificance of the negative sign. </w:t>
      </w:r>
    </w:p>
    <w:p w14:paraId="0AB41F41" w14:textId="77777777" w:rsidR="00986743" w:rsidRPr="00986743" w:rsidRDefault="00986743" w:rsidP="00B230AC">
      <w:pPr>
        <w:autoSpaceDE w:val="0"/>
        <w:autoSpaceDN w:val="0"/>
        <w:adjustRightInd w:val="0"/>
        <w:spacing w:after="0" w:line="221" w:lineRule="atLeast"/>
        <w:rPr>
          <w:rFonts w:cstheme="minorHAnsi"/>
          <w:color w:val="000000"/>
        </w:rPr>
      </w:pPr>
      <w:r w:rsidRPr="00986743">
        <w:rPr>
          <w:rFonts w:cstheme="minorHAnsi"/>
          <w:color w:val="000000"/>
        </w:rPr>
        <w:t xml:space="preserve">Graphical representations of variations of g and V with r. </w:t>
      </w:r>
    </w:p>
    <w:p w14:paraId="3B1FA541" w14:textId="3ACC403F" w:rsidR="00986743" w:rsidRPr="00986743" w:rsidRDefault="00986743" w:rsidP="00B230AC">
      <w:pPr>
        <w:autoSpaceDE w:val="0"/>
        <w:autoSpaceDN w:val="0"/>
        <w:adjustRightInd w:val="0"/>
        <w:spacing w:after="0" w:line="221" w:lineRule="atLeast"/>
        <w:rPr>
          <w:rFonts w:cstheme="minorHAnsi"/>
          <w:color w:val="000000"/>
        </w:rPr>
      </w:pPr>
      <w:r w:rsidRPr="00986743">
        <w:rPr>
          <w:rFonts w:cstheme="minorHAnsi"/>
          <w:color w:val="000000"/>
        </w:rPr>
        <w:t xml:space="preserve">V related to g </w:t>
      </w:r>
      <w:proofErr w:type="gramStart"/>
      <w:r w:rsidRPr="00986743">
        <w:rPr>
          <w:rFonts w:cstheme="minorHAnsi"/>
          <w:color w:val="000000"/>
        </w:rPr>
        <w:t>by:</w:t>
      </w:r>
      <w:proofErr w:type="gramEnd"/>
      <w:r w:rsidRPr="00986743">
        <w:rPr>
          <w:rFonts w:cstheme="minorHAnsi"/>
          <w:color w:val="000000"/>
        </w:rPr>
        <w:t xml:space="preserve"> </w:t>
      </w:r>
      <w:r w:rsidRPr="00986743">
        <w:rPr>
          <w:rFonts w:cstheme="minorHAnsi"/>
          <w:i/>
          <w:iCs/>
          <w:color w:val="000000"/>
        </w:rPr>
        <w:t xml:space="preserve">g </w:t>
      </w:r>
      <w:r w:rsidRPr="00986743">
        <w:rPr>
          <w:rFonts w:cstheme="minorHAnsi"/>
          <w:color w:val="000000"/>
        </w:rPr>
        <w:t xml:space="preserve">= − Δ </w:t>
      </w:r>
      <w:r w:rsidRPr="00986743">
        <w:rPr>
          <w:rFonts w:cstheme="minorHAnsi"/>
          <w:i/>
          <w:iCs/>
          <w:color w:val="000000"/>
        </w:rPr>
        <w:t>V</w:t>
      </w:r>
      <w:r w:rsidRPr="00DF5D0B">
        <w:rPr>
          <w:rFonts w:cstheme="minorHAnsi"/>
          <w:i/>
          <w:iCs/>
          <w:color w:val="000000"/>
        </w:rPr>
        <w:t>/</w:t>
      </w:r>
      <w:r w:rsidRPr="00986743">
        <w:rPr>
          <w:rFonts w:cstheme="minorHAnsi"/>
          <w:i/>
          <w:iCs/>
          <w:color w:val="000000"/>
        </w:rPr>
        <w:t xml:space="preserve"> </w:t>
      </w:r>
      <w:r w:rsidRPr="00986743">
        <w:rPr>
          <w:rFonts w:cstheme="minorHAnsi"/>
          <w:color w:val="000000"/>
        </w:rPr>
        <w:t xml:space="preserve">Δ </w:t>
      </w:r>
      <w:r w:rsidRPr="00986743">
        <w:rPr>
          <w:rFonts w:cstheme="minorHAnsi"/>
          <w:i/>
          <w:iCs/>
          <w:color w:val="000000"/>
        </w:rPr>
        <w:t xml:space="preserve">r </w:t>
      </w:r>
    </w:p>
    <w:p w14:paraId="7DCFDBC8" w14:textId="2F610795" w:rsidR="00986743" w:rsidRPr="00DF5D0B" w:rsidRDefault="00986743" w:rsidP="00986743">
      <w:pPr>
        <w:rPr>
          <w:rFonts w:cstheme="minorHAnsi"/>
        </w:rPr>
      </w:pPr>
      <w:r w:rsidRPr="00986743">
        <w:rPr>
          <w:rFonts w:cstheme="minorHAnsi"/>
          <w:color w:val="000000"/>
        </w:rPr>
        <w:t xml:space="preserve">Δ </w:t>
      </w:r>
      <w:r w:rsidRPr="00986743">
        <w:rPr>
          <w:rFonts w:cstheme="minorHAnsi"/>
          <w:i/>
          <w:iCs/>
          <w:color w:val="000000"/>
        </w:rPr>
        <w:t xml:space="preserve">V </w:t>
      </w:r>
      <w:r w:rsidRPr="00986743">
        <w:rPr>
          <w:rFonts w:cstheme="minorHAnsi"/>
          <w:color w:val="000000"/>
        </w:rPr>
        <w:t xml:space="preserve">from area under graph of g against r. </w:t>
      </w:r>
    </w:p>
    <w:p w14:paraId="59083C67" w14:textId="77777777" w:rsidR="00422319" w:rsidRPr="00DF5D0B" w:rsidRDefault="00422319" w:rsidP="00DF5D0B">
      <w:pPr>
        <w:spacing w:after="60"/>
        <w:rPr>
          <w:rFonts w:cs="AQA Chevin Pro DemiBold"/>
          <w:bCs/>
          <w:color w:val="000000"/>
        </w:rPr>
      </w:pPr>
      <w:r w:rsidRPr="00DF5D0B">
        <w:rPr>
          <w:rFonts w:cs="AQA Chevin Pro DemiBold"/>
          <w:bCs/>
          <w:color w:val="000000"/>
        </w:rPr>
        <w:t xml:space="preserve">3.7.2.4 Orbits of planets and satellites </w:t>
      </w:r>
    </w:p>
    <w:p w14:paraId="5C5B47C9" w14:textId="7611A112" w:rsidR="00422319" w:rsidRPr="00422319" w:rsidRDefault="00422319" w:rsidP="00422319">
      <w:pPr>
        <w:spacing w:after="0"/>
        <w:rPr>
          <w:rFonts w:cstheme="minorHAnsi"/>
        </w:rPr>
      </w:pPr>
      <w:r w:rsidRPr="00422319">
        <w:rPr>
          <w:rFonts w:cstheme="minorHAnsi"/>
        </w:rPr>
        <w:t>Orbital period and speed related to radius of circular orbit;</w:t>
      </w:r>
      <w:r>
        <w:rPr>
          <w:rFonts w:cstheme="minorHAnsi"/>
        </w:rPr>
        <w:t xml:space="preserve"> </w:t>
      </w:r>
      <w:r w:rsidRPr="00422319">
        <w:rPr>
          <w:rFonts w:cstheme="minorHAnsi"/>
        </w:rPr>
        <w:t>derivation of T</w:t>
      </w:r>
      <w:r w:rsidRPr="00422319">
        <w:rPr>
          <w:rFonts w:cstheme="minorHAnsi"/>
          <w:vertAlign w:val="superscript"/>
        </w:rPr>
        <w:t>2</w:t>
      </w:r>
      <w:r w:rsidRPr="00422319">
        <w:rPr>
          <w:rFonts w:cstheme="minorHAnsi"/>
        </w:rPr>
        <w:t xml:space="preserve"> </w:t>
      </w:r>
      <w:r w:rsidRPr="00422319">
        <w:rPr>
          <w:rFonts w:ascii="Cambria Math" w:hAnsi="Cambria Math" w:cs="Cambria Math"/>
        </w:rPr>
        <w:t>∝</w:t>
      </w:r>
      <w:r w:rsidRPr="00422319">
        <w:rPr>
          <w:rFonts w:cstheme="minorHAnsi"/>
        </w:rPr>
        <w:t xml:space="preserve"> r</w:t>
      </w:r>
      <w:r w:rsidRPr="00422319">
        <w:rPr>
          <w:rFonts w:cstheme="minorHAnsi"/>
          <w:vertAlign w:val="superscript"/>
        </w:rPr>
        <w:t>3</w:t>
      </w:r>
    </w:p>
    <w:p w14:paraId="34DDE354" w14:textId="77777777" w:rsidR="00422319" w:rsidRPr="00422319" w:rsidRDefault="00422319" w:rsidP="00422319">
      <w:pPr>
        <w:spacing w:after="0"/>
        <w:rPr>
          <w:rFonts w:cstheme="minorHAnsi"/>
        </w:rPr>
      </w:pPr>
      <w:r w:rsidRPr="00422319">
        <w:rPr>
          <w:rFonts w:cstheme="minorHAnsi"/>
        </w:rPr>
        <w:t>Energy considerations for an orbiting satellite.</w:t>
      </w:r>
    </w:p>
    <w:p w14:paraId="3F66EA47" w14:textId="77777777" w:rsidR="00422319" w:rsidRPr="00422319" w:rsidRDefault="00422319" w:rsidP="00422319">
      <w:pPr>
        <w:spacing w:after="0"/>
        <w:rPr>
          <w:rFonts w:cstheme="minorHAnsi"/>
        </w:rPr>
      </w:pPr>
      <w:r w:rsidRPr="00422319">
        <w:rPr>
          <w:rFonts w:cstheme="minorHAnsi"/>
        </w:rPr>
        <w:t>Total energy of an orbiting satellite.</w:t>
      </w:r>
    </w:p>
    <w:p w14:paraId="6A367AAF" w14:textId="77777777" w:rsidR="00422319" w:rsidRPr="00422319" w:rsidRDefault="00422319" w:rsidP="00422319">
      <w:pPr>
        <w:spacing w:after="0"/>
        <w:rPr>
          <w:rFonts w:cstheme="minorHAnsi"/>
        </w:rPr>
      </w:pPr>
      <w:r w:rsidRPr="00422319">
        <w:rPr>
          <w:rFonts w:cstheme="minorHAnsi"/>
        </w:rPr>
        <w:t>Escape velocity.</w:t>
      </w:r>
    </w:p>
    <w:p w14:paraId="470D840F" w14:textId="77777777" w:rsidR="00422319" w:rsidRPr="00422319" w:rsidRDefault="00422319" w:rsidP="00422319">
      <w:pPr>
        <w:spacing w:after="0"/>
        <w:rPr>
          <w:rFonts w:cstheme="minorHAnsi"/>
        </w:rPr>
      </w:pPr>
      <w:r w:rsidRPr="00422319">
        <w:rPr>
          <w:rFonts w:cstheme="minorHAnsi"/>
        </w:rPr>
        <w:t>Synchronous orbits.</w:t>
      </w:r>
    </w:p>
    <w:p w14:paraId="1CED3052" w14:textId="17B323BE" w:rsidR="00B230AC" w:rsidRDefault="00422319" w:rsidP="00422319">
      <w:pPr>
        <w:spacing w:after="0"/>
        <w:rPr>
          <w:sz w:val="28"/>
        </w:rPr>
      </w:pPr>
      <w:r w:rsidRPr="00422319">
        <w:rPr>
          <w:rFonts w:cstheme="minorHAnsi"/>
        </w:rPr>
        <w:t>Use of satellites in low orbits and geostationary orbits, to</w:t>
      </w:r>
      <w:r>
        <w:rPr>
          <w:rFonts w:cstheme="minorHAnsi"/>
        </w:rPr>
        <w:t xml:space="preserve"> </w:t>
      </w:r>
      <w:r w:rsidRPr="00422319">
        <w:rPr>
          <w:rFonts w:cstheme="minorHAnsi"/>
        </w:rPr>
        <w:t>include plane and radius of geostationary orbit.</w:t>
      </w:r>
      <w:r w:rsidR="00B230AC">
        <w:rPr>
          <w:sz w:val="28"/>
        </w:rPr>
        <w:br w:type="page"/>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0200"/>
      </w:tblGrid>
      <w:tr w:rsidR="00136399" w14:paraId="62605658" w14:textId="77777777">
        <w:trPr>
          <w:trHeight w:val="1723"/>
        </w:trPr>
        <w:tc>
          <w:tcPr>
            <w:tcW w:w="10200" w:type="dxa"/>
          </w:tcPr>
          <w:p w14:paraId="68902C4B" w14:textId="2CC34105" w:rsidR="007E6097" w:rsidRPr="007E6097" w:rsidRDefault="007E6097">
            <w:pPr>
              <w:pStyle w:val="Pa11"/>
              <w:spacing w:after="160"/>
              <w:rPr>
                <w:rFonts w:asciiTheme="minorHAnsi" w:hAnsiTheme="minorHAnsi" w:cstheme="minorHAnsi"/>
                <w:b/>
                <w:color w:val="000000"/>
                <w:szCs w:val="22"/>
              </w:rPr>
            </w:pPr>
            <w:r w:rsidRPr="007E6097">
              <w:rPr>
                <w:rFonts w:asciiTheme="minorHAnsi" w:hAnsiTheme="minorHAnsi" w:cstheme="minorHAnsi"/>
                <w:b/>
                <w:color w:val="000000"/>
                <w:szCs w:val="22"/>
              </w:rPr>
              <w:lastRenderedPageBreak/>
              <w:t>Radioactivity</w:t>
            </w:r>
          </w:p>
          <w:p w14:paraId="469438E8" w14:textId="126FDD79" w:rsidR="00136399" w:rsidRPr="007E6097" w:rsidRDefault="007E6097">
            <w:pPr>
              <w:pStyle w:val="Pa11"/>
              <w:spacing w:after="160"/>
              <w:rPr>
                <w:rFonts w:asciiTheme="minorHAnsi" w:hAnsiTheme="minorHAnsi" w:cstheme="minorHAnsi"/>
                <w:color w:val="000000"/>
                <w:sz w:val="22"/>
                <w:szCs w:val="22"/>
              </w:rPr>
            </w:pPr>
            <w:r w:rsidRPr="007E6097">
              <w:rPr>
                <w:rFonts w:asciiTheme="minorHAnsi" w:hAnsiTheme="minorHAnsi" w:cstheme="minorHAnsi"/>
                <w:color w:val="000000"/>
                <w:sz w:val="22"/>
                <w:szCs w:val="22"/>
              </w:rPr>
              <w:t>3.8.1.2 α, β and γ radiation</w:t>
            </w:r>
          </w:p>
          <w:p w14:paraId="6703E2D6" w14:textId="7BB76B17" w:rsidR="00136399" w:rsidRPr="00136399" w:rsidRDefault="00136399" w:rsidP="007E6097">
            <w:pPr>
              <w:pStyle w:val="Pa11"/>
              <w:spacing w:after="60"/>
              <w:rPr>
                <w:rFonts w:asciiTheme="minorHAnsi" w:hAnsiTheme="minorHAnsi" w:cstheme="minorHAnsi"/>
                <w:color w:val="000000"/>
                <w:sz w:val="22"/>
                <w:szCs w:val="22"/>
              </w:rPr>
            </w:pPr>
            <w:r w:rsidRPr="00136399">
              <w:rPr>
                <w:rFonts w:asciiTheme="minorHAnsi" w:hAnsiTheme="minorHAnsi" w:cstheme="minorHAnsi"/>
                <w:color w:val="000000"/>
                <w:sz w:val="22"/>
                <w:szCs w:val="22"/>
              </w:rPr>
              <w:t xml:space="preserve">Their properties and experimental identification using simple absorption experiments; applications </w:t>
            </w:r>
            <w:proofErr w:type="gramStart"/>
            <w:r w:rsidRPr="00136399">
              <w:rPr>
                <w:rFonts w:asciiTheme="minorHAnsi" w:hAnsiTheme="minorHAnsi" w:cstheme="minorHAnsi"/>
                <w:color w:val="000000"/>
                <w:sz w:val="22"/>
                <w:szCs w:val="22"/>
              </w:rPr>
              <w:t>e</w:t>
            </w:r>
            <w:r>
              <w:rPr>
                <w:rFonts w:asciiTheme="minorHAnsi" w:hAnsiTheme="minorHAnsi" w:cstheme="minorHAnsi"/>
                <w:color w:val="000000"/>
                <w:sz w:val="22"/>
                <w:szCs w:val="22"/>
              </w:rPr>
              <w:t>.</w:t>
            </w:r>
            <w:r w:rsidRPr="00136399">
              <w:rPr>
                <w:rFonts w:asciiTheme="minorHAnsi" w:hAnsiTheme="minorHAnsi" w:cstheme="minorHAnsi"/>
                <w:color w:val="000000"/>
                <w:sz w:val="22"/>
                <w:szCs w:val="22"/>
              </w:rPr>
              <w:t>g</w:t>
            </w:r>
            <w:r>
              <w:rPr>
                <w:rFonts w:asciiTheme="minorHAnsi" w:hAnsiTheme="minorHAnsi" w:cstheme="minorHAnsi"/>
                <w:color w:val="000000"/>
                <w:sz w:val="22"/>
                <w:szCs w:val="22"/>
              </w:rPr>
              <w:t>.</w:t>
            </w:r>
            <w:proofErr w:type="gramEnd"/>
            <w:r w:rsidRPr="00136399">
              <w:rPr>
                <w:rFonts w:asciiTheme="minorHAnsi" w:hAnsiTheme="minorHAnsi" w:cstheme="minorHAnsi"/>
                <w:color w:val="000000"/>
                <w:sz w:val="22"/>
                <w:szCs w:val="22"/>
              </w:rPr>
              <w:t xml:space="preserve"> to relative hazards of exposure to humans. </w:t>
            </w:r>
          </w:p>
          <w:p w14:paraId="1B222880" w14:textId="77777777" w:rsidR="00136399" w:rsidRPr="00136399" w:rsidRDefault="00136399" w:rsidP="007E6097">
            <w:pPr>
              <w:pStyle w:val="Pa11"/>
              <w:spacing w:after="60"/>
              <w:rPr>
                <w:rFonts w:asciiTheme="minorHAnsi" w:hAnsiTheme="minorHAnsi" w:cstheme="minorHAnsi"/>
                <w:color w:val="000000"/>
                <w:sz w:val="22"/>
                <w:szCs w:val="22"/>
              </w:rPr>
            </w:pPr>
            <w:r w:rsidRPr="00136399">
              <w:rPr>
                <w:rFonts w:asciiTheme="minorHAnsi" w:hAnsiTheme="minorHAnsi" w:cstheme="minorHAnsi"/>
                <w:color w:val="000000"/>
                <w:sz w:val="22"/>
                <w:szCs w:val="22"/>
              </w:rPr>
              <w:t xml:space="preserve">Applications also include thickness measurements of aluminium foil paper and steel. </w:t>
            </w:r>
          </w:p>
          <w:p w14:paraId="08787A8A" w14:textId="77777777" w:rsidR="00136399" w:rsidRPr="00136399" w:rsidRDefault="00136399" w:rsidP="007E6097">
            <w:pPr>
              <w:pStyle w:val="Pa11"/>
              <w:spacing w:after="60"/>
              <w:rPr>
                <w:rFonts w:asciiTheme="minorHAnsi" w:hAnsiTheme="minorHAnsi" w:cstheme="minorHAnsi"/>
                <w:color w:val="000000"/>
                <w:sz w:val="22"/>
                <w:szCs w:val="22"/>
              </w:rPr>
            </w:pPr>
            <w:r w:rsidRPr="00136399">
              <w:rPr>
                <w:rFonts w:asciiTheme="minorHAnsi" w:hAnsiTheme="minorHAnsi" w:cstheme="minorHAnsi"/>
                <w:color w:val="000000"/>
                <w:sz w:val="22"/>
                <w:szCs w:val="22"/>
              </w:rPr>
              <w:t xml:space="preserve">Inverse-square law for γ radiation: </w:t>
            </w:r>
            <w:r w:rsidRPr="00136399">
              <w:rPr>
                <w:rFonts w:asciiTheme="minorHAnsi" w:hAnsiTheme="minorHAnsi" w:cstheme="minorHAnsi"/>
                <w:i/>
                <w:iCs/>
                <w:color w:val="000000"/>
                <w:sz w:val="22"/>
                <w:szCs w:val="22"/>
              </w:rPr>
              <w:t xml:space="preserve">I </w:t>
            </w:r>
            <w:r w:rsidRPr="00136399">
              <w:rPr>
                <w:rFonts w:asciiTheme="minorHAnsi" w:hAnsiTheme="minorHAnsi" w:cstheme="minorHAnsi"/>
                <w:color w:val="000000"/>
                <w:sz w:val="22"/>
                <w:szCs w:val="22"/>
              </w:rPr>
              <w:t xml:space="preserve">= </w:t>
            </w:r>
            <w:r w:rsidRPr="00136399">
              <w:rPr>
                <w:rFonts w:asciiTheme="minorHAnsi" w:hAnsiTheme="minorHAnsi" w:cstheme="minorHAnsi"/>
                <w:i/>
                <w:iCs/>
                <w:color w:val="000000"/>
                <w:sz w:val="22"/>
                <w:szCs w:val="22"/>
              </w:rPr>
              <w:t>k x</w:t>
            </w:r>
            <w:r w:rsidRPr="00136399">
              <w:rPr>
                <w:rFonts w:asciiTheme="minorHAnsi" w:hAnsiTheme="minorHAnsi" w:cstheme="minorHAnsi"/>
                <w:color w:val="000000"/>
                <w:sz w:val="22"/>
                <w:szCs w:val="22"/>
              </w:rPr>
              <w:t xml:space="preserve">2 </w:t>
            </w:r>
          </w:p>
          <w:p w14:paraId="1101B0EA" w14:textId="77777777" w:rsidR="00136399" w:rsidRPr="00136399" w:rsidRDefault="00136399" w:rsidP="007E6097">
            <w:pPr>
              <w:pStyle w:val="Pa11"/>
              <w:spacing w:after="60"/>
              <w:rPr>
                <w:rFonts w:asciiTheme="minorHAnsi" w:hAnsiTheme="minorHAnsi" w:cstheme="minorHAnsi"/>
                <w:color w:val="000000"/>
                <w:sz w:val="22"/>
                <w:szCs w:val="22"/>
              </w:rPr>
            </w:pPr>
            <w:r w:rsidRPr="00136399">
              <w:rPr>
                <w:rFonts w:asciiTheme="minorHAnsi" w:hAnsiTheme="minorHAnsi" w:cstheme="minorHAnsi"/>
                <w:color w:val="000000"/>
                <w:sz w:val="22"/>
                <w:szCs w:val="22"/>
              </w:rPr>
              <w:t xml:space="preserve">Experimental verification of inverse-square law. </w:t>
            </w:r>
          </w:p>
          <w:p w14:paraId="08ECBE01" w14:textId="09B4D172" w:rsidR="00136399" w:rsidRPr="00136399" w:rsidRDefault="00136399" w:rsidP="007E6097">
            <w:pPr>
              <w:pStyle w:val="Pa11"/>
              <w:spacing w:after="60"/>
              <w:rPr>
                <w:rFonts w:asciiTheme="minorHAnsi" w:hAnsiTheme="minorHAnsi" w:cstheme="minorHAnsi"/>
                <w:color w:val="000000"/>
                <w:sz w:val="22"/>
                <w:szCs w:val="22"/>
              </w:rPr>
            </w:pPr>
            <w:r w:rsidRPr="00136399">
              <w:rPr>
                <w:rFonts w:asciiTheme="minorHAnsi" w:hAnsiTheme="minorHAnsi" w:cstheme="minorHAnsi"/>
                <w:color w:val="000000"/>
                <w:sz w:val="22"/>
                <w:szCs w:val="22"/>
              </w:rPr>
              <w:t xml:space="preserve">Applications </w:t>
            </w:r>
            <w:proofErr w:type="gramStart"/>
            <w:r w:rsidRPr="00136399">
              <w:rPr>
                <w:rFonts w:asciiTheme="minorHAnsi" w:hAnsiTheme="minorHAnsi" w:cstheme="minorHAnsi"/>
                <w:color w:val="000000"/>
                <w:sz w:val="22"/>
                <w:szCs w:val="22"/>
              </w:rPr>
              <w:t>e</w:t>
            </w:r>
            <w:r w:rsidR="007E6097">
              <w:rPr>
                <w:rFonts w:asciiTheme="minorHAnsi" w:hAnsiTheme="minorHAnsi" w:cstheme="minorHAnsi"/>
                <w:color w:val="000000"/>
                <w:sz w:val="22"/>
                <w:szCs w:val="22"/>
              </w:rPr>
              <w:t>.</w:t>
            </w:r>
            <w:r w:rsidRPr="00136399">
              <w:rPr>
                <w:rFonts w:asciiTheme="minorHAnsi" w:hAnsiTheme="minorHAnsi" w:cstheme="minorHAnsi"/>
                <w:color w:val="000000"/>
                <w:sz w:val="22"/>
                <w:szCs w:val="22"/>
              </w:rPr>
              <w:t>g</w:t>
            </w:r>
            <w:r w:rsidR="007E6097">
              <w:rPr>
                <w:rFonts w:asciiTheme="minorHAnsi" w:hAnsiTheme="minorHAnsi" w:cstheme="minorHAnsi"/>
                <w:color w:val="000000"/>
                <w:sz w:val="22"/>
                <w:szCs w:val="22"/>
              </w:rPr>
              <w:t>.</w:t>
            </w:r>
            <w:proofErr w:type="gramEnd"/>
            <w:r w:rsidRPr="00136399">
              <w:rPr>
                <w:rFonts w:asciiTheme="minorHAnsi" w:hAnsiTheme="minorHAnsi" w:cstheme="minorHAnsi"/>
                <w:color w:val="000000"/>
                <w:sz w:val="22"/>
                <w:szCs w:val="22"/>
              </w:rPr>
              <w:t xml:space="preserve"> to safe handling of radioactive sources. </w:t>
            </w:r>
          </w:p>
          <w:p w14:paraId="3B65E740" w14:textId="77777777" w:rsidR="00136399" w:rsidRDefault="00136399">
            <w:pPr>
              <w:pStyle w:val="Pa11"/>
              <w:spacing w:after="160"/>
              <w:rPr>
                <w:rFonts w:cs="HelveticaNeueLT Std"/>
                <w:color w:val="000000"/>
                <w:sz w:val="22"/>
                <w:szCs w:val="22"/>
              </w:rPr>
            </w:pPr>
            <w:r w:rsidRPr="00136399">
              <w:rPr>
                <w:rFonts w:asciiTheme="minorHAnsi" w:hAnsiTheme="minorHAnsi" w:cstheme="minorHAnsi"/>
                <w:color w:val="000000"/>
                <w:sz w:val="22"/>
                <w:szCs w:val="22"/>
              </w:rPr>
              <w:t>Background radiation; examples of its origins and experimental elimination from calculations.</w:t>
            </w:r>
            <w:r>
              <w:rPr>
                <w:rFonts w:cs="HelveticaNeueLT Std"/>
                <w:color w:val="000000"/>
                <w:sz w:val="22"/>
                <w:szCs w:val="22"/>
              </w:rPr>
              <w:t xml:space="preserve"> </w:t>
            </w:r>
          </w:p>
          <w:p w14:paraId="7D41DA4A" w14:textId="59A21E01" w:rsidR="007E6097" w:rsidRPr="007E6097" w:rsidRDefault="007E6097" w:rsidP="007E6097"/>
        </w:tc>
      </w:tr>
    </w:tbl>
    <w:p w14:paraId="54B9335A" w14:textId="5D7C63CB" w:rsidR="00B20030" w:rsidRPr="00B20030" w:rsidRDefault="00B20030" w:rsidP="00B20030">
      <w:pPr>
        <w:rPr>
          <w:sz w:val="28"/>
        </w:rPr>
      </w:pPr>
      <w:r w:rsidRPr="00B20030">
        <w:rPr>
          <w:sz w:val="28"/>
        </w:rPr>
        <w:t>AQA Economics A-Level</w:t>
      </w:r>
    </w:p>
    <w:p w14:paraId="5FF3F536" w14:textId="69747026" w:rsidR="00B20030" w:rsidRPr="00B20030" w:rsidRDefault="00B20030" w:rsidP="00B20030">
      <w:pPr>
        <w:rPr>
          <w:b/>
          <w:sz w:val="24"/>
        </w:rPr>
      </w:pPr>
      <w:r w:rsidRPr="00B20030">
        <w:rPr>
          <w:b/>
          <w:sz w:val="24"/>
        </w:rPr>
        <w:t>Economic methodology and the economic problem</w:t>
      </w:r>
    </w:p>
    <w:p w14:paraId="2D13050A" w14:textId="77777777" w:rsidR="00B20030" w:rsidRDefault="00B20030" w:rsidP="00DF5D0B">
      <w:pPr>
        <w:spacing w:after="60"/>
      </w:pPr>
      <w:r>
        <w:t>4.1.1.2 The nature and purpose of economic activity</w:t>
      </w:r>
    </w:p>
    <w:p w14:paraId="4DB5241A" w14:textId="77777777" w:rsidR="00B20030" w:rsidRDefault="00B20030" w:rsidP="00B20030">
      <w:pPr>
        <w:pStyle w:val="ListParagraph"/>
        <w:numPr>
          <w:ilvl w:val="0"/>
          <w:numId w:val="10"/>
        </w:numPr>
      </w:pPr>
      <w:r>
        <w:t>The central purpose of economic activity is the production of goods and services to satisfy needs and wants.</w:t>
      </w:r>
    </w:p>
    <w:p w14:paraId="3936E09F" w14:textId="77777777" w:rsidR="00B20030" w:rsidRDefault="00B20030" w:rsidP="00B20030">
      <w:pPr>
        <w:pStyle w:val="ListParagraph"/>
        <w:numPr>
          <w:ilvl w:val="0"/>
          <w:numId w:val="10"/>
        </w:numPr>
      </w:pPr>
      <w:r>
        <w:t xml:space="preserve">The key economic decisions </w:t>
      </w:r>
      <w:proofErr w:type="gramStart"/>
      <w:r>
        <w:t>are:</w:t>
      </w:r>
      <w:proofErr w:type="gramEnd"/>
      <w:r>
        <w:t xml:space="preserve"> what to produce, how to produce and who is to benefit from the goods and services produced.</w:t>
      </w:r>
    </w:p>
    <w:p w14:paraId="0954122D" w14:textId="77777777" w:rsidR="00B20030" w:rsidRDefault="00B20030" w:rsidP="00DF5D0B">
      <w:pPr>
        <w:spacing w:after="60"/>
      </w:pPr>
      <w:r>
        <w:t>4.1.1.3 Economic resources</w:t>
      </w:r>
    </w:p>
    <w:p w14:paraId="7949F6BA" w14:textId="77777777" w:rsidR="00B20030" w:rsidRDefault="00B20030" w:rsidP="00B20030">
      <w:pPr>
        <w:pStyle w:val="ListParagraph"/>
        <w:numPr>
          <w:ilvl w:val="0"/>
          <w:numId w:val="11"/>
        </w:numPr>
      </w:pPr>
      <w:r>
        <w:t xml:space="preserve">The economists’ classification of economic resources into land, labour, </w:t>
      </w:r>
      <w:proofErr w:type="gramStart"/>
      <w:r>
        <w:t>capital</w:t>
      </w:r>
      <w:proofErr w:type="gramEnd"/>
      <w:r>
        <w:t xml:space="preserve"> and enterprise, which are the factors of production.</w:t>
      </w:r>
    </w:p>
    <w:p w14:paraId="258B281F" w14:textId="77777777" w:rsidR="00B20030" w:rsidRDefault="00B20030" w:rsidP="00B20030">
      <w:pPr>
        <w:pStyle w:val="ListParagraph"/>
        <w:numPr>
          <w:ilvl w:val="0"/>
          <w:numId w:val="11"/>
        </w:numPr>
      </w:pPr>
      <w:r>
        <w:t>The environment is a scarce resource.</w:t>
      </w:r>
    </w:p>
    <w:p w14:paraId="668EEC20" w14:textId="77777777" w:rsidR="00B20030" w:rsidRDefault="00B20030" w:rsidP="00DF5D0B">
      <w:pPr>
        <w:spacing w:after="60"/>
      </w:pPr>
      <w:r>
        <w:t xml:space="preserve">4.1.1.4 Scarcity, </w:t>
      </w:r>
      <w:proofErr w:type="gramStart"/>
      <w:r>
        <w:t>choice</w:t>
      </w:r>
      <w:proofErr w:type="gramEnd"/>
      <w:r>
        <w:t xml:space="preserve"> and the allocation of resources</w:t>
      </w:r>
    </w:p>
    <w:p w14:paraId="140570AD" w14:textId="77777777" w:rsidR="00B20030" w:rsidRDefault="00B20030" w:rsidP="00B20030">
      <w:pPr>
        <w:pStyle w:val="ListParagraph"/>
        <w:numPr>
          <w:ilvl w:val="0"/>
          <w:numId w:val="11"/>
        </w:numPr>
      </w:pPr>
      <w:r>
        <w:t>The fundamental economic problem is scarcity and that it results from limited resources and unlimited wants.</w:t>
      </w:r>
    </w:p>
    <w:p w14:paraId="2FC069A7" w14:textId="77777777" w:rsidR="00B20030" w:rsidRDefault="00B20030" w:rsidP="00B20030">
      <w:pPr>
        <w:pStyle w:val="ListParagraph"/>
        <w:numPr>
          <w:ilvl w:val="0"/>
          <w:numId w:val="11"/>
        </w:numPr>
      </w:pPr>
      <w:r>
        <w:t xml:space="preserve">Scarcity means that choices </w:t>
      </w:r>
      <w:proofErr w:type="gramStart"/>
      <w:r>
        <w:t>have to</w:t>
      </w:r>
      <w:proofErr w:type="gramEnd"/>
      <w:r>
        <w:t xml:space="preserve"> be made about how scarce resources are allocated between different uses.</w:t>
      </w:r>
    </w:p>
    <w:p w14:paraId="03A1E61E" w14:textId="77777777" w:rsidR="00B20030" w:rsidRDefault="00B20030" w:rsidP="00B20030">
      <w:pPr>
        <w:pStyle w:val="ListParagraph"/>
        <w:numPr>
          <w:ilvl w:val="0"/>
          <w:numId w:val="11"/>
        </w:numPr>
      </w:pPr>
      <w:r>
        <w:t>Choices have an opportunity cost.</w:t>
      </w:r>
    </w:p>
    <w:p w14:paraId="0FD75C0A" w14:textId="77777777" w:rsidR="00B20030" w:rsidRDefault="00B20030" w:rsidP="00DF5D0B">
      <w:pPr>
        <w:spacing w:after="60"/>
      </w:pPr>
      <w:r>
        <w:t>4.1.4.8 Technological change</w:t>
      </w:r>
    </w:p>
    <w:p w14:paraId="53F2B835" w14:textId="77777777" w:rsidR="00B20030" w:rsidRDefault="00B20030" w:rsidP="00B20030">
      <w:pPr>
        <w:pStyle w:val="ListParagraph"/>
        <w:numPr>
          <w:ilvl w:val="0"/>
          <w:numId w:val="12"/>
        </w:numPr>
      </w:pPr>
      <w:r>
        <w:t>The difference between invention and innovation.</w:t>
      </w:r>
    </w:p>
    <w:p w14:paraId="2191BB86" w14:textId="77777777" w:rsidR="00B20030" w:rsidRDefault="00B20030" w:rsidP="00B20030">
      <w:pPr>
        <w:pStyle w:val="ListParagraph"/>
        <w:numPr>
          <w:ilvl w:val="0"/>
          <w:numId w:val="12"/>
        </w:numPr>
      </w:pPr>
      <w:r>
        <w:t xml:space="preserve">Technological change can affect methods of production, productivity, </w:t>
      </w:r>
      <w:proofErr w:type="gramStart"/>
      <w:r>
        <w:t>efficiency</w:t>
      </w:r>
      <w:proofErr w:type="gramEnd"/>
      <w:r>
        <w:t xml:space="preserve"> and firms’ costs of production.</w:t>
      </w:r>
    </w:p>
    <w:p w14:paraId="6ED3B73A" w14:textId="77777777" w:rsidR="00B20030" w:rsidRDefault="00B20030" w:rsidP="00B20030">
      <w:pPr>
        <w:pStyle w:val="ListParagraph"/>
        <w:numPr>
          <w:ilvl w:val="0"/>
          <w:numId w:val="12"/>
        </w:numPr>
      </w:pPr>
      <w:r>
        <w:t>Technological change can lead to the development of new products, the development of new markets and may destroy existing markets.</w:t>
      </w:r>
    </w:p>
    <w:p w14:paraId="4B292B13" w14:textId="77777777" w:rsidR="00B20030" w:rsidRDefault="00B20030" w:rsidP="00B20030">
      <w:pPr>
        <w:pStyle w:val="ListParagraph"/>
        <w:numPr>
          <w:ilvl w:val="0"/>
          <w:numId w:val="12"/>
        </w:numPr>
      </w:pPr>
      <w:r>
        <w:t>Technological change can influence the structure of markets.</w:t>
      </w:r>
    </w:p>
    <w:p w14:paraId="0AC893FA" w14:textId="611B64B1" w:rsidR="000C3D52" w:rsidRPr="000C3D52" w:rsidRDefault="000C3D52">
      <w:pPr>
        <w:rPr>
          <w:szCs w:val="24"/>
        </w:rPr>
      </w:pPr>
    </w:p>
    <w:p w14:paraId="6BB98BB9" w14:textId="77777777" w:rsidR="007E6097" w:rsidRDefault="007E6097">
      <w:pPr>
        <w:rPr>
          <w:sz w:val="28"/>
        </w:rPr>
      </w:pPr>
      <w:r>
        <w:rPr>
          <w:sz w:val="28"/>
        </w:rPr>
        <w:br w:type="page"/>
      </w:r>
    </w:p>
    <w:p w14:paraId="13D4D6A2" w14:textId="78D3ADA5" w:rsidR="00C84D10" w:rsidRPr="00B20030" w:rsidRDefault="00C84D10" w:rsidP="00C84D10">
      <w:pPr>
        <w:rPr>
          <w:sz w:val="28"/>
        </w:rPr>
      </w:pPr>
      <w:r w:rsidRPr="00B20030">
        <w:rPr>
          <w:sz w:val="28"/>
        </w:rPr>
        <w:lastRenderedPageBreak/>
        <w:t xml:space="preserve">AQA </w:t>
      </w:r>
      <w:r w:rsidR="0049045C">
        <w:rPr>
          <w:sz w:val="28"/>
        </w:rPr>
        <w:t>English Language and Literature</w:t>
      </w:r>
      <w:r w:rsidRPr="00B20030">
        <w:rPr>
          <w:sz w:val="28"/>
        </w:rPr>
        <w:t xml:space="preserve"> A-Level</w:t>
      </w:r>
    </w:p>
    <w:p w14:paraId="1EA327D6" w14:textId="317567B9" w:rsidR="0049045C" w:rsidRPr="0049045C" w:rsidRDefault="0049045C">
      <w:pPr>
        <w:rPr>
          <w:b/>
        </w:rPr>
      </w:pPr>
      <w:r w:rsidRPr="0049045C">
        <w:rPr>
          <w:b/>
        </w:rPr>
        <w:t xml:space="preserve">Exploring Conflict </w:t>
      </w:r>
    </w:p>
    <w:p w14:paraId="3F13111F" w14:textId="77777777" w:rsidR="0049045C" w:rsidRDefault="0049045C" w:rsidP="0049045C">
      <w:pPr>
        <w:spacing w:after="60"/>
      </w:pPr>
      <w:r>
        <w:t xml:space="preserve">This part of the subject content focuses on how language choices help to construct ideas of conflict between people, and between people and their societies. Students learn about the ways in which writers and speakers use language, beginning with a general focus on broad questions such as: </w:t>
      </w:r>
    </w:p>
    <w:p w14:paraId="4D63FB1C" w14:textId="77777777" w:rsidR="0049045C" w:rsidRDefault="0049045C" w:rsidP="0049045C">
      <w:pPr>
        <w:pStyle w:val="ListParagraph"/>
        <w:numPr>
          <w:ilvl w:val="0"/>
          <w:numId w:val="14"/>
        </w:numPr>
      </w:pPr>
      <w:r>
        <w:t>How do people interact?</w:t>
      </w:r>
    </w:p>
    <w:p w14:paraId="2BFBE5FE" w14:textId="77777777" w:rsidR="0049045C" w:rsidRDefault="0049045C" w:rsidP="0049045C">
      <w:pPr>
        <w:pStyle w:val="ListParagraph"/>
        <w:numPr>
          <w:ilvl w:val="0"/>
          <w:numId w:val="14"/>
        </w:numPr>
      </w:pPr>
      <w:r>
        <w:t>How do people claim power and position others in talk?</w:t>
      </w:r>
    </w:p>
    <w:p w14:paraId="730EBF4C" w14:textId="77777777" w:rsidR="0049045C" w:rsidRDefault="0049045C" w:rsidP="0049045C">
      <w:pPr>
        <w:pStyle w:val="ListParagraph"/>
        <w:numPr>
          <w:ilvl w:val="0"/>
          <w:numId w:val="14"/>
        </w:numPr>
      </w:pPr>
      <w:r>
        <w:t>How do people express identity?</w:t>
      </w:r>
    </w:p>
    <w:p w14:paraId="212EF846" w14:textId="77777777" w:rsidR="0049045C" w:rsidRDefault="0049045C" w:rsidP="0049045C">
      <w:pPr>
        <w:pStyle w:val="ListParagraph"/>
        <w:numPr>
          <w:ilvl w:val="0"/>
          <w:numId w:val="14"/>
        </w:numPr>
      </w:pPr>
      <w:r>
        <w:t>What communicative strategies do people use when in conflict with others?</w:t>
      </w:r>
    </w:p>
    <w:p w14:paraId="2ACB0EE1" w14:textId="77777777" w:rsidR="0049045C" w:rsidRDefault="0049045C" w:rsidP="0049045C">
      <w:pPr>
        <w:pStyle w:val="ListParagraph"/>
        <w:numPr>
          <w:ilvl w:val="0"/>
          <w:numId w:val="14"/>
        </w:numPr>
        <w:spacing w:after="60"/>
      </w:pPr>
      <w:r>
        <w:t xml:space="preserve">How do different groups or individuals make themselves heard? </w:t>
      </w:r>
    </w:p>
    <w:p w14:paraId="746CCB19" w14:textId="483230EB" w:rsidR="00503780" w:rsidRDefault="0049045C">
      <w:r>
        <w:t>Drawing both on their everyday experiences of interaction in different modes and on published texts, students learn about how the language choices writers make are used to express relationships, drive narrative, and construct views about the nature of different societies. They apply their knowledge to the study of texts about individuals in situations of conflict.</w:t>
      </w:r>
    </w:p>
    <w:p w14:paraId="488B72D3" w14:textId="77777777" w:rsidR="007E6097" w:rsidRDefault="007E6097"/>
    <w:p w14:paraId="0CB87299" w14:textId="03D1CBDA" w:rsidR="00503780" w:rsidRPr="00B20030" w:rsidRDefault="00503780" w:rsidP="00503780">
      <w:pPr>
        <w:rPr>
          <w:sz w:val="28"/>
        </w:rPr>
      </w:pPr>
      <w:r w:rsidRPr="00B20030">
        <w:rPr>
          <w:sz w:val="28"/>
        </w:rPr>
        <w:t xml:space="preserve">AQA </w:t>
      </w:r>
      <w:r>
        <w:rPr>
          <w:sz w:val="28"/>
        </w:rPr>
        <w:t>Geography</w:t>
      </w:r>
      <w:r w:rsidRPr="00B20030">
        <w:rPr>
          <w:sz w:val="28"/>
        </w:rPr>
        <w:t xml:space="preserve"> A-Level</w:t>
      </w:r>
    </w:p>
    <w:p w14:paraId="1B111C72" w14:textId="7779EA31" w:rsidR="00503780" w:rsidRPr="00890329" w:rsidRDefault="00503780" w:rsidP="00503780">
      <w:pPr>
        <w:rPr>
          <w:b/>
          <w:sz w:val="24"/>
        </w:rPr>
      </w:pPr>
      <w:r w:rsidRPr="00890329">
        <w:rPr>
          <w:b/>
          <w:sz w:val="24"/>
        </w:rPr>
        <w:t>Global</w:t>
      </w:r>
      <w:r w:rsidR="00890329" w:rsidRPr="00890329">
        <w:rPr>
          <w:b/>
          <w:sz w:val="24"/>
        </w:rPr>
        <w:t xml:space="preserve"> systems and global governance</w:t>
      </w:r>
    </w:p>
    <w:p w14:paraId="11B6A760" w14:textId="77777777" w:rsidR="00890329" w:rsidRDefault="00890329" w:rsidP="00890329">
      <w:pPr>
        <w:spacing w:after="60"/>
      </w:pPr>
      <w:r>
        <w:t>3.2.1.1 Globalisation</w:t>
      </w:r>
    </w:p>
    <w:p w14:paraId="273FBBBC" w14:textId="77777777" w:rsidR="00890329" w:rsidRDefault="00890329" w:rsidP="00890329">
      <w:pPr>
        <w:spacing w:after="60"/>
      </w:pPr>
      <w:r>
        <w:t xml:space="preserve">Dimensions of globalisation: flows of capital, labour, products, </w:t>
      </w:r>
      <w:proofErr w:type="gramStart"/>
      <w:r>
        <w:t>services</w:t>
      </w:r>
      <w:proofErr w:type="gramEnd"/>
      <w:r>
        <w:t xml:space="preserve"> and information; global marketing; patterns of production, distribution and consumption.</w:t>
      </w:r>
    </w:p>
    <w:p w14:paraId="1B1A4DB8" w14:textId="5B8A76C2" w:rsidR="00890329" w:rsidRDefault="00890329" w:rsidP="00890329">
      <w:r>
        <w:t xml:space="preserve">Factors in globalisation: the development of technologies, </w:t>
      </w:r>
      <w:proofErr w:type="gramStart"/>
      <w:r>
        <w:t>systems</w:t>
      </w:r>
      <w:proofErr w:type="gramEnd"/>
      <w:r>
        <w:t xml:space="preserve"> and relationships, including financial, transport, security, communications, management and information systems and trade agreements.</w:t>
      </w:r>
    </w:p>
    <w:p w14:paraId="67F034F5" w14:textId="75A54E4D" w:rsidR="00890329" w:rsidRDefault="00890329" w:rsidP="00890329">
      <w:pPr>
        <w:spacing w:after="60"/>
      </w:pPr>
      <w:r>
        <w:t>3.2.1.4 Global governance</w:t>
      </w:r>
    </w:p>
    <w:p w14:paraId="052C816F" w14:textId="77777777" w:rsidR="00890329" w:rsidRDefault="00890329" w:rsidP="00890329">
      <w:pPr>
        <w:spacing w:after="60"/>
      </w:pPr>
      <w:r>
        <w:t xml:space="preserve">The emergence and developing role of norms, </w:t>
      </w:r>
      <w:proofErr w:type="gramStart"/>
      <w:r>
        <w:t>laws</w:t>
      </w:r>
      <w:proofErr w:type="gramEnd"/>
      <w:r>
        <w:t xml:space="preserve"> and institutions in regulating and reproducing global systems.</w:t>
      </w:r>
    </w:p>
    <w:p w14:paraId="7B5D4018" w14:textId="77777777" w:rsidR="00890329" w:rsidRDefault="00890329" w:rsidP="00890329">
      <w:pPr>
        <w:spacing w:after="60"/>
      </w:pPr>
      <w:r>
        <w:t>Issues associated with attempts at global governance, including how:</w:t>
      </w:r>
    </w:p>
    <w:p w14:paraId="5D2FF108" w14:textId="77777777" w:rsidR="00890329" w:rsidRDefault="00890329" w:rsidP="00890329">
      <w:pPr>
        <w:pStyle w:val="ListParagraph"/>
        <w:numPr>
          <w:ilvl w:val="0"/>
          <w:numId w:val="15"/>
        </w:numPr>
      </w:pPr>
      <w:r>
        <w:t>agencies, including the UN in the post-1945 era, can work to promote growth and stability but may also exacerbate inequalities and injustices</w:t>
      </w:r>
    </w:p>
    <w:p w14:paraId="133EA942" w14:textId="77777777" w:rsidR="00890329" w:rsidRDefault="00890329" w:rsidP="00890329">
      <w:pPr>
        <w:pStyle w:val="ListParagraph"/>
        <w:numPr>
          <w:ilvl w:val="0"/>
          <w:numId w:val="15"/>
        </w:numPr>
      </w:pPr>
      <w:r>
        <w:t xml:space="preserve">interactions between the local, regional, national, </w:t>
      </w:r>
      <w:proofErr w:type="gramStart"/>
      <w:r>
        <w:t>international</w:t>
      </w:r>
      <w:proofErr w:type="gramEnd"/>
      <w:r>
        <w:t xml:space="preserve"> and global scales are fundamental to understanding global governance.</w:t>
      </w:r>
    </w:p>
    <w:p w14:paraId="65F00B49" w14:textId="77777777" w:rsidR="00890329" w:rsidRDefault="00890329" w:rsidP="00890329">
      <w:r>
        <w:t>3.2.1.5 The 'global commons'</w:t>
      </w:r>
    </w:p>
    <w:p w14:paraId="69FAD28E" w14:textId="6CE85BA3" w:rsidR="00890329" w:rsidRPr="00890329" w:rsidRDefault="00890329" w:rsidP="00890329">
      <w:r>
        <w:t xml:space="preserve">The concept of the ‘global </w:t>
      </w:r>
      <w:proofErr w:type="gramStart"/>
      <w:r w:rsidR="007B3FDC">
        <w:t>commons’</w:t>
      </w:r>
      <w:proofErr w:type="gramEnd"/>
      <w:r>
        <w:t>. The rights of all to the benefits of the global commons. Acknowledgement that the rights of all people to sustainable development must also acknowledge the need to protect the global commons.</w:t>
      </w:r>
    </w:p>
    <w:p w14:paraId="21268510" w14:textId="77777777" w:rsidR="00890329" w:rsidRPr="00890329" w:rsidRDefault="00890329" w:rsidP="00890329">
      <w:pPr>
        <w:spacing w:after="60"/>
      </w:pPr>
      <w:r w:rsidRPr="00890329">
        <w:t>3.2.1.6 Globalisation critique</w:t>
      </w:r>
    </w:p>
    <w:p w14:paraId="2CD45BC3" w14:textId="5DCB7AB2" w:rsidR="00503780" w:rsidRPr="00890329" w:rsidRDefault="00890329" w:rsidP="00890329">
      <w:r w:rsidRPr="00890329">
        <w:t xml:space="preserve">The impacts of globalisation to consider the benefits of growth, development, integration, stability against the costs in terms of inequalities, injustice, </w:t>
      </w:r>
      <w:proofErr w:type="gramStart"/>
      <w:r w:rsidRPr="00890329">
        <w:t>conflict</w:t>
      </w:r>
      <w:proofErr w:type="gramEnd"/>
      <w:r w:rsidRPr="00890329">
        <w:t xml:space="preserve"> and environmental impact</w:t>
      </w:r>
    </w:p>
    <w:p w14:paraId="0A3C7345" w14:textId="77777777" w:rsidR="007E6097" w:rsidRDefault="007E6097">
      <w:pPr>
        <w:rPr>
          <w:b/>
          <w:sz w:val="24"/>
          <w:szCs w:val="24"/>
        </w:rPr>
      </w:pPr>
      <w:r>
        <w:rPr>
          <w:b/>
          <w:sz w:val="24"/>
          <w:szCs w:val="24"/>
        </w:rPr>
        <w:br w:type="page"/>
      </w:r>
    </w:p>
    <w:p w14:paraId="30669F61" w14:textId="28C0DF1F" w:rsidR="00615471" w:rsidRPr="00615471" w:rsidRDefault="00615471" w:rsidP="00615471">
      <w:pPr>
        <w:rPr>
          <w:b/>
          <w:sz w:val="24"/>
          <w:szCs w:val="24"/>
        </w:rPr>
      </w:pPr>
      <w:r w:rsidRPr="00615471">
        <w:rPr>
          <w:b/>
          <w:sz w:val="24"/>
          <w:szCs w:val="24"/>
        </w:rPr>
        <w:lastRenderedPageBreak/>
        <w:t>Resource security</w:t>
      </w:r>
    </w:p>
    <w:p w14:paraId="1B15CC02" w14:textId="19A6D5D9" w:rsidR="00615471" w:rsidRPr="00615471" w:rsidRDefault="00615471" w:rsidP="00615471">
      <w:pPr>
        <w:spacing w:after="60"/>
        <w:rPr>
          <w:szCs w:val="24"/>
        </w:rPr>
      </w:pPr>
      <w:r>
        <w:rPr>
          <w:szCs w:val="24"/>
        </w:rPr>
        <w:t>3</w:t>
      </w:r>
      <w:r w:rsidRPr="00615471">
        <w:rPr>
          <w:szCs w:val="24"/>
        </w:rPr>
        <w:t>.2.5.1 Resource development</w:t>
      </w:r>
    </w:p>
    <w:p w14:paraId="2E402FC3" w14:textId="77777777" w:rsidR="00615471" w:rsidRPr="00615471" w:rsidRDefault="00615471" w:rsidP="00615471">
      <w:pPr>
        <w:spacing w:after="60"/>
        <w:rPr>
          <w:szCs w:val="24"/>
        </w:rPr>
      </w:pPr>
      <w:r w:rsidRPr="00615471">
        <w:rPr>
          <w:szCs w:val="24"/>
        </w:rPr>
        <w:t>Concept of a resource. Resource classifications to include stock and flow resources. Stock resource evaluation: measured reserves, indicated reserves, inferred resources, possible resources. Natural resource development over time: exploration, exploitation, development. Concept of the resource frontier. Concept of resource peak.</w:t>
      </w:r>
    </w:p>
    <w:p w14:paraId="77930B29" w14:textId="77777777" w:rsidR="00615471" w:rsidRPr="00615471" w:rsidRDefault="00615471" w:rsidP="00615471">
      <w:pPr>
        <w:rPr>
          <w:szCs w:val="24"/>
        </w:rPr>
      </w:pPr>
      <w:r w:rsidRPr="00615471">
        <w:rPr>
          <w:szCs w:val="24"/>
        </w:rPr>
        <w:t>Sustainable resource development. Environmental Impact Assessment (EIA) in relation to resource development projects.</w:t>
      </w:r>
    </w:p>
    <w:p w14:paraId="70859446" w14:textId="77777777" w:rsidR="00615471" w:rsidRPr="00615471" w:rsidRDefault="00615471" w:rsidP="00615471">
      <w:pPr>
        <w:spacing w:after="60"/>
        <w:rPr>
          <w:szCs w:val="24"/>
        </w:rPr>
      </w:pPr>
      <w:r w:rsidRPr="00615471">
        <w:rPr>
          <w:szCs w:val="24"/>
        </w:rPr>
        <w:t>3.2.5.2 Natural resource issues</w:t>
      </w:r>
    </w:p>
    <w:p w14:paraId="4F962B61" w14:textId="710D2C75" w:rsidR="00615471" w:rsidRPr="00615471" w:rsidRDefault="00615471" w:rsidP="00615471">
      <w:pPr>
        <w:spacing w:after="60"/>
        <w:rPr>
          <w:szCs w:val="24"/>
        </w:rPr>
      </w:pPr>
      <w:r w:rsidRPr="00615471">
        <w:rPr>
          <w:szCs w:val="24"/>
        </w:rPr>
        <w:t xml:space="preserve">Global patterns of production, consumption and trade/movements of energy and ore minerals. </w:t>
      </w:r>
    </w:p>
    <w:p w14:paraId="4DD5B5F4" w14:textId="77777777" w:rsidR="00615471" w:rsidRDefault="00615471" w:rsidP="00615471">
      <w:pPr>
        <w:rPr>
          <w:szCs w:val="24"/>
        </w:rPr>
      </w:pPr>
      <w:r w:rsidRPr="00615471">
        <w:rPr>
          <w:szCs w:val="24"/>
        </w:rPr>
        <w:t xml:space="preserve">The geopolitics of energy, ore mineral and water resource distributions, </w:t>
      </w:r>
      <w:proofErr w:type="gramStart"/>
      <w:r w:rsidRPr="00615471">
        <w:rPr>
          <w:szCs w:val="24"/>
        </w:rPr>
        <w:t>trade</w:t>
      </w:r>
      <w:proofErr w:type="gramEnd"/>
      <w:r w:rsidRPr="00615471">
        <w:rPr>
          <w:szCs w:val="24"/>
        </w:rPr>
        <w:t xml:space="preserve"> and management.</w:t>
      </w:r>
    </w:p>
    <w:p w14:paraId="4A4D096B" w14:textId="77777777" w:rsidR="00615471" w:rsidRPr="00615471" w:rsidRDefault="00615471" w:rsidP="00615471">
      <w:pPr>
        <w:spacing w:after="60"/>
        <w:rPr>
          <w:szCs w:val="24"/>
        </w:rPr>
      </w:pPr>
      <w:r w:rsidRPr="00615471">
        <w:rPr>
          <w:szCs w:val="24"/>
        </w:rPr>
        <w:t>3.2.5.6 Resource futures</w:t>
      </w:r>
    </w:p>
    <w:p w14:paraId="431EC853" w14:textId="086F2910" w:rsidR="000C3D52" w:rsidRPr="00615471" w:rsidRDefault="00615471" w:rsidP="00615471">
      <w:pPr>
        <w:rPr>
          <w:szCs w:val="24"/>
        </w:rPr>
      </w:pPr>
      <w:r w:rsidRPr="00615471">
        <w:rPr>
          <w:szCs w:val="24"/>
        </w:rPr>
        <w:t xml:space="preserve">Alternative energy, water and mineral ore futures and their relationship with a range of technological, economic, </w:t>
      </w:r>
      <w:proofErr w:type="gramStart"/>
      <w:r w:rsidRPr="00615471">
        <w:rPr>
          <w:szCs w:val="24"/>
        </w:rPr>
        <w:t>environmental</w:t>
      </w:r>
      <w:proofErr w:type="gramEnd"/>
      <w:r w:rsidRPr="00615471">
        <w:rPr>
          <w:szCs w:val="24"/>
        </w:rPr>
        <w:t xml:space="preserve"> and political developments.</w:t>
      </w:r>
      <w:r w:rsidR="000C3D52" w:rsidRPr="00615471">
        <w:rPr>
          <w:szCs w:val="24"/>
        </w:rPr>
        <w:br w:type="page"/>
      </w:r>
    </w:p>
    <w:p w14:paraId="05CE325B" w14:textId="681685FA" w:rsidR="004841CB" w:rsidRPr="00E6051E" w:rsidRDefault="001373EE" w:rsidP="004841CB">
      <w:pPr>
        <w:spacing w:after="240"/>
        <w:rPr>
          <w:b/>
          <w:color w:val="833C0B" w:themeColor="accent2" w:themeShade="80"/>
          <w:sz w:val="28"/>
          <w:szCs w:val="24"/>
        </w:rPr>
      </w:pPr>
      <w:r>
        <w:rPr>
          <w:b/>
          <w:sz w:val="28"/>
          <w:szCs w:val="24"/>
        </w:rPr>
        <w:lastRenderedPageBreak/>
        <w:t>Key</w:t>
      </w:r>
      <w:r w:rsidR="00AE42BA" w:rsidRPr="00E6051E">
        <w:rPr>
          <w:b/>
          <w:sz w:val="28"/>
          <w:szCs w:val="24"/>
        </w:rPr>
        <w:t xml:space="preserve"> information</w:t>
      </w:r>
    </w:p>
    <w:p w14:paraId="19C1D002" w14:textId="7EAC768A" w:rsidR="00091B19" w:rsidRPr="00945355" w:rsidRDefault="00BC791D" w:rsidP="002333C7">
      <w:pPr>
        <w:spacing w:before="240"/>
        <w:rPr>
          <w:b/>
        </w:rPr>
      </w:pPr>
      <w:r w:rsidRPr="00945355">
        <w:rPr>
          <w:b/>
        </w:rPr>
        <w:t>Space Law Treaties and Principles</w:t>
      </w:r>
    </w:p>
    <w:p w14:paraId="748359AB" w14:textId="385287AA" w:rsidR="009C6007" w:rsidRDefault="009C6007" w:rsidP="004D04B4">
      <w:pPr>
        <w:shd w:val="clear" w:color="auto" w:fill="FFFFFF"/>
        <w:rPr>
          <w:rFonts w:eastAsia="Times New Roman" w:cstheme="minorHAnsi"/>
          <w:color w:val="000000" w:themeColor="text1"/>
          <w:szCs w:val="21"/>
          <w:lang w:eastAsia="en-GB"/>
        </w:rPr>
      </w:pPr>
      <w:r>
        <w:rPr>
          <w:rFonts w:eastAsia="Times New Roman" w:cstheme="minorHAnsi"/>
          <w:color w:val="000000" w:themeColor="text1"/>
          <w:szCs w:val="21"/>
          <w:lang w:eastAsia="en-GB"/>
        </w:rPr>
        <w:t>The website of the United Nations Office for Outer Space Affairs (</w:t>
      </w:r>
      <w:hyperlink r:id="rId6" w:history="1">
        <w:r w:rsidRPr="001B19C9">
          <w:rPr>
            <w:rStyle w:val="Hyperlink"/>
            <w:rFonts w:eastAsia="Times New Roman" w:cstheme="minorHAnsi"/>
            <w:szCs w:val="21"/>
            <w:lang w:eastAsia="en-GB"/>
          </w:rPr>
          <w:t>www.unoosa.org</w:t>
        </w:r>
      </w:hyperlink>
      <w:r>
        <w:rPr>
          <w:rFonts w:eastAsia="Times New Roman" w:cstheme="minorHAnsi"/>
          <w:color w:val="000000" w:themeColor="text1"/>
          <w:szCs w:val="21"/>
          <w:lang w:eastAsia="en-GB"/>
        </w:rPr>
        <w:t xml:space="preserve">) </w:t>
      </w:r>
      <w:r w:rsidR="00DD1019">
        <w:rPr>
          <w:rFonts w:eastAsia="Times New Roman" w:cstheme="minorHAnsi"/>
          <w:color w:val="000000" w:themeColor="text1"/>
          <w:szCs w:val="21"/>
          <w:lang w:eastAsia="en-GB"/>
        </w:rPr>
        <w:t xml:space="preserve">clearly summarises the principles of </w:t>
      </w:r>
      <w:r w:rsidR="00835005">
        <w:rPr>
          <w:rFonts w:eastAsia="Times New Roman" w:cstheme="minorHAnsi"/>
          <w:color w:val="000000" w:themeColor="text1"/>
          <w:szCs w:val="21"/>
          <w:lang w:eastAsia="en-GB"/>
        </w:rPr>
        <w:t xml:space="preserve">current </w:t>
      </w:r>
      <w:r w:rsidR="00DD1019">
        <w:rPr>
          <w:rFonts w:eastAsia="Times New Roman" w:cstheme="minorHAnsi"/>
          <w:color w:val="000000" w:themeColor="text1"/>
          <w:szCs w:val="21"/>
          <w:lang w:eastAsia="en-GB"/>
        </w:rPr>
        <w:t xml:space="preserve">international space law in the </w:t>
      </w:r>
      <w:r>
        <w:rPr>
          <w:rFonts w:eastAsia="Times New Roman" w:cstheme="minorHAnsi"/>
          <w:color w:val="000000" w:themeColor="text1"/>
          <w:szCs w:val="21"/>
          <w:lang w:eastAsia="en-GB"/>
        </w:rPr>
        <w:t>introdu</w:t>
      </w:r>
      <w:r w:rsidR="00DD1019">
        <w:rPr>
          <w:rFonts w:eastAsia="Times New Roman" w:cstheme="minorHAnsi"/>
          <w:color w:val="000000" w:themeColor="text1"/>
          <w:szCs w:val="21"/>
          <w:lang w:eastAsia="en-GB"/>
        </w:rPr>
        <w:t>ction</w:t>
      </w:r>
      <w:r>
        <w:rPr>
          <w:rFonts w:eastAsia="Times New Roman" w:cstheme="minorHAnsi"/>
          <w:color w:val="000000" w:themeColor="text1"/>
          <w:szCs w:val="21"/>
          <w:lang w:eastAsia="en-GB"/>
        </w:rPr>
        <w:t xml:space="preserve"> </w:t>
      </w:r>
      <w:r w:rsidR="00DD1019">
        <w:rPr>
          <w:rFonts w:eastAsia="Times New Roman" w:cstheme="minorHAnsi"/>
          <w:color w:val="000000" w:themeColor="text1"/>
          <w:szCs w:val="21"/>
          <w:lang w:eastAsia="en-GB"/>
        </w:rPr>
        <w:t>to their booklet on current International Space Law (UNOOSA, 2017):</w:t>
      </w:r>
    </w:p>
    <w:p w14:paraId="6115630D" w14:textId="6384B0E6" w:rsidR="004D04B4" w:rsidRPr="004D04B4" w:rsidRDefault="009C6007" w:rsidP="004D04B4">
      <w:pPr>
        <w:shd w:val="clear" w:color="auto" w:fill="FFFFFF"/>
        <w:rPr>
          <w:rFonts w:eastAsia="Times New Roman" w:cstheme="minorHAnsi"/>
          <w:color w:val="000000" w:themeColor="text1"/>
          <w:szCs w:val="21"/>
          <w:lang w:eastAsia="en-GB"/>
        </w:rPr>
      </w:pPr>
      <w:r>
        <w:rPr>
          <w:rFonts w:eastAsia="Times New Roman" w:cstheme="minorHAnsi"/>
          <w:color w:val="000000" w:themeColor="text1"/>
          <w:szCs w:val="21"/>
          <w:lang w:eastAsia="en-GB"/>
        </w:rPr>
        <w:t>“</w:t>
      </w:r>
      <w:r w:rsidR="004D04B4" w:rsidRPr="004D04B4">
        <w:rPr>
          <w:rFonts w:eastAsia="Times New Roman" w:cstheme="minorHAnsi"/>
          <w:color w:val="000000" w:themeColor="text1"/>
          <w:szCs w:val="21"/>
          <w:lang w:eastAsia="en-GB"/>
        </w:rPr>
        <w:t xml:space="preserve">The </w:t>
      </w:r>
      <w:r>
        <w:rPr>
          <w:rFonts w:eastAsia="Times New Roman" w:cstheme="minorHAnsi"/>
          <w:color w:val="000000" w:themeColor="text1"/>
          <w:szCs w:val="21"/>
          <w:lang w:eastAsia="en-GB"/>
        </w:rPr>
        <w:t>[</w:t>
      </w:r>
      <w:r w:rsidR="004D04B4" w:rsidRPr="004D04B4">
        <w:rPr>
          <w:rFonts w:eastAsia="Times New Roman" w:cstheme="minorHAnsi"/>
          <w:color w:val="000000" w:themeColor="text1"/>
          <w:szCs w:val="21"/>
          <w:lang w:eastAsia="en-GB"/>
        </w:rPr>
        <w:t>United Nations</w:t>
      </w:r>
      <w:r>
        <w:rPr>
          <w:rFonts w:eastAsia="Times New Roman" w:cstheme="minorHAnsi"/>
          <w:color w:val="000000" w:themeColor="text1"/>
          <w:szCs w:val="21"/>
          <w:lang w:eastAsia="en-GB"/>
        </w:rPr>
        <w:t>]</w:t>
      </w:r>
      <w:r w:rsidR="004D04B4" w:rsidRPr="004D04B4">
        <w:rPr>
          <w:rFonts w:eastAsia="Times New Roman" w:cstheme="minorHAnsi"/>
          <w:color w:val="000000" w:themeColor="text1"/>
          <w:szCs w:val="21"/>
          <w:lang w:eastAsia="en-GB"/>
        </w:rPr>
        <w:t xml:space="preserve"> Committee on the Peaceful Uses of Outer Space is the forum for the development of international space law. The Committee has concluded five international treaties and five sets of principles on space-related activities.</w:t>
      </w:r>
    </w:p>
    <w:p w14:paraId="0C85DFF7" w14:textId="77777777" w:rsidR="004D04B4" w:rsidRPr="004D04B4" w:rsidRDefault="004D04B4" w:rsidP="004D04B4">
      <w:pPr>
        <w:shd w:val="clear" w:color="auto" w:fill="FFFFFF"/>
        <w:rPr>
          <w:rFonts w:eastAsia="Times New Roman" w:cstheme="minorHAnsi"/>
          <w:color w:val="000000" w:themeColor="text1"/>
          <w:szCs w:val="21"/>
          <w:lang w:eastAsia="en-GB"/>
        </w:rPr>
      </w:pPr>
      <w:r w:rsidRPr="004D04B4">
        <w:rPr>
          <w:rFonts w:eastAsia="Times New Roman" w:cstheme="minorHAnsi"/>
          <w:color w:val="000000" w:themeColor="text1"/>
          <w:szCs w:val="21"/>
          <w:lang w:eastAsia="en-GB"/>
        </w:rPr>
        <w:t xml:space="preserve">These five treaties deal with issues such as the non-appropriation of outer space by any one country, arms control, the freedom of exploration, liability for damage caused by space objects, the safety and rescue of spacecraft and astronauts, the prevention of harmful interference with space activities and the environment, the notification and registration of space activities, scientific </w:t>
      </w:r>
      <w:proofErr w:type="gramStart"/>
      <w:r w:rsidRPr="004D04B4">
        <w:rPr>
          <w:rFonts w:eastAsia="Times New Roman" w:cstheme="minorHAnsi"/>
          <w:color w:val="000000" w:themeColor="text1"/>
          <w:szCs w:val="21"/>
          <w:lang w:eastAsia="en-GB"/>
        </w:rPr>
        <w:t>investigation</w:t>
      </w:r>
      <w:proofErr w:type="gramEnd"/>
      <w:r w:rsidRPr="004D04B4">
        <w:rPr>
          <w:rFonts w:eastAsia="Times New Roman" w:cstheme="minorHAnsi"/>
          <w:color w:val="000000" w:themeColor="text1"/>
          <w:szCs w:val="21"/>
          <w:lang w:eastAsia="en-GB"/>
        </w:rPr>
        <w:t xml:space="preserve"> and the exploitation of natural resources in outer space and the settlement of disputes.</w:t>
      </w:r>
    </w:p>
    <w:p w14:paraId="1588D1E3" w14:textId="07D5F573" w:rsidR="00476321" w:rsidRDefault="004D04B4" w:rsidP="004D04B4">
      <w:pPr>
        <w:shd w:val="clear" w:color="auto" w:fill="FFFFFF"/>
        <w:rPr>
          <w:rFonts w:eastAsia="Times New Roman" w:cstheme="minorHAnsi"/>
          <w:color w:val="000000" w:themeColor="text1"/>
          <w:szCs w:val="21"/>
          <w:lang w:eastAsia="en-GB"/>
        </w:rPr>
      </w:pPr>
      <w:r w:rsidRPr="004D04B4">
        <w:rPr>
          <w:rFonts w:eastAsia="Times New Roman" w:cstheme="minorHAnsi"/>
          <w:color w:val="000000" w:themeColor="text1"/>
          <w:szCs w:val="21"/>
          <w:lang w:eastAsia="en-GB"/>
        </w:rPr>
        <w:t>Each of the treaties stresses the notion that outer space, the activities carried out in outer space and whatever benefits might be accrued from outer space should be devoted to enhancing the well-being of all countries and humankind, with an emphasis on promoting international cooperation.</w:t>
      </w:r>
      <w:r w:rsidR="009C6007">
        <w:rPr>
          <w:rFonts w:eastAsia="Times New Roman" w:cstheme="minorHAnsi"/>
          <w:color w:val="000000" w:themeColor="text1"/>
          <w:szCs w:val="21"/>
          <w:lang w:eastAsia="en-GB"/>
        </w:rPr>
        <w:t>”</w:t>
      </w:r>
      <w:r w:rsidR="00835005">
        <w:rPr>
          <w:rFonts w:eastAsia="Times New Roman" w:cstheme="minorHAnsi"/>
          <w:color w:val="000000" w:themeColor="text1"/>
          <w:szCs w:val="21"/>
          <w:lang w:eastAsia="en-GB"/>
        </w:rPr>
        <w:t xml:space="preserve"> </w:t>
      </w:r>
      <w:r w:rsidR="00476321">
        <w:rPr>
          <w:rFonts w:eastAsia="Times New Roman" w:cstheme="minorHAnsi"/>
          <w:color w:val="000000" w:themeColor="text1"/>
          <w:szCs w:val="21"/>
          <w:lang w:eastAsia="en-GB"/>
        </w:rPr>
        <w:t>(UNOOSA, 2021)</w:t>
      </w:r>
    </w:p>
    <w:p w14:paraId="3635F9B2" w14:textId="389E0F12" w:rsidR="00835005" w:rsidRDefault="00835005" w:rsidP="004D04B4">
      <w:pPr>
        <w:shd w:val="clear" w:color="auto" w:fill="FFFFFF"/>
        <w:rPr>
          <w:rFonts w:eastAsia="Times New Roman" w:cstheme="minorHAnsi"/>
          <w:color w:val="000000" w:themeColor="text1"/>
          <w:szCs w:val="21"/>
          <w:lang w:eastAsia="en-GB"/>
        </w:rPr>
      </w:pPr>
      <w:r>
        <w:rPr>
          <w:rFonts w:eastAsia="Times New Roman" w:cstheme="minorHAnsi"/>
          <w:color w:val="000000" w:themeColor="text1"/>
          <w:szCs w:val="21"/>
          <w:lang w:eastAsia="en-GB"/>
        </w:rPr>
        <w:t xml:space="preserve">These treaties </w:t>
      </w:r>
      <w:r w:rsidR="00743ABA">
        <w:rPr>
          <w:rFonts w:eastAsia="Times New Roman" w:cstheme="minorHAnsi"/>
          <w:color w:val="000000" w:themeColor="text1"/>
          <w:szCs w:val="21"/>
          <w:lang w:eastAsia="en-GB"/>
        </w:rPr>
        <w:t>came into force</w:t>
      </w:r>
      <w:r>
        <w:rPr>
          <w:rFonts w:eastAsia="Times New Roman" w:cstheme="minorHAnsi"/>
          <w:color w:val="000000" w:themeColor="text1"/>
          <w:szCs w:val="21"/>
          <w:lang w:eastAsia="en-GB"/>
        </w:rPr>
        <w:t xml:space="preserve"> between 1967 and 19</w:t>
      </w:r>
      <w:r w:rsidR="00743ABA">
        <w:rPr>
          <w:rFonts w:eastAsia="Times New Roman" w:cstheme="minorHAnsi"/>
          <w:color w:val="000000" w:themeColor="text1"/>
          <w:szCs w:val="21"/>
          <w:lang w:eastAsia="en-GB"/>
        </w:rPr>
        <w:t>84 when space exploration was predominantly led by governments.</w:t>
      </w:r>
      <w:r w:rsidR="008236D5">
        <w:rPr>
          <w:rFonts w:eastAsia="Times New Roman" w:cstheme="minorHAnsi"/>
          <w:color w:val="000000" w:themeColor="text1"/>
          <w:szCs w:val="21"/>
          <w:lang w:eastAsia="en-GB"/>
        </w:rPr>
        <w:t xml:space="preserve"> </w:t>
      </w:r>
    </w:p>
    <w:p w14:paraId="0952A2D3" w14:textId="43719A90" w:rsidR="00091B19" w:rsidRDefault="00091B19" w:rsidP="002333C7">
      <w:pPr>
        <w:spacing w:before="240"/>
        <w:rPr>
          <w:b/>
        </w:rPr>
      </w:pPr>
      <w:r w:rsidRPr="00945355">
        <w:rPr>
          <w:b/>
        </w:rPr>
        <w:t>The role of NASA in commercialising space</w:t>
      </w:r>
    </w:p>
    <w:p w14:paraId="76974853" w14:textId="77777777" w:rsidR="005F19B8" w:rsidRDefault="006D44EB" w:rsidP="00091B19">
      <w:pPr>
        <w:rPr>
          <w:rFonts w:cstheme="minorHAnsi"/>
        </w:rPr>
      </w:pPr>
      <w:r>
        <w:t xml:space="preserve">Space exploration began in the 1950’s and 60’s during the Cold War era. It was used in the East and in the West to </w:t>
      </w:r>
      <w:r>
        <w:rPr>
          <w:rFonts w:cstheme="minorHAnsi"/>
        </w:rPr>
        <w:t xml:space="preserve">formulate stories of </w:t>
      </w:r>
      <w:proofErr w:type="gramStart"/>
      <w:r>
        <w:rPr>
          <w:rFonts w:cstheme="minorHAnsi"/>
        </w:rPr>
        <w:t>nation-hood</w:t>
      </w:r>
      <w:proofErr w:type="gramEnd"/>
      <w:r>
        <w:rPr>
          <w:rFonts w:cstheme="minorHAnsi"/>
        </w:rPr>
        <w:t xml:space="preserve"> and achievement for the competing political systems of the time. Each success, for example: the launch of a satellite; the first person in orbit; and the first person on the Moon – was typically viewed as a political victory (Burwell, 2019).</w:t>
      </w:r>
      <w:r w:rsidR="00FC101B">
        <w:rPr>
          <w:rFonts w:cstheme="minorHAnsi"/>
        </w:rPr>
        <w:t xml:space="preserve"> </w:t>
      </w:r>
    </w:p>
    <w:p w14:paraId="78436D90" w14:textId="2525BB20" w:rsidR="009E620B" w:rsidRDefault="00772C6E" w:rsidP="00091B19">
      <w:pPr>
        <w:rPr>
          <w:rFonts w:cstheme="minorHAnsi"/>
          <w:bCs/>
        </w:rPr>
      </w:pPr>
      <w:r>
        <w:rPr>
          <w:rFonts w:cstheme="minorHAnsi"/>
        </w:rPr>
        <w:t>In those early days,</w:t>
      </w:r>
      <w:r w:rsidR="005F19B8">
        <w:rPr>
          <w:rFonts w:cstheme="minorHAnsi"/>
        </w:rPr>
        <w:t xml:space="preserve"> NASA embodied </w:t>
      </w:r>
      <w:r>
        <w:rPr>
          <w:rFonts w:cstheme="minorHAnsi"/>
        </w:rPr>
        <w:t xml:space="preserve">the </w:t>
      </w:r>
      <w:r w:rsidR="005F19B8">
        <w:rPr>
          <w:rFonts w:cstheme="minorHAnsi"/>
        </w:rPr>
        <w:t xml:space="preserve">state dominance of US space </w:t>
      </w:r>
      <w:r>
        <w:rPr>
          <w:rFonts w:cstheme="minorHAnsi"/>
        </w:rPr>
        <w:t>exploration</w:t>
      </w:r>
      <w:r w:rsidR="005F19B8">
        <w:rPr>
          <w:rFonts w:cstheme="minorHAnsi"/>
        </w:rPr>
        <w:t xml:space="preserve">, but </w:t>
      </w:r>
      <w:r w:rsidR="009F7D47">
        <w:rPr>
          <w:rFonts w:cstheme="minorHAnsi"/>
        </w:rPr>
        <w:t>more recent</w:t>
      </w:r>
      <w:r w:rsidR="007B3FDC">
        <w:rPr>
          <w:rFonts w:cstheme="minorHAnsi"/>
        </w:rPr>
        <w:t xml:space="preserve">ly </w:t>
      </w:r>
      <w:r>
        <w:rPr>
          <w:rFonts w:cstheme="minorHAnsi"/>
        </w:rPr>
        <w:t xml:space="preserve">in the US </w:t>
      </w:r>
      <w:r w:rsidR="005F19B8">
        <w:rPr>
          <w:rFonts w:cstheme="minorHAnsi"/>
        </w:rPr>
        <w:t xml:space="preserve">the </w:t>
      </w:r>
      <w:r>
        <w:rPr>
          <w:rFonts w:cstheme="minorHAnsi"/>
        </w:rPr>
        <w:t xml:space="preserve">whole </w:t>
      </w:r>
      <w:r w:rsidR="005F19B8">
        <w:rPr>
          <w:rFonts w:cstheme="minorHAnsi"/>
        </w:rPr>
        <w:t xml:space="preserve">sector has been </w:t>
      </w:r>
      <w:r>
        <w:rPr>
          <w:rFonts w:cstheme="minorHAnsi"/>
        </w:rPr>
        <w:t xml:space="preserve">deliberately </w:t>
      </w:r>
      <w:r w:rsidR="005F19B8">
        <w:rPr>
          <w:rFonts w:cstheme="minorHAnsi"/>
        </w:rPr>
        <w:t>transformed into a rapidly growing commercial</w:t>
      </w:r>
      <w:r>
        <w:rPr>
          <w:rFonts w:cstheme="minorHAnsi"/>
        </w:rPr>
        <w:t xml:space="preserve"> space</w:t>
      </w:r>
      <w:r w:rsidR="005F19B8">
        <w:rPr>
          <w:rFonts w:cstheme="minorHAnsi"/>
        </w:rPr>
        <w:t xml:space="preserve"> industry</w:t>
      </w:r>
      <w:r>
        <w:rPr>
          <w:rFonts w:cstheme="minorHAnsi"/>
        </w:rPr>
        <w:t>.</w:t>
      </w:r>
      <w:r w:rsidR="00DE5613">
        <w:rPr>
          <w:rFonts w:cstheme="minorHAnsi"/>
        </w:rPr>
        <w:t xml:space="preserve"> </w:t>
      </w:r>
      <w:r w:rsidR="001D160F">
        <w:rPr>
          <w:rFonts w:cstheme="minorHAnsi"/>
        </w:rPr>
        <w:t>To do this, th</w:t>
      </w:r>
      <w:r w:rsidR="00DE5613">
        <w:rPr>
          <w:rFonts w:cstheme="minorHAnsi"/>
        </w:rPr>
        <w:t xml:space="preserve">e US government used NASA’s </w:t>
      </w:r>
      <w:r w:rsidR="001D160F">
        <w:rPr>
          <w:rFonts w:cstheme="minorHAnsi"/>
        </w:rPr>
        <w:t xml:space="preserve">dominance to develop different forms of collaboration with new commercial actors, to lower barriers to entry, and to encourage innovation and investment. (Brennan, </w:t>
      </w:r>
      <w:proofErr w:type="spellStart"/>
      <w:r w:rsidR="001D160F">
        <w:rPr>
          <w:rFonts w:cstheme="minorHAnsi"/>
        </w:rPr>
        <w:t>Heracleous</w:t>
      </w:r>
      <w:proofErr w:type="spellEnd"/>
      <w:r w:rsidR="001D160F">
        <w:rPr>
          <w:rFonts w:cstheme="minorHAnsi"/>
        </w:rPr>
        <w:t xml:space="preserve"> and </w:t>
      </w:r>
      <w:proofErr w:type="spellStart"/>
      <w:r w:rsidR="001D160F">
        <w:rPr>
          <w:rFonts w:cstheme="minorHAnsi"/>
        </w:rPr>
        <w:t>Vecchi</w:t>
      </w:r>
      <w:proofErr w:type="spellEnd"/>
      <w:r w:rsidR="001D160F">
        <w:rPr>
          <w:rFonts w:cstheme="minorHAnsi"/>
        </w:rPr>
        <w:t xml:space="preserve">, 2018). </w:t>
      </w:r>
      <w:r w:rsidR="002B58ED">
        <w:rPr>
          <w:rFonts w:cstheme="minorHAnsi"/>
        </w:rPr>
        <w:t xml:space="preserve">Initially NASA worked with </w:t>
      </w:r>
      <w:r w:rsidR="001D160F">
        <w:rPr>
          <w:rFonts w:cstheme="minorHAnsi"/>
        </w:rPr>
        <w:t>private industry to develop technology</w:t>
      </w:r>
      <w:r w:rsidR="002B58ED">
        <w:rPr>
          <w:rFonts w:cstheme="minorHAnsi"/>
        </w:rPr>
        <w:t xml:space="preserve"> and products</w:t>
      </w:r>
      <w:r w:rsidR="001D160F">
        <w:rPr>
          <w:rFonts w:cstheme="minorHAnsi"/>
        </w:rPr>
        <w:t xml:space="preserve"> ‘for NASA</w:t>
      </w:r>
      <w:r w:rsidR="002B58ED">
        <w:rPr>
          <w:rFonts w:cstheme="minorHAnsi"/>
        </w:rPr>
        <w:t>’</w:t>
      </w:r>
      <w:r w:rsidR="001D160F">
        <w:rPr>
          <w:rFonts w:cstheme="minorHAnsi"/>
        </w:rPr>
        <w:t xml:space="preserve">, </w:t>
      </w:r>
      <w:r w:rsidR="002B58ED">
        <w:rPr>
          <w:rFonts w:cstheme="minorHAnsi"/>
        </w:rPr>
        <w:t xml:space="preserve">but </w:t>
      </w:r>
      <w:r w:rsidR="001D160F">
        <w:rPr>
          <w:rFonts w:cstheme="minorHAnsi"/>
        </w:rPr>
        <w:t xml:space="preserve">increasingly </w:t>
      </w:r>
      <w:r w:rsidR="002B58ED">
        <w:rPr>
          <w:rFonts w:cstheme="minorHAnsi"/>
        </w:rPr>
        <w:t>it</w:t>
      </w:r>
      <w:r w:rsidR="001D160F">
        <w:rPr>
          <w:rFonts w:cstheme="minorHAnsi"/>
        </w:rPr>
        <w:t xml:space="preserve"> </w:t>
      </w:r>
      <w:proofErr w:type="gramStart"/>
      <w:r w:rsidR="001D160F">
        <w:rPr>
          <w:rFonts w:cstheme="minorHAnsi"/>
        </w:rPr>
        <w:t>enters into</w:t>
      </w:r>
      <w:proofErr w:type="gramEnd"/>
      <w:r w:rsidR="001D160F">
        <w:rPr>
          <w:rFonts w:cstheme="minorHAnsi"/>
        </w:rPr>
        <w:t xml:space="preserve"> </w:t>
      </w:r>
      <w:r w:rsidR="001D160F">
        <w:rPr>
          <w:rFonts w:cstheme="minorHAnsi"/>
          <w:bCs/>
        </w:rPr>
        <w:t xml:space="preserve">fixed price contracts for technology and products </w:t>
      </w:r>
      <w:r w:rsidR="002B58ED">
        <w:rPr>
          <w:rFonts w:cstheme="minorHAnsi"/>
          <w:bCs/>
        </w:rPr>
        <w:t>that it uses, but which</w:t>
      </w:r>
      <w:r w:rsidR="001D160F">
        <w:rPr>
          <w:rFonts w:cstheme="minorHAnsi"/>
          <w:bCs/>
        </w:rPr>
        <w:t xml:space="preserve"> are owned by the commercial business and can be sold to other buyers</w:t>
      </w:r>
      <w:r w:rsidR="00B87B71">
        <w:rPr>
          <w:rFonts w:cstheme="minorHAnsi"/>
          <w:bCs/>
        </w:rPr>
        <w:t xml:space="preserve"> – with </w:t>
      </w:r>
      <w:r w:rsidR="00BB4BBB">
        <w:rPr>
          <w:rFonts w:cstheme="minorHAnsi"/>
          <w:bCs/>
        </w:rPr>
        <w:t>some restrictions that are based largely on</w:t>
      </w:r>
      <w:r w:rsidR="00B87B71">
        <w:rPr>
          <w:rFonts w:cstheme="minorHAnsi"/>
          <w:bCs/>
        </w:rPr>
        <w:t xml:space="preserve"> </w:t>
      </w:r>
      <w:r w:rsidR="00BB4BBB">
        <w:rPr>
          <w:rFonts w:cstheme="minorHAnsi"/>
          <w:bCs/>
        </w:rPr>
        <w:t>potential military use (</w:t>
      </w:r>
      <w:proofErr w:type="spellStart"/>
      <w:r w:rsidR="00BB4BBB">
        <w:rPr>
          <w:rFonts w:cstheme="minorHAnsi"/>
        </w:rPr>
        <w:t>Heracleous</w:t>
      </w:r>
      <w:proofErr w:type="spellEnd"/>
      <w:r w:rsidR="00BB4BBB">
        <w:rPr>
          <w:rFonts w:cstheme="minorHAnsi"/>
        </w:rPr>
        <w:t>, Terrier and Gonzalez, 2019)</w:t>
      </w:r>
      <w:r w:rsidR="001D160F">
        <w:rPr>
          <w:rFonts w:cstheme="minorHAnsi"/>
          <w:bCs/>
        </w:rPr>
        <w:t>.</w:t>
      </w:r>
    </w:p>
    <w:p w14:paraId="594F13C6" w14:textId="50FFB19F" w:rsidR="00921D72" w:rsidRDefault="00921D72" w:rsidP="00921D72">
      <w:pPr>
        <w:rPr>
          <w:rFonts w:cstheme="minorHAnsi"/>
        </w:rPr>
      </w:pPr>
      <w:r>
        <w:rPr>
          <w:rFonts w:cstheme="minorHAnsi"/>
        </w:rPr>
        <w:t xml:space="preserve">Typically, </w:t>
      </w:r>
      <w:r w:rsidRPr="00921D72">
        <w:rPr>
          <w:rFonts w:cstheme="minorHAnsi"/>
        </w:rPr>
        <w:t>NASA now engages in open innovation and posts innovation challenges online in open competitions</w:t>
      </w:r>
      <w:r>
        <w:rPr>
          <w:rFonts w:cstheme="minorHAnsi"/>
        </w:rPr>
        <w:t xml:space="preserve">. </w:t>
      </w:r>
      <w:r w:rsidR="00A70278">
        <w:rPr>
          <w:rFonts w:cstheme="minorHAnsi"/>
        </w:rPr>
        <w:t xml:space="preserve">The shift has </w:t>
      </w:r>
      <w:r w:rsidRPr="00921D72">
        <w:rPr>
          <w:rFonts w:cstheme="minorHAnsi"/>
        </w:rPr>
        <w:t>created a greater cost consciousness and an openness to solutions created anywhere within the sector (and beyond).</w:t>
      </w:r>
      <w:r>
        <w:rPr>
          <w:rFonts w:cstheme="minorHAnsi"/>
        </w:rPr>
        <w:t xml:space="preserve"> Since 2000, investment in the US space industry has tripled every six years, with 220 new space ventures between 2000 and 2018 (</w:t>
      </w:r>
      <w:proofErr w:type="spellStart"/>
      <w:r>
        <w:rPr>
          <w:rFonts w:cstheme="minorHAnsi"/>
        </w:rPr>
        <w:t>Heracleous</w:t>
      </w:r>
      <w:proofErr w:type="spellEnd"/>
      <w:r>
        <w:rPr>
          <w:rFonts w:cstheme="minorHAnsi"/>
        </w:rPr>
        <w:t xml:space="preserve"> et al. 2019). It is now estimated that SpaceX (founded in 2002) accounts for half of all satellite launches (Burwell, 2019) and that in 2017, 80% of all space activity world-wide (US$ 383.5 billion) was accounted for by commercial products, services, </w:t>
      </w:r>
      <w:proofErr w:type="gramStart"/>
      <w:r>
        <w:rPr>
          <w:rFonts w:cstheme="minorHAnsi"/>
        </w:rPr>
        <w:t>infrastructure</w:t>
      </w:r>
      <w:proofErr w:type="gramEnd"/>
      <w:r>
        <w:rPr>
          <w:rFonts w:cstheme="minorHAnsi"/>
        </w:rPr>
        <w:t xml:space="preserve"> and support industries (</w:t>
      </w:r>
      <w:proofErr w:type="spellStart"/>
      <w:r>
        <w:rPr>
          <w:rFonts w:cstheme="minorHAnsi"/>
        </w:rPr>
        <w:t>Heracleous</w:t>
      </w:r>
      <w:proofErr w:type="spellEnd"/>
      <w:r>
        <w:rPr>
          <w:rFonts w:cstheme="minorHAnsi"/>
        </w:rPr>
        <w:t xml:space="preserve"> et al. 2019).</w:t>
      </w:r>
    </w:p>
    <w:p w14:paraId="7C4DF86D" w14:textId="166E7425" w:rsidR="00554192" w:rsidRPr="00921D72" w:rsidRDefault="001F73F7" w:rsidP="00921D72">
      <w:pPr>
        <w:rPr>
          <w:rFonts w:cstheme="minorHAnsi"/>
        </w:rPr>
      </w:pPr>
      <w:r>
        <w:rPr>
          <w:rFonts w:cstheme="minorHAnsi"/>
        </w:rPr>
        <w:lastRenderedPageBreak/>
        <w:t xml:space="preserve">Current space industry ventures </w:t>
      </w:r>
      <w:proofErr w:type="gramStart"/>
      <w:r>
        <w:rPr>
          <w:rFonts w:cstheme="minorHAnsi"/>
        </w:rPr>
        <w:t>include</w:t>
      </w:r>
      <w:r w:rsidR="00D45A42">
        <w:rPr>
          <w:rFonts w:cstheme="minorHAnsi"/>
        </w:rPr>
        <w:t>:</w:t>
      </w:r>
      <w:proofErr w:type="gramEnd"/>
      <w:r>
        <w:rPr>
          <w:rFonts w:cstheme="minorHAnsi"/>
        </w:rPr>
        <w:t xml:space="preserve"> Earth and space imaging</w:t>
      </w:r>
      <w:r w:rsidR="00D45A42">
        <w:rPr>
          <w:rFonts w:cstheme="minorHAnsi"/>
        </w:rPr>
        <w:t>;</w:t>
      </w:r>
      <w:r>
        <w:rPr>
          <w:rFonts w:cstheme="minorHAnsi"/>
        </w:rPr>
        <w:t xml:space="preserve"> mining of </w:t>
      </w:r>
      <w:r w:rsidRPr="003950D2">
        <w:rPr>
          <w:rFonts w:cstheme="minorHAnsi"/>
        </w:rPr>
        <w:t>asteroids and planets</w:t>
      </w:r>
      <w:r w:rsidR="00D45A42">
        <w:rPr>
          <w:rFonts w:cstheme="minorHAnsi"/>
        </w:rPr>
        <w:t>;</w:t>
      </w:r>
      <w:r w:rsidRPr="003950D2">
        <w:rPr>
          <w:rFonts w:cstheme="minorHAnsi"/>
        </w:rPr>
        <w:t xml:space="preserve"> </w:t>
      </w:r>
      <w:r w:rsidR="00B770A2">
        <w:rPr>
          <w:rFonts w:cstheme="minorHAnsi"/>
        </w:rPr>
        <w:t>space</w:t>
      </w:r>
      <w:r w:rsidR="00B770A2" w:rsidRPr="003950D2">
        <w:rPr>
          <w:rFonts w:cstheme="minorHAnsi"/>
        </w:rPr>
        <w:t xml:space="preserve"> settlement ventures</w:t>
      </w:r>
      <w:r w:rsidR="00B770A2">
        <w:rPr>
          <w:rFonts w:cstheme="minorHAnsi"/>
        </w:rPr>
        <w:t xml:space="preserve">; </w:t>
      </w:r>
      <w:r>
        <w:rPr>
          <w:rFonts w:cstheme="minorHAnsi"/>
        </w:rPr>
        <w:t>research brokerage to facilitate research in space</w:t>
      </w:r>
      <w:r w:rsidR="00D45A42">
        <w:rPr>
          <w:rFonts w:cstheme="minorHAnsi"/>
        </w:rPr>
        <w:t>;</w:t>
      </w:r>
      <w:r w:rsidRPr="003950D2">
        <w:rPr>
          <w:rFonts w:cstheme="minorHAnsi"/>
        </w:rPr>
        <w:t xml:space="preserve"> education</w:t>
      </w:r>
      <w:r w:rsidR="00D45A42">
        <w:rPr>
          <w:rFonts w:cstheme="minorHAnsi"/>
        </w:rPr>
        <w:t>;</w:t>
      </w:r>
      <w:r w:rsidRPr="003950D2">
        <w:rPr>
          <w:rFonts w:cstheme="minorHAnsi"/>
        </w:rPr>
        <w:t xml:space="preserve"> </w:t>
      </w:r>
      <w:r>
        <w:rPr>
          <w:rFonts w:cstheme="minorHAnsi"/>
        </w:rPr>
        <w:t xml:space="preserve">and </w:t>
      </w:r>
      <w:r w:rsidRPr="003950D2">
        <w:rPr>
          <w:rFonts w:cstheme="minorHAnsi"/>
        </w:rPr>
        <w:t>space tourism</w:t>
      </w:r>
      <w:r w:rsidR="00D45A42">
        <w:rPr>
          <w:rFonts w:cstheme="minorHAnsi"/>
        </w:rPr>
        <w:t xml:space="preserve"> (Burwell, 2019)</w:t>
      </w:r>
      <w:r>
        <w:rPr>
          <w:rFonts w:cstheme="minorHAnsi"/>
        </w:rPr>
        <w:t>.</w:t>
      </w:r>
    </w:p>
    <w:p w14:paraId="27A6F0F3" w14:textId="4DCF12B1" w:rsidR="00091B19" w:rsidRDefault="00091B19" w:rsidP="002333C7">
      <w:pPr>
        <w:spacing w:before="240"/>
        <w:rPr>
          <w:b/>
        </w:rPr>
      </w:pPr>
      <w:r w:rsidRPr="00945355">
        <w:rPr>
          <w:b/>
        </w:rPr>
        <w:t>Freedom engineering</w:t>
      </w:r>
    </w:p>
    <w:p w14:paraId="55C5782F" w14:textId="697F4A66" w:rsidR="001131D9" w:rsidRDefault="001C0604" w:rsidP="001131D9">
      <w:r>
        <w:t>‘The extreme conditions of all extra-terrestrial environments restrict freedom of movement and encourage social, political and economic arrangements friendly to tyranny</w:t>
      </w:r>
      <w:r w:rsidR="001131D9">
        <w:t>’</w:t>
      </w:r>
      <w:r w:rsidR="00CA4492" w:rsidRPr="00CA4492">
        <w:rPr>
          <w:rFonts w:cstheme="minorHAnsi"/>
        </w:rPr>
        <w:t xml:space="preserve"> </w:t>
      </w:r>
      <w:r w:rsidR="00620980">
        <w:rPr>
          <w:rFonts w:cstheme="minorHAnsi"/>
        </w:rPr>
        <w:t>(</w:t>
      </w:r>
      <w:r w:rsidR="00CA4492" w:rsidRPr="0044389F">
        <w:rPr>
          <w:rFonts w:cstheme="minorHAnsi"/>
        </w:rPr>
        <w:t>Cockell</w:t>
      </w:r>
      <w:r w:rsidR="00620980">
        <w:rPr>
          <w:rFonts w:cstheme="minorHAnsi"/>
        </w:rPr>
        <w:t>,</w:t>
      </w:r>
      <w:r w:rsidR="00CA4492" w:rsidRPr="0044389F">
        <w:rPr>
          <w:rFonts w:cstheme="minorHAnsi"/>
        </w:rPr>
        <w:t xml:space="preserve"> 2019)</w:t>
      </w:r>
      <w:r w:rsidR="001131D9">
        <w:t>.</w:t>
      </w:r>
      <w:r>
        <w:t xml:space="preserve"> </w:t>
      </w:r>
    </w:p>
    <w:p w14:paraId="2CC083A3" w14:textId="77777777" w:rsidR="00F26F32" w:rsidRDefault="001131D9" w:rsidP="001C0604">
      <w:pPr>
        <w:rPr>
          <w:rFonts w:cstheme="minorHAnsi"/>
        </w:rPr>
      </w:pPr>
      <w:r>
        <w:t xml:space="preserve">In space everyone </w:t>
      </w:r>
      <w:r w:rsidR="00CA4492">
        <w:t>must</w:t>
      </w:r>
      <w:r>
        <w:t xml:space="preserve"> depend on </w:t>
      </w:r>
      <w:r w:rsidR="00CA4492">
        <w:t xml:space="preserve">essential </w:t>
      </w:r>
      <w:r>
        <w:t xml:space="preserve">technologies for survival and </w:t>
      </w:r>
      <w:r w:rsidR="00CA4492">
        <w:t xml:space="preserve">in the isolation of space, </w:t>
      </w:r>
      <w:r>
        <w:t xml:space="preserve">coercive people may be able to exert undue influence if they </w:t>
      </w:r>
      <w:r w:rsidR="00CA4492">
        <w:t xml:space="preserve">have </w:t>
      </w:r>
      <w:r>
        <w:t xml:space="preserve">control </w:t>
      </w:r>
      <w:r w:rsidR="00CA4492">
        <w:t>of these</w:t>
      </w:r>
      <w:r>
        <w:t xml:space="preserve">. </w:t>
      </w:r>
      <w:r w:rsidR="00620980">
        <w:t>There is a</w:t>
      </w:r>
      <w:r w:rsidR="001C0604">
        <w:t xml:space="preserve"> need to engineer the space environment to minimise th</w:t>
      </w:r>
      <w:r>
        <w:t>is</w:t>
      </w:r>
      <w:r w:rsidR="001C0604">
        <w:t xml:space="preserve"> opportunity</w:t>
      </w:r>
      <w:r w:rsidR="0044389F">
        <w:t xml:space="preserve">. </w:t>
      </w:r>
      <w:r w:rsidR="00620980" w:rsidRPr="0044389F">
        <w:t xml:space="preserve">In his paper </w:t>
      </w:r>
      <w:r w:rsidR="00620980" w:rsidRPr="00E61A77">
        <w:rPr>
          <w:rFonts w:cstheme="minorHAnsi"/>
          <w:i/>
        </w:rPr>
        <w:t>Freedom Engineering: Using Engineering to Mitigate Tyranny in Space</w:t>
      </w:r>
      <w:r w:rsidR="00620980" w:rsidRPr="0044389F">
        <w:rPr>
          <w:rFonts w:cstheme="minorHAnsi"/>
        </w:rPr>
        <w:t>, Cockell</w:t>
      </w:r>
      <w:r w:rsidR="00620980">
        <w:rPr>
          <w:rFonts w:cstheme="minorHAnsi"/>
        </w:rPr>
        <w:t xml:space="preserve"> (</w:t>
      </w:r>
      <w:r w:rsidR="00620980" w:rsidRPr="0044389F">
        <w:rPr>
          <w:rFonts w:cstheme="minorHAnsi"/>
        </w:rPr>
        <w:t>2019</w:t>
      </w:r>
      <w:r w:rsidR="00620980">
        <w:rPr>
          <w:rFonts w:cstheme="minorHAnsi"/>
        </w:rPr>
        <w:t xml:space="preserve">) explains the need </w:t>
      </w:r>
      <w:r w:rsidR="00620980" w:rsidRPr="00620980">
        <w:rPr>
          <w:rFonts w:cstheme="minorHAnsi"/>
        </w:rPr>
        <w:t>for engineers</w:t>
      </w:r>
      <w:r w:rsidR="00620980">
        <w:rPr>
          <w:rFonts w:cstheme="minorHAnsi"/>
        </w:rPr>
        <w:t xml:space="preserve">, </w:t>
      </w:r>
      <w:r w:rsidR="00620980" w:rsidRPr="00620980">
        <w:rPr>
          <w:rFonts w:cstheme="minorHAnsi"/>
        </w:rPr>
        <w:t xml:space="preserve">political scientists, </w:t>
      </w:r>
      <w:proofErr w:type="gramStart"/>
      <w:r w:rsidR="00620980" w:rsidRPr="00620980">
        <w:rPr>
          <w:rFonts w:cstheme="minorHAnsi"/>
        </w:rPr>
        <w:t>sociologists</w:t>
      </w:r>
      <w:proofErr w:type="gramEnd"/>
      <w:r w:rsidR="00620980" w:rsidRPr="00620980">
        <w:rPr>
          <w:rFonts w:cstheme="minorHAnsi"/>
        </w:rPr>
        <w:t xml:space="preserve"> and others t</w:t>
      </w:r>
      <w:r w:rsidR="00620980">
        <w:rPr>
          <w:rFonts w:cstheme="minorHAnsi"/>
        </w:rPr>
        <w:t xml:space="preserve">o work together to plan how this might work. </w:t>
      </w:r>
    </w:p>
    <w:p w14:paraId="687AF7D4" w14:textId="77777777" w:rsidR="00F26F32" w:rsidRDefault="00620980" w:rsidP="001C0604">
      <w:r>
        <w:t>It</w:t>
      </w:r>
      <w:r w:rsidR="001C0604">
        <w:t xml:space="preserve"> could be as simple as engineering space </w:t>
      </w:r>
      <w:r>
        <w:t>settlements</w:t>
      </w:r>
      <w:r w:rsidR="001C0604">
        <w:t xml:space="preserve"> to maximise </w:t>
      </w:r>
      <w:r>
        <w:t xml:space="preserve">the </w:t>
      </w:r>
      <w:r w:rsidR="001C0604">
        <w:t xml:space="preserve">number of oxygen, food, </w:t>
      </w:r>
      <w:proofErr w:type="gramStart"/>
      <w:r w:rsidR="001C0604">
        <w:t>water</w:t>
      </w:r>
      <w:proofErr w:type="gramEnd"/>
      <w:r w:rsidR="001C0604">
        <w:t xml:space="preserve"> and power systems</w:t>
      </w:r>
      <w:r w:rsidR="001131D9">
        <w:t>,</w:t>
      </w:r>
      <w:r w:rsidR="001C0604">
        <w:t xml:space="preserve"> so the opportunity to control single machines on a settlement is stopped.</w:t>
      </w:r>
      <w:r w:rsidR="001C0604" w:rsidRPr="001C0604">
        <w:t xml:space="preserve"> </w:t>
      </w:r>
      <w:r w:rsidR="00CA4492">
        <w:t>Or i</w:t>
      </w:r>
      <w:r w:rsidR="0044389F">
        <w:t xml:space="preserve">t might be the engineering of </w:t>
      </w:r>
      <w:r w:rsidR="00F26F32">
        <w:t xml:space="preserve">essential </w:t>
      </w:r>
      <w:r w:rsidR="0044389F">
        <w:t xml:space="preserve">systems that </w:t>
      </w:r>
      <w:r w:rsidR="00F26F32">
        <w:t>most people find</w:t>
      </w:r>
      <w:r w:rsidR="00CA4492">
        <w:t xml:space="preserve"> very</w:t>
      </w:r>
      <w:r w:rsidR="0044389F">
        <w:t xml:space="preserve"> easy </w:t>
      </w:r>
      <w:r w:rsidR="00CA4492">
        <w:t>to repair</w:t>
      </w:r>
      <w:r w:rsidR="0044389F">
        <w:t xml:space="preserve"> and maintain. </w:t>
      </w:r>
    </w:p>
    <w:p w14:paraId="35506620" w14:textId="7D92DD33" w:rsidR="00F26F32" w:rsidRDefault="00F26F32" w:rsidP="001C0604">
      <w:pPr>
        <w:rPr>
          <w:rFonts w:cstheme="minorHAnsi"/>
        </w:rPr>
      </w:pPr>
      <w:r>
        <w:rPr>
          <w:rFonts w:cstheme="minorHAnsi"/>
        </w:rPr>
        <w:t xml:space="preserve">An understanding of </w:t>
      </w:r>
      <w:r w:rsidRPr="00F26F32">
        <w:rPr>
          <w:rFonts w:cstheme="minorHAnsi"/>
          <w:i/>
        </w:rPr>
        <w:t>freedom</w:t>
      </w:r>
      <w:r>
        <w:rPr>
          <w:rFonts w:cstheme="minorHAnsi"/>
        </w:rPr>
        <w:t xml:space="preserve"> varies between and within different cultures, so the form and function of space environments </w:t>
      </w:r>
      <w:r w:rsidR="0004716B">
        <w:rPr>
          <w:rFonts w:cstheme="minorHAnsi"/>
        </w:rPr>
        <w:t>will</w:t>
      </w:r>
      <w:r>
        <w:rPr>
          <w:rFonts w:cstheme="minorHAnsi"/>
        </w:rPr>
        <w:t xml:space="preserve"> need negotiation</w:t>
      </w:r>
      <w:r w:rsidR="0004716B">
        <w:rPr>
          <w:rFonts w:cstheme="minorHAnsi"/>
        </w:rPr>
        <w:t xml:space="preserve">, </w:t>
      </w:r>
      <w:r>
        <w:rPr>
          <w:rFonts w:cstheme="minorHAnsi"/>
        </w:rPr>
        <w:t xml:space="preserve">international </w:t>
      </w:r>
      <w:proofErr w:type="gramStart"/>
      <w:r>
        <w:rPr>
          <w:rFonts w:cstheme="minorHAnsi"/>
        </w:rPr>
        <w:t>agreement</w:t>
      </w:r>
      <w:proofErr w:type="gramEnd"/>
      <w:r w:rsidR="0004716B">
        <w:rPr>
          <w:rFonts w:cstheme="minorHAnsi"/>
        </w:rPr>
        <w:t xml:space="preserve"> and enforceable regulation.</w:t>
      </w:r>
    </w:p>
    <w:p w14:paraId="7A7E540E" w14:textId="35208887" w:rsidR="00091B19" w:rsidRDefault="00091B19" w:rsidP="002333C7">
      <w:pPr>
        <w:spacing w:before="240"/>
        <w:rPr>
          <w:b/>
        </w:rPr>
      </w:pPr>
      <w:r w:rsidRPr="00945355">
        <w:rPr>
          <w:b/>
        </w:rPr>
        <w:t>Conditions on Mars</w:t>
      </w:r>
    </w:p>
    <w:p w14:paraId="2AEEB921" w14:textId="2340EC60" w:rsidR="002A50CD" w:rsidRPr="009E620B" w:rsidRDefault="002B5A0E" w:rsidP="003B5A9E">
      <w:r>
        <w:t>Mars is the closest potentially habitable planet to the Earth.</w:t>
      </w:r>
      <w:r w:rsidR="002A50CD">
        <w:t xml:space="preserve"> </w:t>
      </w:r>
    </w:p>
    <w:p w14:paraId="53AEBD2F" w14:textId="77777777" w:rsidR="0066652B" w:rsidRDefault="0066652B" w:rsidP="0066652B">
      <w:r>
        <w:t>Mars spins on an axis in a similar way to the Earth and the length of its day is 24 hours 37 minutes.  It takes Mars 687 Earth days to go once round the Sun.</w:t>
      </w:r>
    </w:p>
    <w:p w14:paraId="28549315" w14:textId="55070D22" w:rsidR="00D124D5" w:rsidRDefault="00A71E8B" w:rsidP="003B5A9E">
      <w:r>
        <w:t xml:space="preserve">Mars is about half the size of Earth and gravity on Mars is 2.7 times less </w:t>
      </w:r>
      <w:r w:rsidR="002A50CD">
        <w:t xml:space="preserve">strong </w:t>
      </w:r>
      <w:r>
        <w:t xml:space="preserve">than it is on Earth. It has </w:t>
      </w:r>
      <w:r w:rsidR="003C46E4">
        <w:t xml:space="preserve">a </w:t>
      </w:r>
      <w:r>
        <w:t xml:space="preserve">very </w:t>
      </w:r>
      <w:r w:rsidR="002A50CD">
        <w:t>thin</w:t>
      </w:r>
      <w:r>
        <w:t xml:space="preserve"> atmosphere</w:t>
      </w:r>
      <w:r w:rsidR="002A50CD">
        <w:t>, which is mainly</w:t>
      </w:r>
      <w:r>
        <w:t xml:space="preserve"> carbon dioxide</w:t>
      </w:r>
      <w:r w:rsidR="002A50CD">
        <w:t xml:space="preserve"> and includes a tiny proportion of water vapour.</w:t>
      </w:r>
      <w:r>
        <w:t xml:space="preserve"> </w:t>
      </w:r>
      <w:r w:rsidR="002A50CD">
        <w:t>The</w:t>
      </w:r>
      <w:r>
        <w:t xml:space="preserve"> average temperature </w:t>
      </w:r>
      <w:r w:rsidR="002A50CD">
        <w:t xml:space="preserve">on Mars </w:t>
      </w:r>
      <w:r>
        <w:t xml:space="preserve">is </w:t>
      </w:r>
      <w:r w:rsidR="002A50CD">
        <w:t xml:space="preserve">- </w:t>
      </w:r>
      <w:r>
        <w:t>63</w:t>
      </w:r>
      <w:r w:rsidRPr="00A71E8B">
        <w:rPr>
          <w:vertAlign w:val="superscript"/>
        </w:rPr>
        <w:t>o</w:t>
      </w:r>
      <w:r>
        <w:t>C</w:t>
      </w:r>
      <w:r w:rsidR="002A50CD">
        <w:t>, which varies between -140</w:t>
      </w:r>
      <w:r w:rsidR="002A50CD" w:rsidRPr="002A50CD">
        <w:rPr>
          <w:vertAlign w:val="superscript"/>
        </w:rPr>
        <w:t>o</w:t>
      </w:r>
      <w:r w:rsidR="002A50CD">
        <w:t xml:space="preserve">C (at </w:t>
      </w:r>
      <w:r w:rsidR="00D124D5">
        <w:t>its</w:t>
      </w:r>
      <w:r w:rsidR="002A50CD">
        <w:t xml:space="preserve"> poles in winter) and +30</w:t>
      </w:r>
      <w:r w:rsidR="002A50CD" w:rsidRPr="002A50CD">
        <w:rPr>
          <w:vertAlign w:val="superscript"/>
        </w:rPr>
        <w:t>o</w:t>
      </w:r>
      <w:r w:rsidR="002A50CD">
        <w:t>C</w:t>
      </w:r>
      <w:r w:rsidR="00D124D5">
        <w:t xml:space="preserve"> (closer to its equator in the summer)</w:t>
      </w:r>
      <w:r>
        <w:t>.</w:t>
      </w:r>
    </w:p>
    <w:p w14:paraId="68E8F537" w14:textId="77777777" w:rsidR="0066652B" w:rsidRDefault="002A50CD" w:rsidP="003B5A9E">
      <w:r>
        <w:t xml:space="preserve">The surface of Mars is </w:t>
      </w:r>
      <w:r w:rsidR="0066652B">
        <w:t xml:space="preserve">mostly volcanic basalt rock covered in a fine powder. The soil of Mars holds nutrients such as sodium, potassium, </w:t>
      </w:r>
      <w:proofErr w:type="gramStart"/>
      <w:r w:rsidR="0066652B">
        <w:t>chloride</w:t>
      </w:r>
      <w:proofErr w:type="gramEnd"/>
      <w:r w:rsidR="0066652B">
        <w:t xml:space="preserve"> and magnesium.</w:t>
      </w:r>
    </w:p>
    <w:p w14:paraId="1E84F057" w14:textId="23139B02" w:rsidR="002A50CD" w:rsidRDefault="0066652B" w:rsidP="003B5A9E">
      <w:r>
        <w:t xml:space="preserve">The distance between Earth and Mars varies between about 34 million miles and 250 million miles. The average distance is about 140 million miles. At these distances, it would take an average or 14 minutes for a message to be transmitted </w:t>
      </w:r>
      <w:r w:rsidRPr="002340DE">
        <w:rPr>
          <w:i/>
        </w:rPr>
        <w:t>in each direction</w:t>
      </w:r>
      <w:r>
        <w:t xml:space="preserve"> </w:t>
      </w:r>
      <w:r w:rsidR="002340DE">
        <w:t>(which is between about 3 and 22 minutes, depending on the position of the planets in their orbits).</w:t>
      </w:r>
    </w:p>
    <w:p w14:paraId="422E72DE" w14:textId="4A9F87C6" w:rsidR="008F41F9" w:rsidRDefault="008F41F9" w:rsidP="003B5A9E">
      <w:r>
        <w:t xml:space="preserve">Mars does not have a magnetic field </w:t>
      </w:r>
      <w:r w:rsidR="003B5B8A">
        <w:t>to</w:t>
      </w:r>
      <w:r>
        <w:t xml:space="preserve"> protect </w:t>
      </w:r>
      <w:r w:rsidR="003B5B8A">
        <w:t>its</w:t>
      </w:r>
      <w:r>
        <w:t xml:space="preserve"> surface from </w:t>
      </w:r>
      <w:r w:rsidR="003B5B8A">
        <w:t xml:space="preserve">forms of solar </w:t>
      </w:r>
      <w:r>
        <w:t>radiation</w:t>
      </w:r>
      <w:r w:rsidR="003B5B8A">
        <w:t xml:space="preserve"> harmful to humans</w:t>
      </w:r>
      <w:r>
        <w:t>.</w:t>
      </w:r>
    </w:p>
    <w:p w14:paraId="6DC2213B" w14:textId="46BDB25E" w:rsidR="00436CD7" w:rsidRDefault="00436CD7"/>
    <w:p w14:paraId="7670A12D" w14:textId="77777777" w:rsidR="000C3D52" w:rsidRDefault="000C3D52"/>
    <w:p w14:paraId="4ED19394" w14:textId="77777777" w:rsidR="0022616B" w:rsidRPr="0022616B" w:rsidRDefault="0022616B"/>
    <w:p w14:paraId="2517F32D" w14:textId="77777777" w:rsidR="000C3D52" w:rsidRDefault="000C3D52">
      <w:pPr>
        <w:rPr>
          <w:rFonts w:ascii="Calibri" w:hAnsi="Calibri" w:cs="Calibri"/>
          <w:b/>
          <w:noProof/>
          <w:sz w:val="28"/>
          <w:lang w:val="en-US"/>
        </w:rPr>
      </w:pPr>
      <w:r>
        <w:rPr>
          <w:b/>
          <w:sz w:val="28"/>
        </w:rPr>
        <w:br w:type="page"/>
      </w:r>
    </w:p>
    <w:p w14:paraId="49BBB7D4" w14:textId="22D8B8C0" w:rsidR="00E6051E" w:rsidRDefault="00E6051E" w:rsidP="009C587A">
      <w:pPr>
        <w:pStyle w:val="EndNoteBibliography"/>
        <w:spacing w:after="120"/>
        <w:ind w:left="426" w:hanging="426"/>
        <w:rPr>
          <w:b/>
          <w:sz w:val="28"/>
        </w:rPr>
      </w:pPr>
      <w:r w:rsidRPr="00E6051E">
        <w:rPr>
          <w:b/>
          <w:sz w:val="28"/>
        </w:rPr>
        <w:lastRenderedPageBreak/>
        <w:t>References</w:t>
      </w:r>
    </w:p>
    <w:p w14:paraId="2E374FC2" w14:textId="0647D6A9" w:rsidR="00DE5613" w:rsidRDefault="00DE5613" w:rsidP="008F06E5">
      <w:pPr>
        <w:pStyle w:val="EndNoteBibliography"/>
        <w:spacing w:after="120"/>
        <w:ind w:left="426" w:hanging="426"/>
        <w:rPr>
          <w:rFonts w:cstheme="minorHAnsi"/>
          <w:szCs w:val="13"/>
        </w:rPr>
      </w:pPr>
      <w:r w:rsidRPr="00FC06E5">
        <w:rPr>
          <w:rFonts w:cstheme="minorHAnsi"/>
        </w:rPr>
        <w:t>Brennan</w:t>
      </w:r>
      <w:r w:rsidRPr="00FC06E5">
        <w:rPr>
          <w:rFonts w:cstheme="minorHAnsi"/>
          <w:szCs w:val="13"/>
        </w:rPr>
        <w:t xml:space="preserve">, </w:t>
      </w:r>
      <w:r w:rsidRPr="00FC06E5">
        <w:rPr>
          <w:rFonts w:cstheme="minorHAnsi"/>
        </w:rPr>
        <w:t>L.</w:t>
      </w:r>
      <w:r>
        <w:rPr>
          <w:rFonts w:cstheme="minorHAnsi"/>
        </w:rPr>
        <w:t>,</w:t>
      </w:r>
      <w:r w:rsidRPr="00FC06E5">
        <w:rPr>
          <w:rFonts w:cstheme="minorHAnsi"/>
        </w:rPr>
        <w:t xml:space="preserve"> </w:t>
      </w:r>
      <w:r w:rsidRPr="00FC06E5">
        <w:rPr>
          <w:rFonts w:cstheme="minorHAnsi"/>
          <w:szCs w:val="13"/>
        </w:rPr>
        <w:t>Heracleous, L.</w:t>
      </w:r>
      <w:r>
        <w:rPr>
          <w:rFonts w:cstheme="minorHAnsi"/>
          <w:szCs w:val="13"/>
        </w:rPr>
        <w:t xml:space="preserve"> and</w:t>
      </w:r>
      <w:r w:rsidRPr="00FC06E5">
        <w:rPr>
          <w:rFonts w:cstheme="minorHAnsi"/>
          <w:szCs w:val="13"/>
        </w:rPr>
        <w:t xml:space="preserve"> Vecchi, A. </w:t>
      </w:r>
      <w:r>
        <w:rPr>
          <w:rFonts w:cstheme="minorHAnsi"/>
          <w:szCs w:val="13"/>
        </w:rPr>
        <w:t xml:space="preserve">(2018). </w:t>
      </w:r>
      <w:r w:rsidRPr="00DE5613">
        <w:rPr>
          <w:rFonts w:cstheme="minorHAnsi"/>
          <w:i/>
          <w:szCs w:val="13"/>
        </w:rPr>
        <w:t>Above and beyond: Exploring the Business of Space</w:t>
      </w:r>
      <w:r>
        <w:rPr>
          <w:rFonts w:cstheme="minorHAnsi"/>
          <w:i/>
          <w:szCs w:val="13"/>
        </w:rPr>
        <w:t>.</w:t>
      </w:r>
      <w:r>
        <w:rPr>
          <w:rFonts w:cstheme="minorHAnsi"/>
          <w:szCs w:val="13"/>
        </w:rPr>
        <w:t xml:space="preserve"> </w:t>
      </w:r>
      <w:r w:rsidRPr="00FC06E5">
        <w:rPr>
          <w:rFonts w:cstheme="minorHAnsi"/>
          <w:szCs w:val="13"/>
        </w:rPr>
        <w:t>Routledge, NY</w:t>
      </w:r>
      <w:r>
        <w:rPr>
          <w:rFonts w:cstheme="minorHAnsi"/>
          <w:szCs w:val="13"/>
        </w:rPr>
        <w:t>.</w:t>
      </w:r>
    </w:p>
    <w:p w14:paraId="57A1DC78" w14:textId="0F5E42DA" w:rsidR="00FE0504" w:rsidRDefault="00FE0504" w:rsidP="008F06E5">
      <w:pPr>
        <w:pStyle w:val="EndNoteBibliography"/>
        <w:spacing w:after="120"/>
        <w:ind w:left="426" w:hanging="426"/>
        <w:rPr>
          <w:rFonts w:asciiTheme="minorHAnsi" w:hAnsiTheme="minorHAnsi" w:cstheme="minorHAnsi"/>
        </w:rPr>
      </w:pPr>
      <w:r>
        <w:rPr>
          <w:rFonts w:asciiTheme="minorHAnsi" w:hAnsiTheme="minorHAnsi" w:cstheme="minorHAnsi"/>
        </w:rPr>
        <w:t>Burwell, J. (2019). Imagining the Beyond: The Social and Political Fashioning of Outer Space. Space Policy, 48, 41-49.</w:t>
      </w:r>
    </w:p>
    <w:p w14:paraId="5F34E1A1" w14:textId="42EFE19A" w:rsidR="00FE0504" w:rsidRDefault="00FE0504" w:rsidP="00FE0504">
      <w:pPr>
        <w:autoSpaceDE w:val="0"/>
        <w:autoSpaceDN w:val="0"/>
        <w:adjustRightInd w:val="0"/>
        <w:spacing w:after="120" w:line="240" w:lineRule="auto"/>
        <w:ind w:left="426" w:hanging="426"/>
      </w:pPr>
      <w:r>
        <w:t xml:space="preserve">Cockell, C. S. (2010.) </w:t>
      </w:r>
      <w:r w:rsidRPr="00022D73">
        <w:rPr>
          <w:i/>
        </w:rPr>
        <w:t xml:space="preserve">Essay on the </w:t>
      </w:r>
      <w:r>
        <w:rPr>
          <w:i/>
        </w:rPr>
        <w:t>C</w:t>
      </w:r>
      <w:r w:rsidRPr="00022D73">
        <w:rPr>
          <w:i/>
        </w:rPr>
        <w:t xml:space="preserve">auses and </w:t>
      </w:r>
      <w:r>
        <w:rPr>
          <w:i/>
        </w:rPr>
        <w:t>C</w:t>
      </w:r>
      <w:r w:rsidRPr="00022D73">
        <w:rPr>
          <w:i/>
        </w:rPr>
        <w:t xml:space="preserve">onsequences of </w:t>
      </w:r>
      <w:r>
        <w:rPr>
          <w:i/>
        </w:rPr>
        <w:t>E</w:t>
      </w:r>
      <w:r w:rsidRPr="00022D73">
        <w:rPr>
          <w:i/>
        </w:rPr>
        <w:t xml:space="preserve">xtra-terrestrial </w:t>
      </w:r>
      <w:r>
        <w:rPr>
          <w:i/>
        </w:rPr>
        <w:t>T</w:t>
      </w:r>
      <w:r w:rsidRPr="00022D73">
        <w:rPr>
          <w:i/>
        </w:rPr>
        <w:t>yranny</w:t>
      </w:r>
      <w:r>
        <w:t>, Journal of the British Interplanetary Society (JBIS) 63 15-37.</w:t>
      </w:r>
    </w:p>
    <w:p w14:paraId="644A973E" w14:textId="1779BD82" w:rsidR="00FE0504" w:rsidRDefault="00FE0504" w:rsidP="00FE0504">
      <w:pPr>
        <w:pStyle w:val="EndNoteBibliography"/>
        <w:spacing w:after="120"/>
        <w:ind w:left="426" w:hanging="426"/>
        <w:rPr>
          <w:rFonts w:asciiTheme="minorHAnsi" w:hAnsiTheme="minorHAnsi" w:cstheme="minorHAnsi"/>
        </w:rPr>
      </w:pPr>
      <w:r>
        <w:rPr>
          <w:rFonts w:asciiTheme="minorHAnsi" w:hAnsiTheme="minorHAnsi" w:cstheme="minorHAnsi"/>
        </w:rPr>
        <w:t xml:space="preserve">Cockell, C. S. (2019). </w:t>
      </w:r>
      <w:r w:rsidRPr="00FE0504">
        <w:rPr>
          <w:rFonts w:asciiTheme="minorHAnsi" w:hAnsiTheme="minorHAnsi" w:cstheme="minorHAnsi"/>
          <w:i/>
        </w:rPr>
        <w:t>Freedom Engineering – Using Engineering to Mitigate Tyranny in Space.</w:t>
      </w:r>
      <w:r>
        <w:rPr>
          <w:rFonts w:asciiTheme="minorHAnsi" w:hAnsiTheme="minorHAnsi" w:cstheme="minorHAnsi"/>
        </w:rPr>
        <w:t xml:space="preserve"> Space Policy, 49.</w:t>
      </w:r>
    </w:p>
    <w:p w14:paraId="7886B6FC" w14:textId="21A43C64" w:rsidR="008F06E5" w:rsidRDefault="00DD7FF8" w:rsidP="00FE0504">
      <w:pPr>
        <w:pStyle w:val="EndNoteBibliography"/>
        <w:spacing w:after="120"/>
        <w:ind w:left="425" w:hanging="425"/>
      </w:pPr>
      <w:r>
        <w:rPr>
          <w:rFonts w:asciiTheme="minorHAnsi" w:hAnsiTheme="minorHAnsi" w:cstheme="minorHAnsi"/>
        </w:rPr>
        <w:t xml:space="preserve">Heracleous, L., Terrier, D. and Gonzalez, S. (2019). </w:t>
      </w:r>
      <w:r w:rsidR="008F06E5" w:rsidRPr="00DD7FF8">
        <w:rPr>
          <w:rFonts w:asciiTheme="minorHAnsi" w:hAnsiTheme="minorHAnsi" w:cstheme="minorHAnsi"/>
          <w:i/>
        </w:rPr>
        <w:t>NASA's Capability Evolution Toward Commercial Space</w:t>
      </w:r>
      <w:r w:rsidRPr="00DD7FF8">
        <w:rPr>
          <w:rFonts w:asciiTheme="minorHAnsi" w:hAnsiTheme="minorHAnsi" w:cstheme="minorHAnsi"/>
          <w:i/>
        </w:rPr>
        <w:t>.</w:t>
      </w:r>
      <w:r>
        <w:rPr>
          <w:rFonts w:asciiTheme="minorHAnsi" w:hAnsiTheme="minorHAnsi" w:cstheme="minorHAnsi"/>
        </w:rPr>
        <w:t xml:space="preserve"> Space Policy, 50.</w:t>
      </w:r>
    </w:p>
    <w:p w14:paraId="6D270A3B" w14:textId="239F3837" w:rsidR="00146717" w:rsidRDefault="00146717" w:rsidP="00146717">
      <w:pPr>
        <w:pStyle w:val="EndNoteBibliography"/>
        <w:spacing w:after="120"/>
        <w:ind w:left="426" w:hanging="426"/>
      </w:pPr>
      <w:r>
        <w:t xml:space="preserve">NASA (2021). </w:t>
      </w:r>
      <w:r w:rsidRPr="00146717">
        <w:rPr>
          <w:i/>
        </w:rPr>
        <w:t>What is Mars?</w:t>
      </w:r>
      <w:r>
        <w:t xml:space="preserve"> Webpage: </w:t>
      </w:r>
      <w:hyperlink r:id="rId7" w:history="1">
        <w:r w:rsidRPr="001B19C9">
          <w:rPr>
            <w:rStyle w:val="Hyperlink"/>
          </w:rPr>
          <w:t>https://www.nasa.gov/audience/forstudents/5-8/features/nasa-knows/what-is-mars-58.html</w:t>
        </w:r>
      </w:hyperlink>
      <w:r>
        <w:t>, accessed March 2021.</w:t>
      </w:r>
    </w:p>
    <w:p w14:paraId="6F346873" w14:textId="27205F57" w:rsidR="000C3D52" w:rsidRDefault="00945355" w:rsidP="00945355">
      <w:pPr>
        <w:pStyle w:val="EndNoteBibliography"/>
        <w:spacing w:after="120"/>
        <w:ind w:left="426" w:hanging="426"/>
      </w:pPr>
      <w:r>
        <w:t xml:space="preserve">United Nations </w:t>
      </w:r>
      <w:r w:rsidR="004D04B4">
        <w:t>Office for Outer Space Affairs</w:t>
      </w:r>
      <w:r w:rsidR="009C6007">
        <w:t xml:space="preserve"> </w:t>
      </w:r>
      <w:r>
        <w:t>(20</w:t>
      </w:r>
      <w:r w:rsidR="009C6007">
        <w:t>17</w:t>
      </w:r>
      <w:r>
        <w:t xml:space="preserve">). </w:t>
      </w:r>
      <w:r w:rsidR="009C6007" w:rsidRPr="009C6007">
        <w:rPr>
          <w:i/>
        </w:rPr>
        <w:t>International Space Law: United Nations Instruments</w:t>
      </w:r>
      <w:r w:rsidRPr="009C6007">
        <w:rPr>
          <w:i/>
        </w:rPr>
        <w:t xml:space="preserve">. </w:t>
      </w:r>
      <w:r w:rsidR="009C6007">
        <w:t>United Nations, New York.</w:t>
      </w:r>
    </w:p>
    <w:p w14:paraId="1FF6548A" w14:textId="7A9E8083" w:rsidR="00476321" w:rsidRDefault="00476321" w:rsidP="00945355">
      <w:pPr>
        <w:pStyle w:val="EndNoteBibliography"/>
        <w:spacing w:after="120"/>
        <w:ind w:left="426" w:hanging="426"/>
      </w:pPr>
      <w:r>
        <w:t xml:space="preserve">United Nations Office for Outer Space Affairs. </w:t>
      </w:r>
      <w:r w:rsidRPr="00476321">
        <w:rPr>
          <w:i/>
        </w:rPr>
        <w:t>Space Law Treaties and Principles.</w:t>
      </w:r>
      <w:r>
        <w:t xml:space="preserve"> Web</w:t>
      </w:r>
      <w:r w:rsidR="00146717">
        <w:t>page</w:t>
      </w:r>
      <w:r>
        <w:t xml:space="preserve">: </w:t>
      </w:r>
      <w:hyperlink r:id="rId8" w:history="1">
        <w:r w:rsidRPr="001B19C9">
          <w:rPr>
            <w:rStyle w:val="Hyperlink"/>
          </w:rPr>
          <w:t>https://www.unoosa.org/oosa/en/ourwork/spacelaw/treaties.html</w:t>
        </w:r>
      </w:hyperlink>
      <w:r>
        <w:t>, accessed March 2021.</w:t>
      </w:r>
    </w:p>
    <w:p w14:paraId="0EC10ECB" w14:textId="77777777" w:rsidR="00146717" w:rsidRDefault="00146717">
      <w:pPr>
        <w:pStyle w:val="EndNoteBibliography"/>
        <w:spacing w:after="120"/>
        <w:ind w:left="426" w:hanging="426"/>
      </w:pPr>
    </w:p>
    <w:sectPr w:rsidR="001467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LT Std">
    <w:altName w:val="Arial"/>
    <w:panose1 w:val="00000000000000000000"/>
    <w:charset w:val="00"/>
    <w:family w:val="roman"/>
    <w:notTrueType/>
    <w:pitch w:val="default"/>
    <w:sig w:usb0="00000003" w:usb1="00000000" w:usb2="00000000" w:usb3="00000000" w:csb0="00000001" w:csb1="00000000"/>
  </w:font>
  <w:font w:name="AQA Chevin Pro DemiBold">
    <w:altName w:val="Microsoft JhengHei"/>
    <w:panose1 w:val="00000000000000000000"/>
    <w:charset w:val="00"/>
    <w:family w:val="swiss"/>
    <w:notTrueType/>
    <w:pitch w:val="default"/>
    <w:sig w:usb0="00000003" w:usb1="08080000" w:usb2="00000010" w:usb3="00000000" w:csb0="00100001" w:csb1="00000000"/>
  </w:font>
  <w:font w:name="AQA Chevin Pro Medium">
    <w:altName w:val="AQA Chevin Pro Medium"/>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72C95"/>
    <w:multiLevelType w:val="hybridMultilevel"/>
    <w:tmpl w:val="4AAAC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60AD9"/>
    <w:multiLevelType w:val="hybridMultilevel"/>
    <w:tmpl w:val="72F8F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A05EE9"/>
    <w:multiLevelType w:val="hybridMultilevel"/>
    <w:tmpl w:val="AD840C06"/>
    <w:lvl w:ilvl="0" w:tplc="A914CDD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D3310C"/>
    <w:multiLevelType w:val="hybridMultilevel"/>
    <w:tmpl w:val="B07CF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85754B"/>
    <w:multiLevelType w:val="hybridMultilevel"/>
    <w:tmpl w:val="57F0E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2B2982"/>
    <w:multiLevelType w:val="hybridMultilevel"/>
    <w:tmpl w:val="7EC26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4850BF"/>
    <w:multiLevelType w:val="hybridMultilevel"/>
    <w:tmpl w:val="06126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3E4FAE"/>
    <w:multiLevelType w:val="hybridMultilevel"/>
    <w:tmpl w:val="2B248ECC"/>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8" w15:restartNumberingAfterBreak="0">
    <w:nsid w:val="3A273A95"/>
    <w:multiLevelType w:val="hybridMultilevel"/>
    <w:tmpl w:val="594AF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A54C62"/>
    <w:multiLevelType w:val="hybridMultilevel"/>
    <w:tmpl w:val="291A4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0918DF"/>
    <w:multiLevelType w:val="hybridMultilevel"/>
    <w:tmpl w:val="9D682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0658B0"/>
    <w:multiLevelType w:val="hybridMultilevel"/>
    <w:tmpl w:val="2E7C9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4D2202"/>
    <w:multiLevelType w:val="hybridMultilevel"/>
    <w:tmpl w:val="B9E88A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CEA42F4"/>
    <w:multiLevelType w:val="hybridMultilevel"/>
    <w:tmpl w:val="2A0A5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C2029F"/>
    <w:multiLevelType w:val="hybridMultilevel"/>
    <w:tmpl w:val="806AE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B930BA"/>
    <w:multiLevelType w:val="hybridMultilevel"/>
    <w:tmpl w:val="07C68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3D0AD6"/>
    <w:multiLevelType w:val="hybridMultilevel"/>
    <w:tmpl w:val="C4D494A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16cid:durableId="1426729923">
    <w:abstractNumId w:val="2"/>
  </w:num>
  <w:num w:numId="2" w16cid:durableId="1973562197">
    <w:abstractNumId w:val="14"/>
  </w:num>
  <w:num w:numId="3" w16cid:durableId="1610507029">
    <w:abstractNumId w:val="13"/>
  </w:num>
  <w:num w:numId="4" w16cid:durableId="269625572">
    <w:abstractNumId w:val="0"/>
  </w:num>
  <w:num w:numId="5" w16cid:durableId="840317287">
    <w:abstractNumId w:val="10"/>
  </w:num>
  <w:num w:numId="6" w16cid:durableId="2004120886">
    <w:abstractNumId w:val="6"/>
  </w:num>
  <w:num w:numId="7" w16cid:durableId="640230332">
    <w:abstractNumId w:val="1"/>
  </w:num>
  <w:num w:numId="8" w16cid:durableId="587621865">
    <w:abstractNumId w:val="12"/>
  </w:num>
  <w:num w:numId="9" w16cid:durableId="1390960581">
    <w:abstractNumId w:val="16"/>
  </w:num>
  <w:num w:numId="10" w16cid:durableId="906494511">
    <w:abstractNumId w:val="8"/>
  </w:num>
  <w:num w:numId="11" w16cid:durableId="53049863">
    <w:abstractNumId w:val="3"/>
  </w:num>
  <w:num w:numId="12" w16cid:durableId="932127065">
    <w:abstractNumId w:val="4"/>
  </w:num>
  <w:num w:numId="13" w16cid:durableId="717555213">
    <w:abstractNumId w:val="9"/>
  </w:num>
  <w:num w:numId="14" w16cid:durableId="1227030658">
    <w:abstractNumId w:val="11"/>
  </w:num>
  <w:num w:numId="15" w16cid:durableId="1088622478">
    <w:abstractNumId w:val="15"/>
  </w:num>
  <w:num w:numId="16" w16cid:durableId="928805665">
    <w:abstractNumId w:val="7"/>
  </w:num>
  <w:num w:numId="17" w16cid:durableId="1419641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00110"/>
    <w:rsid w:val="00006BA2"/>
    <w:rsid w:val="000432B3"/>
    <w:rsid w:val="0004716B"/>
    <w:rsid w:val="000506FD"/>
    <w:rsid w:val="00071C62"/>
    <w:rsid w:val="00074B0B"/>
    <w:rsid w:val="000869D7"/>
    <w:rsid w:val="00091B19"/>
    <w:rsid w:val="00095965"/>
    <w:rsid w:val="000A35AC"/>
    <w:rsid w:val="000A3EFE"/>
    <w:rsid w:val="000B2C9D"/>
    <w:rsid w:val="000B6877"/>
    <w:rsid w:val="000C085C"/>
    <w:rsid w:val="000C086D"/>
    <w:rsid w:val="000C34C5"/>
    <w:rsid w:val="000C3D52"/>
    <w:rsid w:val="000D0F65"/>
    <w:rsid w:val="000D69CB"/>
    <w:rsid w:val="000E458A"/>
    <w:rsid w:val="000E668E"/>
    <w:rsid w:val="000E68D7"/>
    <w:rsid w:val="001067AB"/>
    <w:rsid w:val="001131D9"/>
    <w:rsid w:val="00127859"/>
    <w:rsid w:val="00127D57"/>
    <w:rsid w:val="00136399"/>
    <w:rsid w:val="001373EE"/>
    <w:rsid w:val="00146717"/>
    <w:rsid w:val="001524B5"/>
    <w:rsid w:val="0015298D"/>
    <w:rsid w:val="0015690D"/>
    <w:rsid w:val="00161BDA"/>
    <w:rsid w:val="00165B72"/>
    <w:rsid w:val="0017126A"/>
    <w:rsid w:val="00176766"/>
    <w:rsid w:val="00180705"/>
    <w:rsid w:val="001951EF"/>
    <w:rsid w:val="0019580F"/>
    <w:rsid w:val="001A12E8"/>
    <w:rsid w:val="001B1F42"/>
    <w:rsid w:val="001C0604"/>
    <w:rsid w:val="001D160F"/>
    <w:rsid w:val="001F73F7"/>
    <w:rsid w:val="00205EC2"/>
    <w:rsid w:val="00207898"/>
    <w:rsid w:val="00213C66"/>
    <w:rsid w:val="00220651"/>
    <w:rsid w:val="00220761"/>
    <w:rsid w:val="0022616B"/>
    <w:rsid w:val="002333C7"/>
    <w:rsid w:val="002340DE"/>
    <w:rsid w:val="00234162"/>
    <w:rsid w:val="002428CC"/>
    <w:rsid w:val="00243DD5"/>
    <w:rsid w:val="00251FF1"/>
    <w:rsid w:val="00256954"/>
    <w:rsid w:val="00266FAA"/>
    <w:rsid w:val="00296141"/>
    <w:rsid w:val="002A50CD"/>
    <w:rsid w:val="002B0914"/>
    <w:rsid w:val="002B58BF"/>
    <w:rsid w:val="002B58ED"/>
    <w:rsid w:val="002B5A0E"/>
    <w:rsid w:val="002D5903"/>
    <w:rsid w:val="002D5EFD"/>
    <w:rsid w:val="002F1EB4"/>
    <w:rsid w:val="002F4433"/>
    <w:rsid w:val="00303658"/>
    <w:rsid w:val="0031482F"/>
    <w:rsid w:val="00334651"/>
    <w:rsid w:val="0034586E"/>
    <w:rsid w:val="00370332"/>
    <w:rsid w:val="003B0212"/>
    <w:rsid w:val="003B4630"/>
    <w:rsid w:val="003B5A9E"/>
    <w:rsid w:val="003B5B8A"/>
    <w:rsid w:val="003C0BC5"/>
    <w:rsid w:val="003C46E4"/>
    <w:rsid w:val="003C7CAE"/>
    <w:rsid w:val="003C7E53"/>
    <w:rsid w:val="003E3147"/>
    <w:rsid w:val="003E7EBA"/>
    <w:rsid w:val="003F6C09"/>
    <w:rsid w:val="00400110"/>
    <w:rsid w:val="00405587"/>
    <w:rsid w:val="00406DD3"/>
    <w:rsid w:val="00411E03"/>
    <w:rsid w:val="00412C11"/>
    <w:rsid w:val="00422319"/>
    <w:rsid w:val="00432DFC"/>
    <w:rsid w:val="00436CD7"/>
    <w:rsid w:val="0043705F"/>
    <w:rsid w:val="0044389F"/>
    <w:rsid w:val="004445D1"/>
    <w:rsid w:val="0044747F"/>
    <w:rsid w:val="004478AC"/>
    <w:rsid w:val="00450452"/>
    <w:rsid w:val="004525A0"/>
    <w:rsid w:val="00476321"/>
    <w:rsid w:val="0048049A"/>
    <w:rsid w:val="004841CB"/>
    <w:rsid w:val="00485C13"/>
    <w:rsid w:val="0049045C"/>
    <w:rsid w:val="00490EE3"/>
    <w:rsid w:val="004916F6"/>
    <w:rsid w:val="004A0C24"/>
    <w:rsid w:val="004A2B0D"/>
    <w:rsid w:val="004B4C9A"/>
    <w:rsid w:val="004D04B4"/>
    <w:rsid w:val="004D0AA8"/>
    <w:rsid w:val="004F1014"/>
    <w:rsid w:val="00500643"/>
    <w:rsid w:val="005014DA"/>
    <w:rsid w:val="00503780"/>
    <w:rsid w:val="00503A47"/>
    <w:rsid w:val="00505B16"/>
    <w:rsid w:val="00507AF9"/>
    <w:rsid w:val="00512B57"/>
    <w:rsid w:val="00514A50"/>
    <w:rsid w:val="00531609"/>
    <w:rsid w:val="00537791"/>
    <w:rsid w:val="00554192"/>
    <w:rsid w:val="0055445E"/>
    <w:rsid w:val="00555A34"/>
    <w:rsid w:val="00585AA9"/>
    <w:rsid w:val="00591BBC"/>
    <w:rsid w:val="0059569E"/>
    <w:rsid w:val="005A0702"/>
    <w:rsid w:val="005A5C28"/>
    <w:rsid w:val="005B6160"/>
    <w:rsid w:val="005C59B6"/>
    <w:rsid w:val="005D5385"/>
    <w:rsid w:val="005E197E"/>
    <w:rsid w:val="005F19B8"/>
    <w:rsid w:val="005F2153"/>
    <w:rsid w:val="00606E25"/>
    <w:rsid w:val="00613118"/>
    <w:rsid w:val="00615471"/>
    <w:rsid w:val="00620980"/>
    <w:rsid w:val="006233D3"/>
    <w:rsid w:val="0062649C"/>
    <w:rsid w:val="00633ACB"/>
    <w:rsid w:val="0064341A"/>
    <w:rsid w:val="00660225"/>
    <w:rsid w:val="0066652B"/>
    <w:rsid w:val="00677F4E"/>
    <w:rsid w:val="006805C9"/>
    <w:rsid w:val="006822DA"/>
    <w:rsid w:val="006A6AB4"/>
    <w:rsid w:val="006A736F"/>
    <w:rsid w:val="006C3748"/>
    <w:rsid w:val="006C6309"/>
    <w:rsid w:val="006D4044"/>
    <w:rsid w:val="006D44EB"/>
    <w:rsid w:val="006D60FB"/>
    <w:rsid w:val="006D6935"/>
    <w:rsid w:val="006D6CF4"/>
    <w:rsid w:val="006E071D"/>
    <w:rsid w:val="00713696"/>
    <w:rsid w:val="00714424"/>
    <w:rsid w:val="007242CD"/>
    <w:rsid w:val="0072496E"/>
    <w:rsid w:val="00733A87"/>
    <w:rsid w:val="00740F08"/>
    <w:rsid w:val="00743ABA"/>
    <w:rsid w:val="00744421"/>
    <w:rsid w:val="007560F8"/>
    <w:rsid w:val="00763467"/>
    <w:rsid w:val="00772ACD"/>
    <w:rsid w:val="00772C6E"/>
    <w:rsid w:val="00795581"/>
    <w:rsid w:val="007B3C67"/>
    <w:rsid w:val="007B3FDC"/>
    <w:rsid w:val="007D2837"/>
    <w:rsid w:val="007E3088"/>
    <w:rsid w:val="007E6097"/>
    <w:rsid w:val="007E6888"/>
    <w:rsid w:val="007E723F"/>
    <w:rsid w:val="007F165E"/>
    <w:rsid w:val="00802A9D"/>
    <w:rsid w:val="00811394"/>
    <w:rsid w:val="00814771"/>
    <w:rsid w:val="008236D5"/>
    <w:rsid w:val="00823C11"/>
    <w:rsid w:val="00823F07"/>
    <w:rsid w:val="00835005"/>
    <w:rsid w:val="00854B1C"/>
    <w:rsid w:val="00855B60"/>
    <w:rsid w:val="00862793"/>
    <w:rsid w:val="00866488"/>
    <w:rsid w:val="00867B80"/>
    <w:rsid w:val="00867DD3"/>
    <w:rsid w:val="00884526"/>
    <w:rsid w:val="00890329"/>
    <w:rsid w:val="008915A5"/>
    <w:rsid w:val="008927CF"/>
    <w:rsid w:val="008A483F"/>
    <w:rsid w:val="008A6AA6"/>
    <w:rsid w:val="008B1D7A"/>
    <w:rsid w:val="008B45DB"/>
    <w:rsid w:val="008B7EA6"/>
    <w:rsid w:val="008F06E5"/>
    <w:rsid w:val="008F41F9"/>
    <w:rsid w:val="009049D2"/>
    <w:rsid w:val="00917213"/>
    <w:rsid w:val="00921D72"/>
    <w:rsid w:val="009237F6"/>
    <w:rsid w:val="00943747"/>
    <w:rsid w:val="00945355"/>
    <w:rsid w:val="00947223"/>
    <w:rsid w:val="0095338F"/>
    <w:rsid w:val="009714D7"/>
    <w:rsid w:val="009734E4"/>
    <w:rsid w:val="00975D05"/>
    <w:rsid w:val="00986743"/>
    <w:rsid w:val="00987CBB"/>
    <w:rsid w:val="00991550"/>
    <w:rsid w:val="00992ACA"/>
    <w:rsid w:val="009A0E22"/>
    <w:rsid w:val="009A4776"/>
    <w:rsid w:val="009B066F"/>
    <w:rsid w:val="009C587A"/>
    <w:rsid w:val="009C5E2C"/>
    <w:rsid w:val="009C6007"/>
    <w:rsid w:val="009D4899"/>
    <w:rsid w:val="009E0977"/>
    <w:rsid w:val="009E2030"/>
    <w:rsid w:val="009E3286"/>
    <w:rsid w:val="009E58C7"/>
    <w:rsid w:val="009E620B"/>
    <w:rsid w:val="009F7D47"/>
    <w:rsid w:val="00A01F08"/>
    <w:rsid w:val="00A21705"/>
    <w:rsid w:val="00A24B01"/>
    <w:rsid w:val="00A332B3"/>
    <w:rsid w:val="00A41F96"/>
    <w:rsid w:val="00A42FD3"/>
    <w:rsid w:val="00A43529"/>
    <w:rsid w:val="00A559BD"/>
    <w:rsid w:val="00A70278"/>
    <w:rsid w:val="00A711FB"/>
    <w:rsid w:val="00A71E8B"/>
    <w:rsid w:val="00A8230F"/>
    <w:rsid w:val="00A84C9A"/>
    <w:rsid w:val="00A9006C"/>
    <w:rsid w:val="00AB15A5"/>
    <w:rsid w:val="00AB2941"/>
    <w:rsid w:val="00AC64DC"/>
    <w:rsid w:val="00AD0A9F"/>
    <w:rsid w:val="00AD279F"/>
    <w:rsid w:val="00AE42BA"/>
    <w:rsid w:val="00AE5BD9"/>
    <w:rsid w:val="00AF52E1"/>
    <w:rsid w:val="00AF7599"/>
    <w:rsid w:val="00B01A99"/>
    <w:rsid w:val="00B0376F"/>
    <w:rsid w:val="00B13CCD"/>
    <w:rsid w:val="00B16F2D"/>
    <w:rsid w:val="00B17708"/>
    <w:rsid w:val="00B20030"/>
    <w:rsid w:val="00B230AC"/>
    <w:rsid w:val="00B25116"/>
    <w:rsid w:val="00B253B8"/>
    <w:rsid w:val="00B42781"/>
    <w:rsid w:val="00B42B94"/>
    <w:rsid w:val="00B54DF5"/>
    <w:rsid w:val="00B768BD"/>
    <w:rsid w:val="00B770A2"/>
    <w:rsid w:val="00B87B71"/>
    <w:rsid w:val="00BA1016"/>
    <w:rsid w:val="00BA1776"/>
    <w:rsid w:val="00BA1D59"/>
    <w:rsid w:val="00BA3B85"/>
    <w:rsid w:val="00BB2F53"/>
    <w:rsid w:val="00BB4BBB"/>
    <w:rsid w:val="00BC791D"/>
    <w:rsid w:val="00BD3731"/>
    <w:rsid w:val="00BF1580"/>
    <w:rsid w:val="00C136D9"/>
    <w:rsid w:val="00C21BA0"/>
    <w:rsid w:val="00C22656"/>
    <w:rsid w:val="00C318D8"/>
    <w:rsid w:val="00C371AF"/>
    <w:rsid w:val="00C379D3"/>
    <w:rsid w:val="00C4083B"/>
    <w:rsid w:val="00C44885"/>
    <w:rsid w:val="00C561CC"/>
    <w:rsid w:val="00C643FD"/>
    <w:rsid w:val="00C725D2"/>
    <w:rsid w:val="00C75FE2"/>
    <w:rsid w:val="00C84D10"/>
    <w:rsid w:val="00C96DE3"/>
    <w:rsid w:val="00CA2941"/>
    <w:rsid w:val="00CA4492"/>
    <w:rsid w:val="00CB3E34"/>
    <w:rsid w:val="00CB61B8"/>
    <w:rsid w:val="00CC7E26"/>
    <w:rsid w:val="00CD0B45"/>
    <w:rsid w:val="00CE2067"/>
    <w:rsid w:val="00CF1A47"/>
    <w:rsid w:val="00CF3656"/>
    <w:rsid w:val="00D124D5"/>
    <w:rsid w:val="00D156AF"/>
    <w:rsid w:val="00D17394"/>
    <w:rsid w:val="00D42777"/>
    <w:rsid w:val="00D43E48"/>
    <w:rsid w:val="00D45A42"/>
    <w:rsid w:val="00D70509"/>
    <w:rsid w:val="00D955BA"/>
    <w:rsid w:val="00DA498A"/>
    <w:rsid w:val="00DB381B"/>
    <w:rsid w:val="00DC339C"/>
    <w:rsid w:val="00DD0772"/>
    <w:rsid w:val="00DD1019"/>
    <w:rsid w:val="00DD4693"/>
    <w:rsid w:val="00DD7FF8"/>
    <w:rsid w:val="00DE5613"/>
    <w:rsid w:val="00DE5EE8"/>
    <w:rsid w:val="00DF5D0B"/>
    <w:rsid w:val="00DF6EA9"/>
    <w:rsid w:val="00E547CD"/>
    <w:rsid w:val="00E6051E"/>
    <w:rsid w:val="00E61A77"/>
    <w:rsid w:val="00E63008"/>
    <w:rsid w:val="00E65754"/>
    <w:rsid w:val="00E75FD0"/>
    <w:rsid w:val="00E77F08"/>
    <w:rsid w:val="00EA68B3"/>
    <w:rsid w:val="00EC43C8"/>
    <w:rsid w:val="00EC47EE"/>
    <w:rsid w:val="00EE0485"/>
    <w:rsid w:val="00EE4BC5"/>
    <w:rsid w:val="00EE61F1"/>
    <w:rsid w:val="00EF5229"/>
    <w:rsid w:val="00F03631"/>
    <w:rsid w:val="00F03D78"/>
    <w:rsid w:val="00F0487B"/>
    <w:rsid w:val="00F10A9D"/>
    <w:rsid w:val="00F2172E"/>
    <w:rsid w:val="00F231AA"/>
    <w:rsid w:val="00F23D7E"/>
    <w:rsid w:val="00F26F32"/>
    <w:rsid w:val="00F27534"/>
    <w:rsid w:val="00F418F1"/>
    <w:rsid w:val="00F50022"/>
    <w:rsid w:val="00F53CB0"/>
    <w:rsid w:val="00F66565"/>
    <w:rsid w:val="00F75C9D"/>
    <w:rsid w:val="00FB1CA7"/>
    <w:rsid w:val="00FB3D48"/>
    <w:rsid w:val="00FB76BE"/>
    <w:rsid w:val="00FB7D64"/>
    <w:rsid w:val="00FC09E0"/>
    <w:rsid w:val="00FC101B"/>
    <w:rsid w:val="00FC2C04"/>
    <w:rsid w:val="00FC4FAD"/>
    <w:rsid w:val="00FD60BE"/>
    <w:rsid w:val="00FE0504"/>
    <w:rsid w:val="00FE30DA"/>
    <w:rsid w:val="00FF55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8A174"/>
  <w15:docId w15:val="{9B32E24A-EF1C-4763-9202-5C248B60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E42BA"/>
    <w:rPr>
      <w:sz w:val="16"/>
      <w:szCs w:val="16"/>
    </w:rPr>
  </w:style>
  <w:style w:type="paragraph" w:styleId="CommentText">
    <w:name w:val="annotation text"/>
    <w:basedOn w:val="Normal"/>
    <w:link w:val="CommentTextChar"/>
    <w:uiPriority w:val="99"/>
    <w:unhideWhenUsed/>
    <w:rsid w:val="00AE42BA"/>
    <w:pPr>
      <w:spacing w:line="240" w:lineRule="auto"/>
    </w:pPr>
    <w:rPr>
      <w:sz w:val="20"/>
      <w:szCs w:val="20"/>
    </w:rPr>
  </w:style>
  <w:style w:type="character" w:customStyle="1" w:styleId="CommentTextChar">
    <w:name w:val="Comment Text Char"/>
    <w:basedOn w:val="DefaultParagraphFont"/>
    <w:link w:val="CommentText"/>
    <w:uiPriority w:val="99"/>
    <w:rsid w:val="00AE42BA"/>
    <w:rPr>
      <w:sz w:val="20"/>
      <w:szCs w:val="20"/>
    </w:rPr>
  </w:style>
  <w:style w:type="paragraph" w:styleId="CommentSubject">
    <w:name w:val="annotation subject"/>
    <w:basedOn w:val="CommentText"/>
    <w:next w:val="CommentText"/>
    <w:link w:val="CommentSubjectChar"/>
    <w:uiPriority w:val="99"/>
    <w:semiHidden/>
    <w:unhideWhenUsed/>
    <w:rsid w:val="00AE42BA"/>
    <w:rPr>
      <w:b/>
      <w:bCs/>
    </w:rPr>
  </w:style>
  <w:style w:type="character" w:customStyle="1" w:styleId="CommentSubjectChar">
    <w:name w:val="Comment Subject Char"/>
    <w:basedOn w:val="CommentTextChar"/>
    <w:link w:val="CommentSubject"/>
    <w:uiPriority w:val="99"/>
    <w:semiHidden/>
    <w:rsid w:val="00AE42BA"/>
    <w:rPr>
      <w:b/>
      <w:bCs/>
      <w:sz w:val="20"/>
      <w:szCs w:val="20"/>
    </w:rPr>
  </w:style>
  <w:style w:type="paragraph" w:styleId="BalloonText">
    <w:name w:val="Balloon Text"/>
    <w:basedOn w:val="Normal"/>
    <w:link w:val="BalloonTextChar"/>
    <w:uiPriority w:val="99"/>
    <w:semiHidden/>
    <w:unhideWhenUsed/>
    <w:rsid w:val="00AE4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2BA"/>
    <w:rPr>
      <w:rFonts w:ascii="Segoe UI" w:hAnsi="Segoe UI" w:cs="Segoe UI"/>
      <w:sz w:val="18"/>
      <w:szCs w:val="18"/>
    </w:rPr>
  </w:style>
  <w:style w:type="table" w:styleId="TableGrid">
    <w:name w:val="Table Grid"/>
    <w:basedOn w:val="TableNormal"/>
    <w:uiPriority w:val="39"/>
    <w:rsid w:val="00E75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Normal"/>
    <w:next w:val="Normal"/>
    <w:uiPriority w:val="99"/>
    <w:rsid w:val="00555A34"/>
    <w:pPr>
      <w:autoSpaceDE w:val="0"/>
      <w:autoSpaceDN w:val="0"/>
      <w:adjustRightInd w:val="0"/>
      <w:spacing w:after="0" w:line="221" w:lineRule="atLeast"/>
    </w:pPr>
    <w:rPr>
      <w:rFonts w:ascii="HelveticaNeueLT Std" w:hAnsi="HelveticaNeueLT Std"/>
      <w:sz w:val="24"/>
      <w:szCs w:val="24"/>
    </w:rPr>
  </w:style>
  <w:style w:type="paragraph" w:styleId="ListParagraph">
    <w:name w:val="List Paragraph"/>
    <w:basedOn w:val="Normal"/>
    <w:uiPriority w:val="34"/>
    <w:qFormat/>
    <w:rsid w:val="00555A34"/>
    <w:pPr>
      <w:ind w:left="720"/>
      <w:contextualSpacing/>
    </w:pPr>
  </w:style>
  <w:style w:type="paragraph" w:styleId="Revision">
    <w:name w:val="Revision"/>
    <w:hidden/>
    <w:uiPriority w:val="99"/>
    <w:semiHidden/>
    <w:rsid w:val="003E7EBA"/>
    <w:pPr>
      <w:spacing w:after="0" w:line="240" w:lineRule="auto"/>
    </w:pPr>
  </w:style>
  <w:style w:type="paragraph" w:customStyle="1" w:styleId="EndNoteBibliographyTitle">
    <w:name w:val="EndNote Bibliography Title"/>
    <w:basedOn w:val="Normal"/>
    <w:link w:val="EndNoteBibliographyTitleChar"/>
    <w:rsid w:val="00436CD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36CD7"/>
    <w:rPr>
      <w:rFonts w:ascii="Calibri" w:hAnsi="Calibri" w:cs="Calibri"/>
      <w:noProof/>
      <w:lang w:val="en-US"/>
    </w:rPr>
  </w:style>
  <w:style w:type="paragraph" w:customStyle="1" w:styleId="EndNoteBibliography">
    <w:name w:val="EndNote Bibliography"/>
    <w:basedOn w:val="Normal"/>
    <w:link w:val="EndNoteBibliographyChar"/>
    <w:rsid w:val="00436CD7"/>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436CD7"/>
    <w:rPr>
      <w:rFonts w:ascii="Calibri" w:hAnsi="Calibri" w:cs="Calibri"/>
      <w:noProof/>
      <w:lang w:val="en-US"/>
    </w:rPr>
  </w:style>
  <w:style w:type="character" w:styleId="Hyperlink">
    <w:name w:val="Hyperlink"/>
    <w:basedOn w:val="DefaultParagraphFont"/>
    <w:uiPriority w:val="99"/>
    <w:unhideWhenUsed/>
    <w:rsid w:val="00B17708"/>
    <w:rPr>
      <w:color w:val="0563C1" w:themeColor="hyperlink"/>
      <w:u w:val="single"/>
    </w:rPr>
  </w:style>
  <w:style w:type="paragraph" w:styleId="NormalWeb">
    <w:name w:val="Normal (Web)"/>
    <w:basedOn w:val="Normal"/>
    <w:uiPriority w:val="99"/>
    <w:semiHidden/>
    <w:unhideWhenUsed/>
    <w:rsid w:val="001958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1">
    <w:name w:val="Unresolved Mention1"/>
    <w:basedOn w:val="DefaultParagraphFont"/>
    <w:uiPriority w:val="99"/>
    <w:semiHidden/>
    <w:unhideWhenUsed/>
    <w:rsid w:val="00E547CD"/>
    <w:rPr>
      <w:color w:val="605E5C"/>
      <w:shd w:val="clear" w:color="auto" w:fill="E1DFDD"/>
    </w:rPr>
  </w:style>
  <w:style w:type="character" w:styleId="FollowedHyperlink">
    <w:name w:val="FollowedHyperlink"/>
    <w:basedOn w:val="DefaultParagraphFont"/>
    <w:uiPriority w:val="99"/>
    <w:semiHidden/>
    <w:unhideWhenUsed/>
    <w:rsid w:val="008350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184">
      <w:bodyDiv w:val="1"/>
      <w:marLeft w:val="0"/>
      <w:marRight w:val="0"/>
      <w:marTop w:val="0"/>
      <w:marBottom w:val="0"/>
      <w:divBdr>
        <w:top w:val="none" w:sz="0" w:space="0" w:color="auto"/>
        <w:left w:val="none" w:sz="0" w:space="0" w:color="auto"/>
        <w:bottom w:val="none" w:sz="0" w:space="0" w:color="auto"/>
        <w:right w:val="none" w:sz="0" w:space="0" w:color="auto"/>
      </w:divBdr>
    </w:div>
    <w:div w:id="363869866">
      <w:bodyDiv w:val="1"/>
      <w:marLeft w:val="0"/>
      <w:marRight w:val="0"/>
      <w:marTop w:val="0"/>
      <w:marBottom w:val="0"/>
      <w:divBdr>
        <w:top w:val="none" w:sz="0" w:space="0" w:color="auto"/>
        <w:left w:val="none" w:sz="0" w:space="0" w:color="auto"/>
        <w:bottom w:val="none" w:sz="0" w:space="0" w:color="auto"/>
        <w:right w:val="none" w:sz="0" w:space="0" w:color="auto"/>
      </w:divBdr>
    </w:div>
    <w:div w:id="495650489">
      <w:bodyDiv w:val="1"/>
      <w:marLeft w:val="0"/>
      <w:marRight w:val="0"/>
      <w:marTop w:val="0"/>
      <w:marBottom w:val="0"/>
      <w:divBdr>
        <w:top w:val="none" w:sz="0" w:space="0" w:color="auto"/>
        <w:left w:val="none" w:sz="0" w:space="0" w:color="auto"/>
        <w:bottom w:val="none" w:sz="0" w:space="0" w:color="auto"/>
        <w:right w:val="none" w:sz="0" w:space="0" w:color="auto"/>
      </w:divBdr>
    </w:div>
    <w:div w:id="926425929">
      <w:bodyDiv w:val="1"/>
      <w:marLeft w:val="0"/>
      <w:marRight w:val="0"/>
      <w:marTop w:val="0"/>
      <w:marBottom w:val="0"/>
      <w:divBdr>
        <w:top w:val="none" w:sz="0" w:space="0" w:color="auto"/>
        <w:left w:val="none" w:sz="0" w:space="0" w:color="auto"/>
        <w:bottom w:val="none" w:sz="0" w:space="0" w:color="auto"/>
        <w:right w:val="none" w:sz="0" w:space="0" w:color="auto"/>
      </w:divBdr>
    </w:div>
    <w:div w:id="994604441">
      <w:bodyDiv w:val="1"/>
      <w:marLeft w:val="0"/>
      <w:marRight w:val="0"/>
      <w:marTop w:val="0"/>
      <w:marBottom w:val="0"/>
      <w:divBdr>
        <w:top w:val="none" w:sz="0" w:space="0" w:color="auto"/>
        <w:left w:val="none" w:sz="0" w:space="0" w:color="auto"/>
        <w:bottom w:val="none" w:sz="0" w:space="0" w:color="auto"/>
        <w:right w:val="none" w:sz="0" w:space="0" w:color="auto"/>
      </w:divBdr>
    </w:div>
    <w:div w:id="1103067688">
      <w:bodyDiv w:val="1"/>
      <w:marLeft w:val="0"/>
      <w:marRight w:val="0"/>
      <w:marTop w:val="0"/>
      <w:marBottom w:val="0"/>
      <w:divBdr>
        <w:top w:val="none" w:sz="0" w:space="0" w:color="auto"/>
        <w:left w:val="none" w:sz="0" w:space="0" w:color="auto"/>
        <w:bottom w:val="none" w:sz="0" w:space="0" w:color="auto"/>
        <w:right w:val="none" w:sz="0" w:space="0" w:color="auto"/>
      </w:divBdr>
    </w:div>
    <w:div w:id="1160317002">
      <w:bodyDiv w:val="1"/>
      <w:marLeft w:val="0"/>
      <w:marRight w:val="0"/>
      <w:marTop w:val="0"/>
      <w:marBottom w:val="0"/>
      <w:divBdr>
        <w:top w:val="none" w:sz="0" w:space="0" w:color="auto"/>
        <w:left w:val="none" w:sz="0" w:space="0" w:color="auto"/>
        <w:bottom w:val="none" w:sz="0" w:space="0" w:color="auto"/>
        <w:right w:val="none" w:sz="0" w:space="0" w:color="auto"/>
      </w:divBdr>
    </w:div>
    <w:div w:id="1378700428">
      <w:bodyDiv w:val="1"/>
      <w:marLeft w:val="0"/>
      <w:marRight w:val="0"/>
      <w:marTop w:val="0"/>
      <w:marBottom w:val="0"/>
      <w:divBdr>
        <w:top w:val="none" w:sz="0" w:space="0" w:color="auto"/>
        <w:left w:val="none" w:sz="0" w:space="0" w:color="auto"/>
        <w:bottom w:val="none" w:sz="0" w:space="0" w:color="auto"/>
        <w:right w:val="none" w:sz="0" w:space="0" w:color="auto"/>
      </w:divBdr>
    </w:div>
    <w:div w:id="16243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osa.org/oosa/en/ourwork/spacelaw/treaties.html" TargetMode="External"/><Relationship Id="rId3" Type="http://schemas.openxmlformats.org/officeDocument/2006/relationships/styles" Target="styles.xml"/><Relationship Id="rId7" Type="http://schemas.openxmlformats.org/officeDocument/2006/relationships/hyperlink" Target="https://www.nasa.gov/audience/forstudents/5-8/features/nasa-knows/what-is-mars-58.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noosa.or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E53D2-B39C-4467-BCE7-579CFAF5F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12</Pages>
  <Words>3544</Words>
  <Characters>20202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University of York</Company>
  <LinksUpToDate>false</LinksUpToDate>
  <CharactersWithSpaces>23699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Fairhurst</dc:creator>
  <cp:keywords/>
  <dc:description/>
  <cp:lastModifiedBy>Elizabeth Hooper</cp:lastModifiedBy>
  <cp:revision>29</cp:revision>
  <dcterms:created xsi:type="dcterms:W3CDTF">2021-05-13T10:49:00Z</dcterms:created>
  <dcterms:modified xsi:type="dcterms:W3CDTF">2022-10-19T14:32:00Z</dcterms:modified>
</cp:coreProperties>
</file>