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784EA" w14:textId="66ABA830" w:rsidR="00304A9C" w:rsidRPr="001A40E2" w:rsidRDefault="00BA08EB" w:rsidP="00304A9C">
      <w:pPr>
        <w:spacing w:after="180"/>
        <w:rPr>
          <w:b/>
          <w:sz w:val="44"/>
          <w:szCs w:val="44"/>
        </w:rPr>
      </w:pPr>
      <w:r>
        <w:rPr>
          <w:b/>
          <w:sz w:val="44"/>
          <w:szCs w:val="44"/>
        </w:rPr>
        <w:t>Damaged marble</w:t>
      </w:r>
    </w:p>
    <w:p w14:paraId="5172DCF9" w14:textId="402E71B7" w:rsidR="00304A9C" w:rsidRDefault="008256D4" w:rsidP="00304A9C">
      <w:pPr>
        <w:spacing w:after="180"/>
      </w:pPr>
      <w:r>
        <w:rPr>
          <w:noProof/>
        </w:rPr>
        <w:drawing>
          <wp:anchor distT="0" distB="0" distL="114300" distR="114300" simplePos="0" relativeHeight="251658240" behindDoc="0" locked="0" layoutInCell="1" allowOverlap="1" wp14:anchorId="64AF8FD1" wp14:editId="073A7851">
            <wp:simplePos x="0" y="0"/>
            <wp:positionH relativeFrom="margin">
              <wp:align>left</wp:align>
            </wp:positionH>
            <wp:positionV relativeFrom="paragraph">
              <wp:posOffset>289560</wp:posOffset>
            </wp:positionV>
            <wp:extent cx="930910" cy="523875"/>
            <wp:effectExtent l="19050" t="19050" r="21590" b="28575"/>
            <wp:wrapSquare wrapText="bothSides"/>
            <wp:docPr id="6" name="Picture 6" descr="A group of clouds in the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arble-2362267.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0910" cy="523875"/>
                    </a:xfrm>
                    <a:prstGeom prst="rect">
                      <a:avLst/>
                    </a:prstGeom>
                    <a:ln>
                      <a:solidFill>
                        <a:schemeClr val="bg1">
                          <a:lumMod val="65000"/>
                        </a:schemeClr>
                      </a:solidFill>
                    </a:ln>
                  </pic:spPr>
                </pic:pic>
              </a:graphicData>
            </a:graphic>
            <wp14:sizeRelH relativeFrom="margin">
              <wp14:pctWidth>0</wp14:pctWidth>
            </wp14:sizeRelH>
            <wp14:sizeRelV relativeFrom="margin">
              <wp14:pctHeight>0</wp14:pctHeight>
            </wp14:sizeRelV>
          </wp:anchor>
        </w:drawing>
      </w:r>
    </w:p>
    <w:p w14:paraId="3E941FBD" w14:textId="65AF64EB" w:rsidR="00304A9C" w:rsidRDefault="00BA08EB" w:rsidP="00304A9C">
      <w:pPr>
        <w:spacing w:after="180"/>
      </w:pPr>
      <w:r>
        <w:t>Acid-based cleaning products should never be used on a marble surface</w:t>
      </w:r>
      <w:r w:rsidR="008256D4">
        <w:t>.</w:t>
      </w:r>
    </w:p>
    <w:p w14:paraId="1B84BA46" w14:textId="642167B1" w:rsidR="00BA08EB" w:rsidRDefault="00BA08EB" w:rsidP="00304A9C">
      <w:pPr>
        <w:spacing w:after="180"/>
      </w:pPr>
      <w:r>
        <w:t>Some students investigate why.</w:t>
      </w:r>
    </w:p>
    <w:p w14:paraId="044DF083" w14:textId="77777777" w:rsidR="008256D4" w:rsidRDefault="008256D4" w:rsidP="00304A9C">
      <w:pPr>
        <w:spacing w:after="180"/>
      </w:pPr>
    </w:p>
    <w:p w14:paraId="7093D627" w14:textId="4F787CBE" w:rsidR="00BA08EB" w:rsidRDefault="00C95F3C" w:rsidP="00304A9C">
      <w:pPr>
        <w:spacing w:after="180"/>
      </w:pPr>
      <w:r>
        <w:t xml:space="preserve">The students </w:t>
      </w:r>
      <w:r w:rsidR="008256D4">
        <w:t>place a</w:t>
      </w:r>
      <w:r w:rsidR="00BA08EB">
        <w:t xml:space="preserve"> piece of marble is placed into a test tube containing a </w:t>
      </w:r>
      <w:r w:rsidR="008256D4">
        <w:t xml:space="preserve">hydrochloric </w:t>
      </w:r>
      <w:r w:rsidR="00BA08EB">
        <w:t>acid.</w:t>
      </w:r>
    </w:p>
    <w:p w14:paraId="35D8EDF7" w14:textId="6F4396D1" w:rsidR="00BA08EB" w:rsidRDefault="00C95F3C" w:rsidP="00304A9C">
      <w:pPr>
        <w:spacing w:after="180"/>
      </w:pPr>
      <w:r>
        <w:t>Bubbles are formed.</w:t>
      </w:r>
      <w:r>
        <w:t xml:space="preserve"> </w:t>
      </w:r>
      <w:proofErr w:type="gramStart"/>
      <w:r w:rsidR="008256D4">
        <w:t>The</w:t>
      </w:r>
      <w:proofErr w:type="gramEnd"/>
      <w:r w:rsidR="008256D4">
        <w:t xml:space="preserve"> </w:t>
      </w:r>
      <w:r w:rsidR="00BA08EB">
        <w:t xml:space="preserve">marble </w:t>
      </w:r>
      <w:r w:rsidR="009763BC">
        <w:t>gets smaller</w:t>
      </w:r>
      <w:r w:rsidR="00BA08EB">
        <w:t xml:space="preserve">. </w:t>
      </w:r>
    </w:p>
    <w:p w14:paraId="31EC48C5" w14:textId="0E1AA5D1" w:rsidR="00304A9C" w:rsidRDefault="00BA08EB" w:rsidP="00304A9C">
      <w:pPr>
        <w:spacing w:after="240"/>
        <w:rPr>
          <w:szCs w:val="18"/>
          <w:lang w:val="en-US"/>
        </w:rPr>
      </w:pPr>
      <w:r>
        <w:rPr>
          <w:szCs w:val="18"/>
        </w:rPr>
        <w:t xml:space="preserve">Explain what </w:t>
      </w:r>
      <w:r w:rsidR="004152C6">
        <w:rPr>
          <w:szCs w:val="18"/>
        </w:rPr>
        <w:t>happens</w:t>
      </w:r>
      <w:r>
        <w:rPr>
          <w:szCs w:val="18"/>
        </w:rPr>
        <w:t xml:space="preserve"> in the test tube.</w:t>
      </w:r>
    </w:p>
    <w:p w14:paraId="50B084A2" w14:textId="77777777" w:rsidR="00304A9C" w:rsidRDefault="00304A9C" w:rsidP="00304A9C">
      <w:pPr>
        <w:ind w:firstLine="720"/>
      </w:pPr>
      <w:r>
        <w:t>Put a tick (</w:t>
      </w:r>
      <w:r>
        <w:sym w:font="Wingdings" w:char="F0FC"/>
      </w:r>
      <w:r>
        <w:t>) in the box next to the best answer.</w:t>
      </w:r>
      <w:r>
        <w:tab/>
      </w:r>
    </w:p>
    <w:p w14:paraId="1EDD173E" w14:textId="77777777" w:rsidR="00304A9C" w:rsidRDefault="00304A9C" w:rsidP="00304A9C">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304A9C" w:rsidRPr="00AE07E9" w14:paraId="2E2204C0" w14:textId="77777777" w:rsidTr="00677EDD">
        <w:trPr>
          <w:cantSplit/>
          <w:trHeight w:hRule="exact" w:val="567"/>
        </w:trPr>
        <w:tc>
          <w:tcPr>
            <w:tcW w:w="567" w:type="dxa"/>
            <w:vAlign w:val="center"/>
          </w:tcPr>
          <w:p w14:paraId="22D15794" w14:textId="77777777" w:rsidR="00304A9C" w:rsidRPr="00AE07E9" w:rsidRDefault="00304A9C" w:rsidP="00677EDD">
            <w:pPr>
              <w:tabs>
                <w:tab w:val="right" w:leader="dot" w:pos="8680"/>
              </w:tabs>
              <w:jc w:val="center"/>
              <w:rPr>
                <w:rFonts w:eastAsia="Times New Roman" w:cs="Times New Roman"/>
                <w:b/>
                <w:lang w:eastAsia="en-GB"/>
              </w:rPr>
            </w:pPr>
            <w:bookmarkStart w:id="0" w:name="_Hlk8745334"/>
            <w:r>
              <w:rPr>
                <w:rFonts w:eastAsia="Times New Roman" w:cs="Times New Roman"/>
                <w:b/>
                <w:lang w:eastAsia="en-GB"/>
              </w:rPr>
              <w:t>A</w:t>
            </w:r>
          </w:p>
        </w:tc>
        <w:tc>
          <w:tcPr>
            <w:tcW w:w="7655" w:type="dxa"/>
            <w:tcBorders>
              <w:right w:val="single" w:sz="4" w:space="0" w:color="auto"/>
            </w:tcBorders>
            <w:vAlign w:val="center"/>
          </w:tcPr>
          <w:p w14:paraId="54198921" w14:textId="70F6C188" w:rsidR="00304A9C" w:rsidRPr="009F3146" w:rsidRDefault="00BA08EB" w:rsidP="00677EDD">
            <w:pPr>
              <w:tabs>
                <w:tab w:val="right" w:leader="dot" w:pos="8680"/>
              </w:tabs>
            </w:pPr>
            <w:r>
              <w:t>The marble dissolves in the acid.</w:t>
            </w:r>
          </w:p>
        </w:tc>
        <w:tc>
          <w:tcPr>
            <w:tcW w:w="567" w:type="dxa"/>
            <w:tcBorders>
              <w:top w:val="single" w:sz="4" w:space="0" w:color="auto"/>
              <w:left w:val="single" w:sz="4" w:space="0" w:color="auto"/>
              <w:bottom w:val="single" w:sz="4" w:space="0" w:color="auto"/>
              <w:right w:val="single" w:sz="4" w:space="0" w:color="auto"/>
            </w:tcBorders>
          </w:tcPr>
          <w:p w14:paraId="72AE91F3"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40B5F525" w14:textId="77777777" w:rsidTr="00677EDD">
        <w:trPr>
          <w:cantSplit/>
          <w:trHeight w:hRule="exact" w:val="170"/>
        </w:trPr>
        <w:tc>
          <w:tcPr>
            <w:tcW w:w="567" w:type="dxa"/>
            <w:vAlign w:val="center"/>
          </w:tcPr>
          <w:p w14:paraId="6A1CFBC2"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74F342A6"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350E034"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4B066B9D" w14:textId="77777777" w:rsidTr="00677EDD">
        <w:trPr>
          <w:cantSplit/>
          <w:trHeight w:hRule="exact" w:val="567"/>
        </w:trPr>
        <w:tc>
          <w:tcPr>
            <w:tcW w:w="567" w:type="dxa"/>
            <w:vAlign w:val="center"/>
          </w:tcPr>
          <w:p w14:paraId="1F8A6682"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1B8B4971" w14:textId="3153F48A" w:rsidR="00304A9C" w:rsidRPr="009F3146" w:rsidRDefault="00BA08EB" w:rsidP="00677EDD">
            <w:pPr>
              <w:tabs>
                <w:tab w:val="right" w:leader="dot" w:pos="8680"/>
              </w:tabs>
            </w:pPr>
            <w:r>
              <w:t xml:space="preserve">The </w:t>
            </w:r>
            <w:r w:rsidR="009763BC">
              <w:t>acid eats away the marble.</w:t>
            </w:r>
          </w:p>
        </w:tc>
        <w:tc>
          <w:tcPr>
            <w:tcW w:w="567" w:type="dxa"/>
            <w:tcBorders>
              <w:top w:val="single" w:sz="4" w:space="0" w:color="auto"/>
              <w:left w:val="single" w:sz="4" w:space="0" w:color="auto"/>
              <w:bottom w:val="single" w:sz="4" w:space="0" w:color="auto"/>
              <w:right w:val="single" w:sz="4" w:space="0" w:color="auto"/>
            </w:tcBorders>
          </w:tcPr>
          <w:p w14:paraId="498D4114"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3309D015" w14:textId="77777777" w:rsidTr="00677EDD">
        <w:trPr>
          <w:cantSplit/>
          <w:trHeight w:hRule="exact" w:val="170"/>
        </w:trPr>
        <w:tc>
          <w:tcPr>
            <w:tcW w:w="567" w:type="dxa"/>
            <w:vAlign w:val="center"/>
          </w:tcPr>
          <w:p w14:paraId="505B4D96"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59BC4E61"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2817C5BE"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125727B6" w14:textId="77777777" w:rsidTr="00677EDD">
        <w:trPr>
          <w:cantSplit/>
          <w:trHeight w:hRule="exact" w:val="567"/>
        </w:trPr>
        <w:tc>
          <w:tcPr>
            <w:tcW w:w="567" w:type="dxa"/>
            <w:vAlign w:val="center"/>
          </w:tcPr>
          <w:p w14:paraId="1A80891A"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50186B42" w14:textId="40BE74AC" w:rsidR="00304A9C" w:rsidRPr="009F3146" w:rsidRDefault="00C95F3C" w:rsidP="00677EDD">
            <w:pPr>
              <w:tabs>
                <w:tab w:val="right" w:leader="dot" w:pos="8680"/>
              </w:tabs>
            </w:pPr>
            <w:r>
              <w:t>A chemical reaction forms a new soluble substance.</w:t>
            </w:r>
          </w:p>
        </w:tc>
        <w:tc>
          <w:tcPr>
            <w:tcW w:w="567" w:type="dxa"/>
            <w:tcBorders>
              <w:top w:val="single" w:sz="4" w:space="0" w:color="auto"/>
              <w:left w:val="single" w:sz="4" w:space="0" w:color="auto"/>
              <w:bottom w:val="single" w:sz="4" w:space="0" w:color="auto"/>
              <w:right w:val="single" w:sz="4" w:space="0" w:color="auto"/>
            </w:tcBorders>
          </w:tcPr>
          <w:p w14:paraId="53D7A163"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3A8D8FC9" w14:textId="77777777" w:rsidTr="00677EDD">
        <w:trPr>
          <w:cantSplit/>
          <w:trHeight w:hRule="exact" w:val="170"/>
        </w:trPr>
        <w:tc>
          <w:tcPr>
            <w:tcW w:w="567" w:type="dxa"/>
            <w:vAlign w:val="center"/>
          </w:tcPr>
          <w:p w14:paraId="349B354E"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4158B00D"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266BDD7"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500DB429" w14:textId="77777777" w:rsidTr="00677EDD">
        <w:trPr>
          <w:cantSplit/>
          <w:trHeight w:hRule="exact" w:val="567"/>
        </w:trPr>
        <w:tc>
          <w:tcPr>
            <w:tcW w:w="567" w:type="dxa"/>
            <w:vAlign w:val="center"/>
          </w:tcPr>
          <w:p w14:paraId="63D1F214" w14:textId="77777777" w:rsidR="00304A9C" w:rsidRPr="00AE07E9" w:rsidRDefault="00304A9C"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0840D4DE" w14:textId="43186562" w:rsidR="00304A9C" w:rsidRPr="009F3146" w:rsidRDefault="00BA08EB" w:rsidP="00677EDD">
            <w:pPr>
              <w:tabs>
                <w:tab w:val="right" w:leader="dot" w:pos="8680"/>
              </w:tabs>
            </w:pPr>
            <w:r>
              <w:t xml:space="preserve">The </w:t>
            </w:r>
            <w:r w:rsidR="00C95F3C">
              <w:t>marble changes into the gas state.</w:t>
            </w:r>
          </w:p>
        </w:tc>
        <w:tc>
          <w:tcPr>
            <w:tcW w:w="567" w:type="dxa"/>
            <w:tcBorders>
              <w:top w:val="single" w:sz="4" w:space="0" w:color="auto"/>
              <w:left w:val="single" w:sz="4" w:space="0" w:color="auto"/>
              <w:bottom w:val="single" w:sz="4" w:space="0" w:color="auto"/>
              <w:right w:val="single" w:sz="4" w:space="0" w:color="auto"/>
            </w:tcBorders>
          </w:tcPr>
          <w:p w14:paraId="3A32F5D5" w14:textId="77777777" w:rsidR="00304A9C" w:rsidRPr="00AE07E9" w:rsidRDefault="00304A9C" w:rsidP="00677EDD">
            <w:pPr>
              <w:tabs>
                <w:tab w:val="right" w:leader="dot" w:pos="8680"/>
              </w:tabs>
              <w:rPr>
                <w:rFonts w:eastAsia="Times New Roman" w:cs="Times New Roman"/>
                <w:lang w:eastAsia="en-GB"/>
              </w:rPr>
            </w:pPr>
          </w:p>
        </w:tc>
      </w:tr>
      <w:tr w:rsidR="00304A9C" w:rsidRPr="00AE07E9" w14:paraId="6BE8EA7C" w14:textId="77777777" w:rsidTr="00677EDD">
        <w:trPr>
          <w:cantSplit/>
          <w:trHeight w:hRule="exact" w:val="170"/>
        </w:trPr>
        <w:tc>
          <w:tcPr>
            <w:tcW w:w="567" w:type="dxa"/>
            <w:vAlign w:val="center"/>
          </w:tcPr>
          <w:p w14:paraId="38C5632F" w14:textId="77777777" w:rsidR="00304A9C" w:rsidRPr="00AE07E9" w:rsidRDefault="00304A9C" w:rsidP="00677EDD">
            <w:pPr>
              <w:tabs>
                <w:tab w:val="right" w:leader="dot" w:pos="8680"/>
              </w:tabs>
              <w:jc w:val="center"/>
              <w:rPr>
                <w:rFonts w:eastAsia="Times New Roman" w:cs="Times New Roman"/>
                <w:b/>
                <w:lang w:eastAsia="en-GB"/>
              </w:rPr>
            </w:pPr>
          </w:p>
        </w:tc>
        <w:tc>
          <w:tcPr>
            <w:tcW w:w="7655" w:type="dxa"/>
          </w:tcPr>
          <w:p w14:paraId="077AD732" w14:textId="77777777" w:rsidR="00304A9C" w:rsidRPr="00AE07E9" w:rsidRDefault="00304A9C"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E9E59D5" w14:textId="77777777" w:rsidR="00304A9C" w:rsidRPr="00AE07E9" w:rsidRDefault="00304A9C" w:rsidP="00677EDD">
            <w:pPr>
              <w:tabs>
                <w:tab w:val="right" w:leader="dot" w:pos="8680"/>
              </w:tabs>
              <w:rPr>
                <w:rFonts w:eastAsia="Times New Roman" w:cs="Times New Roman"/>
                <w:lang w:eastAsia="en-GB"/>
              </w:rPr>
            </w:pPr>
          </w:p>
        </w:tc>
      </w:tr>
      <w:bookmarkEnd w:id="0"/>
    </w:tbl>
    <w:p w14:paraId="5A522FA6" w14:textId="77777777" w:rsidR="00201AC2" w:rsidRPr="00201AC2" w:rsidRDefault="00201AC2" w:rsidP="006F3279">
      <w:pPr>
        <w:spacing w:after="240"/>
        <w:rPr>
          <w:szCs w:val="18"/>
        </w:rPr>
      </w:pPr>
    </w:p>
    <w:p w14:paraId="1DFACCB2" w14:textId="77777777" w:rsidR="00201AC2" w:rsidRPr="00201AC2" w:rsidRDefault="00201AC2" w:rsidP="006F3279">
      <w:pPr>
        <w:spacing w:after="240"/>
        <w:rPr>
          <w:szCs w:val="18"/>
        </w:rPr>
      </w:pPr>
    </w:p>
    <w:p w14:paraId="398B96E4"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7B2771C4" w14:textId="77777777" w:rsidR="00BA08EB" w:rsidRPr="006F3279" w:rsidRDefault="00323334" w:rsidP="00BA08EB">
      <w:pPr>
        <w:spacing w:after="240"/>
        <w:rPr>
          <w:i/>
          <w:sz w:val="18"/>
          <w:szCs w:val="18"/>
        </w:rPr>
      </w:pPr>
      <w:bookmarkStart w:id="1" w:name="_Hlk8745967"/>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BA08EB">
        <w:rPr>
          <w:i/>
          <w:sz w:val="18"/>
          <w:szCs w:val="18"/>
        </w:rPr>
        <w:t>CCR: Chemical reactions</w:t>
      </w:r>
      <w:r w:rsidR="0007651D">
        <w:rPr>
          <w:i/>
          <w:sz w:val="18"/>
          <w:szCs w:val="18"/>
        </w:rPr>
        <w:t xml:space="preserve"> &gt; </w:t>
      </w:r>
      <w:r w:rsidR="00BA08EB">
        <w:rPr>
          <w:i/>
          <w:sz w:val="18"/>
          <w:szCs w:val="18"/>
        </w:rPr>
        <w:t>Topic CCR4: Acids and alkalis</w:t>
      </w:r>
      <w:r w:rsidR="00BA08EB" w:rsidRPr="00CA4B46">
        <w:rPr>
          <w:i/>
          <w:sz w:val="18"/>
          <w:szCs w:val="18"/>
        </w:rPr>
        <w:t xml:space="preserve"> &gt; </w:t>
      </w:r>
      <w:r w:rsidR="00BA08EB">
        <w:rPr>
          <w:i/>
          <w:sz w:val="18"/>
          <w:szCs w:val="18"/>
        </w:rPr>
        <w:t>Key concept</w:t>
      </w:r>
      <w:r w:rsidR="00BA08EB" w:rsidRPr="00CA4B46">
        <w:rPr>
          <w:i/>
          <w:sz w:val="18"/>
          <w:szCs w:val="18"/>
        </w:rPr>
        <w:t xml:space="preserve"> </w:t>
      </w:r>
      <w:r w:rsidR="00BA08EB">
        <w:rPr>
          <w:i/>
          <w:sz w:val="18"/>
          <w:szCs w:val="18"/>
        </w:rPr>
        <w:t>CCR4.1: Neutralisation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9FAA0B2" w14:textId="77777777" w:rsidTr="00323334">
        <w:tc>
          <w:tcPr>
            <w:tcW w:w="12021" w:type="dxa"/>
            <w:shd w:val="clear" w:color="auto" w:fill="FABF8F" w:themeFill="accent6" w:themeFillTint="99"/>
          </w:tcPr>
          <w:bookmarkEnd w:id="1"/>
          <w:p w14:paraId="1A0D441C"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0DBB9FEF" w14:textId="77777777" w:rsidTr="00323334">
        <w:tc>
          <w:tcPr>
            <w:tcW w:w="12021" w:type="dxa"/>
            <w:shd w:val="clear" w:color="auto" w:fill="FBD4B4" w:themeFill="accent6" w:themeFillTint="66"/>
          </w:tcPr>
          <w:p w14:paraId="6EF37AD1" w14:textId="5A54C9E6" w:rsidR="006F3279" w:rsidRPr="00CA4B46" w:rsidRDefault="00BA08EB" w:rsidP="006F3279">
            <w:pPr>
              <w:spacing w:after="60"/>
              <w:ind w:left="1304"/>
              <w:rPr>
                <w:b/>
                <w:sz w:val="40"/>
                <w:szCs w:val="40"/>
              </w:rPr>
            </w:pPr>
            <w:r>
              <w:rPr>
                <w:b/>
                <w:sz w:val="40"/>
                <w:szCs w:val="40"/>
              </w:rPr>
              <w:t>Damaged marble</w:t>
            </w:r>
          </w:p>
        </w:tc>
      </w:tr>
    </w:tbl>
    <w:p w14:paraId="71F35EF9" w14:textId="7C23079B" w:rsidR="006F3279" w:rsidRDefault="006F3279" w:rsidP="00E172C6">
      <w:pPr>
        <w:spacing w:after="180"/>
        <w:rPr>
          <w:b/>
        </w:rPr>
      </w:pPr>
    </w:p>
    <w:p w14:paraId="208F7DC8" w14:textId="35F9994A"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5CD82BF2" w14:textId="77777777" w:rsidTr="003F16F9">
        <w:trPr>
          <w:trHeight w:val="340"/>
        </w:trPr>
        <w:tc>
          <w:tcPr>
            <w:tcW w:w="2196" w:type="dxa"/>
          </w:tcPr>
          <w:p w14:paraId="3BD916EE" w14:textId="77777777" w:rsidR="00FA5B3A" w:rsidRDefault="00FA5B3A" w:rsidP="00FA5B3A">
            <w:pPr>
              <w:spacing w:before="60" w:after="60"/>
            </w:pPr>
            <w:r>
              <w:t>Learning focus:</w:t>
            </w:r>
          </w:p>
        </w:tc>
        <w:tc>
          <w:tcPr>
            <w:tcW w:w="6820" w:type="dxa"/>
          </w:tcPr>
          <w:p w14:paraId="125187EC" w14:textId="08AD2F81" w:rsidR="00FA5B3A" w:rsidRDefault="00C95F3C" w:rsidP="00FA5B3A">
            <w:pPr>
              <w:spacing w:before="60" w:after="60"/>
            </w:pPr>
            <w:bookmarkStart w:id="2" w:name="_GoBack"/>
            <w:r>
              <w:t>A salt is formed from a neutralisation reaction between an acid and a base.</w:t>
            </w:r>
            <w:bookmarkEnd w:id="2"/>
          </w:p>
        </w:tc>
      </w:tr>
      <w:tr w:rsidR="00FA5B3A" w14:paraId="798BC34F" w14:textId="77777777" w:rsidTr="003F16F9">
        <w:trPr>
          <w:trHeight w:val="340"/>
        </w:trPr>
        <w:tc>
          <w:tcPr>
            <w:tcW w:w="2196" w:type="dxa"/>
          </w:tcPr>
          <w:p w14:paraId="6C1ABA21" w14:textId="77777777" w:rsidR="00FA5B3A" w:rsidRDefault="00FA5B3A" w:rsidP="00FA5B3A">
            <w:pPr>
              <w:spacing w:before="60" w:after="60"/>
            </w:pPr>
            <w:r>
              <w:t>Observable learning outcome:</w:t>
            </w:r>
          </w:p>
        </w:tc>
        <w:tc>
          <w:tcPr>
            <w:tcW w:w="6820" w:type="dxa"/>
          </w:tcPr>
          <w:p w14:paraId="58636E4F" w14:textId="103CD5A8" w:rsidR="00FA5B3A" w:rsidRPr="00BA08EB" w:rsidRDefault="00BA08EB" w:rsidP="00FA5B3A">
            <w:pPr>
              <w:spacing w:before="60" w:after="60"/>
            </w:pPr>
            <w:r w:rsidRPr="00BA08EB">
              <w:t>Explain what happens when an acid appears to ‘eat away’ a material.</w:t>
            </w:r>
          </w:p>
        </w:tc>
      </w:tr>
      <w:tr w:rsidR="00FA5B3A" w14:paraId="7E3F59E6" w14:textId="77777777" w:rsidTr="003F16F9">
        <w:trPr>
          <w:trHeight w:val="340"/>
        </w:trPr>
        <w:tc>
          <w:tcPr>
            <w:tcW w:w="2196" w:type="dxa"/>
          </w:tcPr>
          <w:p w14:paraId="01D09C26" w14:textId="77777777" w:rsidR="00FA5B3A" w:rsidRDefault="007F5D5D" w:rsidP="00FA5B3A">
            <w:pPr>
              <w:spacing w:before="60" w:after="60"/>
            </w:pPr>
            <w:r>
              <w:t>Question</w:t>
            </w:r>
            <w:r w:rsidR="00FA5B3A">
              <w:t xml:space="preserve"> type:</w:t>
            </w:r>
          </w:p>
        </w:tc>
        <w:tc>
          <w:tcPr>
            <w:tcW w:w="6820" w:type="dxa"/>
          </w:tcPr>
          <w:p w14:paraId="3B030764" w14:textId="4FCAB7C8" w:rsidR="00FA5B3A" w:rsidRDefault="00304A9C" w:rsidP="00304A9C">
            <w:pPr>
              <w:spacing w:before="60" w:after="60"/>
            </w:pPr>
            <w:r>
              <w:t>simple</w:t>
            </w:r>
            <w:r w:rsidR="00E252BE" w:rsidRPr="00535269">
              <w:t xml:space="preserve"> multiple</w:t>
            </w:r>
            <w:r w:rsidR="00E252BE">
              <w:t xml:space="preserve"> choice</w:t>
            </w:r>
          </w:p>
        </w:tc>
      </w:tr>
      <w:tr w:rsidR="00FA5B3A" w14:paraId="6A4B5234" w14:textId="77777777" w:rsidTr="003F16F9">
        <w:trPr>
          <w:trHeight w:val="340"/>
        </w:trPr>
        <w:tc>
          <w:tcPr>
            <w:tcW w:w="2196" w:type="dxa"/>
          </w:tcPr>
          <w:p w14:paraId="5F68C3D7" w14:textId="77777777" w:rsidR="00FA5B3A" w:rsidRDefault="00FA5B3A" w:rsidP="00FA5B3A">
            <w:pPr>
              <w:spacing w:before="60" w:after="60"/>
            </w:pPr>
            <w:r>
              <w:t>Key words:</w:t>
            </w:r>
          </w:p>
        </w:tc>
        <w:tc>
          <w:tcPr>
            <w:tcW w:w="6820" w:type="dxa"/>
            <w:tcBorders>
              <w:bottom w:val="dotted" w:sz="4" w:space="0" w:color="auto"/>
            </w:tcBorders>
          </w:tcPr>
          <w:p w14:paraId="512DEF8A" w14:textId="56153296" w:rsidR="00FA5B3A" w:rsidRDefault="00812B8E" w:rsidP="00FA5B3A">
            <w:pPr>
              <w:spacing w:before="60" w:after="60"/>
            </w:pPr>
            <w:r>
              <w:t>acid</w:t>
            </w:r>
          </w:p>
        </w:tc>
      </w:tr>
    </w:tbl>
    <w:p w14:paraId="43C16A2C" w14:textId="7CE076B7"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3600283C" w14:textId="77777777" w:rsidTr="00323334">
        <w:tc>
          <w:tcPr>
            <w:tcW w:w="709" w:type="dxa"/>
            <w:shd w:val="clear" w:color="auto" w:fill="FABF8F" w:themeFill="accent6" w:themeFillTint="99"/>
            <w:tcMar>
              <w:left w:w="28" w:type="dxa"/>
              <w:bottom w:w="57" w:type="dxa"/>
              <w:right w:w="28" w:type="dxa"/>
            </w:tcMar>
            <w:vAlign w:val="center"/>
          </w:tcPr>
          <w:p w14:paraId="6E12E2BD" w14:textId="77777777"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14:paraId="659154CF" w14:textId="77777777" w:rsidR="00F72ECC" w:rsidRPr="00323334" w:rsidRDefault="00C54711" w:rsidP="00F72ECC">
            <w:pPr>
              <w:spacing w:after="60"/>
              <w:rPr>
                <w:color w:val="E36C0A" w:themeColor="accent6" w:themeShade="BF"/>
                <w:sz w:val="20"/>
              </w:rPr>
            </w:pPr>
            <w:r w:rsidRPr="00323334">
              <w:rPr>
                <w:b/>
                <w:color w:val="E36C0A" w:themeColor="accent6" w:themeShade="BF"/>
              </w:rPr>
              <w:t>PRIOR UNDERSTANDING</w:t>
            </w:r>
            <w:r w:rsidR="00FA5B3A">
              <w:rPr>
                <w:b/>
                <w:color w:val="E36C0A" w:themeColor="accent6" w:themeShade="BF"/>
              </w:rPr>
              <w:t xml:space="preserve"> </w:t>
            </w:r>
          </w:p>
          <w:p w14:paraId="136F75A0" w14:textId="54A6EAB1" w:rsidR="005A6EE7" w:rsidRDefault="00FA5B3A" w:rsidP="007C26E1">
            <w:r w:rsidRPr="00F72ECC">
              <w:rPr>
                <w:sz w:val="20"/>
              </w:rPr>
              <w:t xml:space="preserve">This </w:t>
            </w:r>
            <w:r>
              <w:rPr>
                <w:sz w:val="20"/>
              </w:rPr>
              <w:t>diagnostic question</w:t>
            </w:r>
            <w:r w:rsidRPr="00F72ECC">
              <w:rPr>
                <w:sz w:val="20"/>
              </w:rPr>
              <w:t xml:space="preserve"> </w:t>
            </w:r>
            <w:r w:rsidR="007C26E1">
              <w:rPr>
                <w:sz w:val="20"/>
              </w:rPr>
              <w:t xml:space="preserve">probes understanding of </w:t>
            </w:r>
            <w:r w:rsidR="004C5D20" w:rsidRPr="00F72ECC">
              <w:rPr>
                <w:sz w:val="20"/>
              </w:rPr>
              <w:t xml:space="preserve">ideas </w:t>
            </w:r>
            <w:r w:rsidR="00812B8E">
              <w:rPr>
                <w:sz w:val="20"/>
              </w:rPr>
              <w:t>from a previous key concept (CCR1.1) to aid transition from earlier stages of learning.</w:t>
            </w:r>
          </w:p>
        </w:tc>
      </w:tr>
    </w:tbl>
    <w:p w14:paraId="3F14469C" w14:textId="2ECDDF67" w:rsidR="005A6EE7" w:rsidRDefault="005A6EE7" w:rsidP="00F72ECC"/>
    <w:p w14:paraId="27D2E828" w14:textId="3DD7CDDD" w:rsidR="00F72ECC" w:rsidRDefault="00F72ECC" w:rsidP="00F72ECC"/>
    <w:p w14:paraId="61211B93" w14:textId="281EECBA"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57E07851" w14:textId="4F578A78" w:rsidR="00444B0C" w:rsidRDefault="00444B0C" w:rsidP="00444B0C">
      <w:pPr>
        <w:spacing w:after="180"/>
      </w:pPr>
      <w:bookmarkStart w:id="3" w:name="_Hlk8746060"/>
      <w:r>
        <w:t xml:space="preserve">Driver </w:t>
      </w:r>
      <w:r>
        <w:fldChar w:fldCharType="begin"/>
      </w:r>
      <w:r>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format="utc"&gt;1557828839&lt;/added-date&gt;&lt;pub-location&gt;London, UK&lt;/pub-location&gt;&lt;ref-type name="Book"&gt;6&lt;/ref-type&gt;&lt;dates&gt;&lt;year&gt;1994&lt;/year&gt;&lt;/dates&gt;&lt;rec-number&gt;50&lt;/rec-number&gt;&lt;publisher&gt;Routledge&lt;/publisher&gt;&lt;last-updated-date format="utc"&gt;1557828839&lt;/last-updated-date&gt;&lt;/record&gt;&lt;/Cite&gt;&lt;/EndNote&gt;</w:instrText>
      </w:r>
      <w:r>
        <w:fldChar w:fldCharType="separate"/>
      </w:r>
      <w:r>
        <w:rPr>
          <w:noProof/>
        </w:rPr>
        <w:t>(1994)</w:t>
      </w:r>
      <w:r>
        <w:fldChar w:fldCharType="end"/>
      </w:r>
      <w:r>
        <w:t xml:space="preserve"> summarises research </w:t>
      </w:r>
      <w:r>
        <w:fldChar w:fldCharType="begin"/>
      </w:r>
      <w:r>
        <w:instrText xml:space="preserve"> ADDIN EN.CITE &lt;EndNote&gt;&lt;Cite&gt;&lt;Author&gt;Hand&lt;/Author&gt;&lt;Year&gt;1989&lt;/Year&gt;&lt;IDText&gt;Application of a conceptual conflict teaching strategy to enhance student learning of acids and bases.&lt;/IDText&gt;&lt;DisplayText&gt;(Hand and Treagust, 1989)&lt;/DisplayText&gt;&lt;record&gt;&lt;titles&gt;&lt;title&gt;Application of a conceptual conflict teaching strategy to enhance student learning of acids and bases.&lt;/title&gt;&lt;secondary-title&gt;Research in Science Education&lt;/secondary-title&gt;&lt;/titles&gt;&lt;pages&gt;133-144&lt;/pages&gt;&lt;contributors&gt;&lt;authors&gt;&lt;author&gt;Hand, B.&lt;/author&gt;&lt;author&gt;Treagust, D.F.&lt;/author&gt;&lt;/authors&gt;&lt;/contributors&gt;&lt;added-date format="utc"&gt;1557829133&lt;/added-date&gt;&lt;ref-type name="Journal Article"&gt;17&lt;/ref-type&gt;&lt;dates&gt;&lt;year&gt;1989&lt;/year&gt;&lt;/dates&gt;&lt;rec-number&gt;51&lt;/rec-number&gt;&lt;last-updated-date format="utc"&gt;1557829204&lt;/last-updated-date&gt;&lt;volume&gt;19&lt;/volume&gt;&lt;/record&gt;&lt;/Cite&gt;&lt;/EndNote&gt;</w:instrText>
      </w:r>
      <w:r>
        <w:fldChar w:fldCharType="separate"/>
      </w:r>
      <w:r>
        <w:rPr>
          <w:noProof/>
        </w:rPr>
        <w:t>(Hand and Treagust, 1989)</w:t>
      </w:r>
      <w:r>
        <w:fldChar w:fldCharType="end"/>
      </w:r>
      <w:r>
        <w:t xml:space="preserve"> about student conceptions of acids.  Two major conceptions were that ‘acids eat material away’ and ‘acids burn you’.  It was found that a widely held idea was that an acid could be tested for by seeing whether it ate something away. Researchers found</w:t>
      </w:r>
      <w:r w:rsidR="00C95F3C">
        <w:t xml:space="preserve"> that</w:t>
      </w:r>
      <w:r>
        <w:t>, even after use of a ‘conflict’ teaching strategy one third of students still did not perceive the reaction of acids with either metals of calcium carbonate as being due to the properties of an acid. Instead they saw them as further examples of ‘acids eating something away’.</w:t>
      </w:r>
    </w:p>
    <w:p w14:paraId="5974B1A9" w14:textId="4D289D92" w:rsidR="00444B0C" w:rsidRDefault="00444B0C" w:rsidP="00444B0C">
      <w:pPr>
        <w:spacing w:after="180"/>
      </w:pPr>
      <w:r>
        <w:t xml:space="preserve">This may be explained by the findings of research by Andersson </w:t>
      </w:r>
      <w:r>
        <w:fldChar w:fldCharType="begin"/>
      </w:r>
      <w:r>
        <w:instrText xml:space="preserve"> ADDIN EN.CITE &lt;EndNote&gt;&lt;Cite ExcludeAuth="1"&gt;&lt;Author&gt;Andersson&lt;/Author&gt;&lt;Year&gt;1990&lt;/Year&gt;&lt;IDText&gt;Pupils&amp;apos; conceptions of matter and its transformations (age 12-16)&lt;/IDText&gt;&lt;DisplayText&gt;(1990)&lt;/DisplayText&gt;&lt;record&gt;&lt;titles&gt;&lt;title&gt;Pupils&amp;apos; conceptions of matter and its transformations (age 12-16)&lt;/title&gt;&lt;secondary-title&gt;Studies in Science Education&lt;/secondary-title&gt;&lt;/titles&gt;&lt;pages&gt;53-85&lt;/pages&gt;&lt;contributors&gt;&lt;authors&gt;&lt;author&gt;Andersson, Björn&lt;/author&gt;&lt;/authors&gt;&lt;/contributors&gt;&lt;added-date format="utc"&gt;1536949705&lt;/added-date&gt;&lt;ref-type name="Journal Article"&gt;17&lt;/ref-type&gt;&lt;dates&gt;&lt;year&gt;1990&lt;/year&gt;&lt;/dates&gt;&lt;rec-number&gt;22&lt;/rec-number&gt;&lt;last-updated-date format="utc"&gt;1537282974&lt;/last-updated-date&gt;&lt;volume&gt;18&lt;/volume&gt;&lt;/record&gt;&lt;/Cite&gt;&lt;/EndNote&gt;</w:instrText>
      </w:r>
      <w:r>
        <w:fldChar w:fldCharType="separate"/>
      </w:r>
      <w:r>
        <w:rPr>
          <w:noProof/>
        </w:rPr>
        <w:t>(1990)</w:t>
      </w:r>
      <w:r>
        <w:fldChar w:fldCharType="end"/>
      </w:r>
      <w:r>
        <w:t xml:space="preserve"> which categorised five different types of answer that students gave when explaining observations of chemical reactions. Only one of these categories, chemical interaction in which substances combine to form a new substance of substances is scientifically correct. The perception of acids as ‘eating away’ a material is consistent with the category ‘disappearance’. The student observes a reaction and sees the loss of a react</w:t>
      </w:r>
      <w:r w:rsidR="006118F2">
        <w:t>ant</w:t>
      </w:r>
      <w:r>
        <w:t xml:space="preserve">, but does not recognise the formation of a new </w:t>
      </w:r>
      <w:r w:rsidR="006118F2">
        <w:t xml:space="preserve">soluble </w:t>
      </w:r>
      <w:r>
        <w:t xml:space="preserve">product. </w:t>
      </w:r>
    </w:p>
    <w:bookmarkEnd w:id="3"/>
    <w:p w14:paraId="7E03A175"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6C56087A" w14:textId="20FD9B95" w:rsidR="00304A9C" w:rsidRPr="00AE7928" w:rsidRDefault="00304A9C" w:rsidP="00304A9C">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3B901DA4" w14:textId="5AC7F600" w:rsidR="00304A9C" w:rsidRDefault="00304A9C" w:rsidP="00304A9C">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22CDF705" w14:textId="7E17975F" w:rsidR="00304A9C" w:rsidRPr="00816065" w:rsidRDefault="00304A9C" w:rsidP="00304A9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528A3782" w14:textId="77777777" w:rsidR="00304A9C" w:rsidRDefault="00304A9C" w:rsidP="00304A9C">
      <w:pPr>
        <w:spacing w:after="180"/>
        <w:rPr>
          <w:rFonts w:cstheme="minorHAnsi"/>
          <w:i/>
        </w:rPr>
      </w:pPr>
      <w:r w:rsidRPr="00AE7928">
        <w:rPr>
          <w:rFonts w:cstheme="minorHAnsi"/>
          <w:i/>
        </w:rPr>
        <w:t>Differentiation</w:t>
      </w:r>
    </w:p>
    <w:p w14:paraId="1B805503" w14:textId="630EB522" w:rsidR="00304A9C" w:rsidRPr="00AE7928" w:rsidRDefault="00304A9C" w:rsidP="00304A9C">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C95F3C">
        <w:rPr>
          <w:rFonts w:cstheme="minorHAnsi"/>
        </w:rPr>
        <w:t>,</w:t>
      </w:r>
      <w:r w:rsidRPr="00AE7928">
        <w:rPr>
          <w:rFonts w:cstheme="minorHAnsi"/>
        </w:rPr>
        <w:t xml:space="preserve"> it may be more appropriate for a teaching assistant to read for one or two students.</w:t>
      </w:r>
    </w:p>
    <w:p w14:paraId="7C973419"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4FB692CD" w14:textId="5DCB111F" w:rsidR="00BF6C8A" w:rsidRDefault="004152C6" w:rsidP="00BF6C8A">
      <w:pPr>
        <w:spacing w:after="180"/>
      </w:pPr>
      <w:r>
        <w:t>C</w:t>
      </w:r>
    </w:p>
    <w:p w14:paraId="2A2A95B8"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5C463C01" w14:textId="41BBF765" w:rsidR="009763BC" w:rsidRPr="00965718" w:rsidRDefault="004152C6" w:rsidP="006A4440">
      <w:pPr>
        <w:spacing w:after="180"/>
      </w:pPr>
      <w:r w:rsidRPr="00965718">
        <w:t xml:space="preserve">A student who selects option A may benefit from revisiting key concept CSU 1.2: </w:t>
      </w:r>
      <w:r w:rsidR="009763BC" w:rsidRPr="00965718">
        <w:t xml:space="preserve">Solutions.  Everyday use of the word dissolve can refer to something disappearing, so it is important that students are clear on the scientific meaning of the word. The formation of bubbles </w:t>
      </w:r>
      <w:r w:rsidR="00C95F3C">
        <w:t>is evidence that a chemical reaction is taking place.</w:t>
      </w:r>
    </w:p>
    <w:p w14:paraId="29033E70" w14:textId="3314EDCE" w:rsidR="00965718" w:rsidRPr="00965718" w:rsidRDefault="009763BC" w:rsidP="006A4440">
      <w:pPr>
        <w:spacing w:after="180"/>
      </w:pPr>
      <w:r w:rsidRPr="00965718">
        <w:t>A student who opts for B</w:t>
      </w:r>
      <w:r w:rsidR="00965718" w:rsidRPr="00965718">
        <w:t xml:space="preserve"> may be referring only to their own everyday perception of an acid as a chemical that eats away at materials. They may need prompting to use their chemistry understanding to come up with a more scientific explanation.</w:t>
      </w:r>
    </w:p>
    <w:p w14:paraId="44F3CB15" w14:textId="1F1EC54B" w:rsidR="00965718" w:rsidRPr="00965718" w:rsidRDefault="00965718" w:rsidP="006A4440">
      <w:pPr>
        <w:spacing w:after="180"/>
      </w:pPr>
      <w:r w:rsidRPr="00965718">
        <w:t>Selection of D indicates that the student is explaining the observations by attributing a change in property (</w:t>
      </w:r>
      <w:r w:rsidR="00C95F3C">
        <w:t>boiling point</w:t>
      </w:r>
      <w:r w:rsidRPr="00965718">
        <w:t xml:space="preserve">) </w:t>
      </w:r>
      <w:r w:rsidR="00C95F3C">
        <w:t>of</w:t>
      </w:r>
      <w:r w:rsidRPr="00965718">
        <w:t xml:space="preserve"> marble which is not scientifically correct.</w:t>
      </w:r>
    </w:p>
    <w:p w14:paraId="2E2BF14F" w14:textId="20C94CEC" w:rsidR="005F1A7B" w:rsidRPr="00965718" w:rsidRDefault="004F039C" w:rsidP="006A4440">
      <w:pPr>
        <w:spacing w:after="180"/>
      </w:pPr>
      <w:r w:rsidRPr="004F039C">
        <w:t xml:space="preserve">If students have </w:t>
      </w:r>
      <w:r w:rsidR="001E4950">
        <w:t>misunderstanding</w:t>
      </w:r>
      <w:r w:rsidRPr="004F039C">
        <w:t xml:space="preserve">s about </w:t>
      </w:r>
      <w:r w:rsidR="00965718">
        <w:t>how their observations may be explained by the idea of a chemical reaction it may help to write down the symbol equation including state symbols. Encourage the students to match the symbol equation to their observations (see key concept CPS4.1: Representing reactions</w:t>
      </w:r>
      <w:r w:rsidR="00965718" w:rsidRPr="00965718">
        <w:t xml:space="preserve">). </w:t>
      </w:r>
      <w:r w:rsidRPr="00965718">
        <w:t xml:space="preserve"> The following </w:t>
      </w:r>
      <w:r w:rsidR="005F1A7B" w:rsidRPr="00965718">
        <w:t xml:space="preserve">BEST </w:t>
      </w:r>
      <w:r w:rsidR="004C5D20" w:rsidRPr="00965718">
        <w:t xml:space="preserve">‘response </w:t>
      </w:r>
      <w:r w:rsidR="00C1460B" w:rsidRPr="00965718">
        <w:t>activities</w:t>
      </w:r>
      <w:r w:rsidR="004C5D20" w:rsidRPr="00965718">
        <w:t>’</w:t>
      </w:r>
      <w:r w:rsidR="005F1A7B" w:rsidRPr="00965718">
        <w:t xml:space="preserve"> </w:t>
      </w:r>
      <w:r w:rsidR="004C5D20" w:rsidRPr="00965718">
        <w:t>c</w:t>
      </w:r>
      <w:r w:rsidR="005F1A7B" w:rsidRPr="00965718">
        <w:t xml:space="preserve">ould </w:t>
      </w:r>
      <w:r w:rsidR="004C5D20" w:rsidRPr="00965718">
        <w:t>be used in follow-up to this diagnostic question</w:t>
      </w:r>
      <w:r w:rsidRPr="00965718">
        <w:t>:</w:t>
      </w:r>
    </w:p>
    <w:p w14:paraId="66D53751" w14:textId="4BF7D87F" w:rsidR="00A6111E" w:rsidRPr="00965718" w:rsidRDefault="00965718" w:rsidP="00402E34">
      <w:pPr>
        <w:pStyle w:val="ListParagraph"/>
        <w:numPr>
          <w:ilvl w:val="0"/>
          <w:numId w:val="1"/>
        </w:numPr>
        <w:spacing w:after="180"/>
      </w:pPr>
      <w:r w:rsidRPr="00965718">
        <w:t>Soluble products</w:t>
      </w:r>
    </w:p>
    <w:p w14:paraId="1CB8138B"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5CD26B4D" w14:textId="2C60CA1A" w:rsidR="00D278E8" w:rsidRDefault="00D278E8" w:rsidP="00E172C6">
      <w:pPr>
        <w:spacing w:after="180"/>
      </w:pPr>
      <w:r>
        <w:t xml:space="preserve">Developed </w:t>
      </w:r>
      <w:r w:rsidR="0015356E">
        <w:t xml:space="preserve">by </w:t>
      </w:r>
      <w:r w:rsidR="00E252BE">
        <w:t>Helen Harden</w:t>
      </w:r>
      <w:r w:rsidR="0015356E">
        <w:t xml:space="preserve"> (UYSEG)</w:t>
      </w:r>
    </w:p>
    <w:p w14:paraId="2564674B" w14:textId="3A4274A1" w:rsidR="009763BC" w:rsidRDefault="00D278E8" w:rsidP="00E24309">
      <w:pPr>
        <w:spacing w:after="180"/>
      </w:pPr>
      <w:r w:rsidRPr="0045323E">
        <w:t>Images:</w:t>
      </w:r>
      <w:r w:rsidR="009763BC">
        <w:t xml:space="preserve"> Helen Harden and Alistair Moore (UYSEG)</w:t>
      </w:r>
    </w:p>
    <w:p w14:paraId="60E34DDB" w14:textId="09026AF9" w:rsidR="003E3D77" w:rsidRDefault="00D278E8" w:rsidP="00E24309">
      <w:pPr>
        <w:spacing w:after="180"/>
      </w:pPr>
      <w:r w:rsidRPr="0045323E">
        <w:t xml:space="preserve"> </w:t>
      </w:r>
      <w:hyperlink r:id="rId10" w:history="1">
        <w:r w:rsidR="003E3D77">
          <w:rPr>
            <w:rStyle w:val="Hyperlink"/>
          </w:rPr>
          <w:t>PRAIRAT FHUNTA</w:t>
        </w:r>
      </w:hyperlink>
      <w:r w:rsidR="003E3D77">
        <w:rPr>
          <w:rStyle w:val="attributionfield"/>
        </w:rPr>
        <w:t xml:space="preserve"> from </w:t>
      </w:r>
      <w:hyperlink r:id="rId11" w:history="1">
        <w:r w:rsidR="003E3D77">
          <w:rPr>
            <w:rStyle w:val="Hyperlink"/>
          </w:rPr>
          <w:t>Pixabay</w:t>
        </w:r>
      </w:hyperlink>
    </w:p>
    <w:p w14:paraId="517E3A46" w14:textId="675055C1" w:rsidR="009763BC" w:rsidRPr="009763BC" w:rsidRDefault="003117F6" w:rsidP="00E24309">
      <w:pPr>
        <w:spacing w:after="180"/>
        <w:rPr>
          <w:b/>
          <w:color w:val="E36C0A" w:themeColor="accent6" w:themeShade="BF"/>
          <w:sz w:val="24"/>
        </w:rPr>
      </w:pPr>
      <w:r w:rsidRPr="00323334">
        <w:rPr>
          <w:b/>
          <w:color w:val="E36C0A" w:themeColor="accent6" w:themeShade="BF"/>
          <w:sz w:val="24"/>
        </w:rPr>
        <w:t>References</w:t>
      </w:r>
    </w:p>
    <w:p w14:paraId="088FAC06" w14:textId="77777777" w:rsidR="009763BC" w:rsidRPr="009763BC" w:rsidRDefault="009763BC" w:rsidP="009763BC">
      <w:pPr>
        <w:pStyle w:val="EndNoteBibliography"/>
      </w:pPr>
      <w:r>
        <w:fldChar w:fldCharType="begin"/>
      </w:r>
      <w:r>
        <w:instrText xml:space="preserve"> ADDIN EN.REFLIST </w:instrText>
      </w:r>
      <w:r>
        <w:fldChar w:fldCharType="separate"/>
      </w:r>
      <w:r w:rsidRPr="009763BC">
        <w:t xml:space="preserve">Andersson, B. (1990). Pupils' conceptions of matter and its transformations (age 12-16). </w:t>
      </w:r>
      <w:r w:rsidRPr="009763BC">
        <w:rPr>
          <w:i/>
        </w:rPr>
        <w:t>Studies in Science Education,</w:t>
      </w:r>
      <w:r w:rsidRPr="009763BC">
        <w:t xml:space="preserve"> 18</w:t>
      </w:r>
      <w:r w:rsidRPr="009763BC">
        <w:rPr>
          <w:b/>
        </w:rPr>
        <w:t>,</w:t>
      </w:r>
      <w:r w:rsidRPr="009763BC">
        <w:t xml:space="preserve"> 53-85.</w:t>
      </w:r>
    </w:p>
    <w:p w14:paraId="11E187DB" w14:textId="77777777" w:rsidR="009763BC" w:rsidRPr="009763BC" w:rsidRDefault="009763BC" w:rsidP="009763BC">
      <w:pPr>
        <w:pStyle w:val="EndNoteBibliography"/>
      </w:pPr>
      <w:r w:rsidRPr="009763BC">
        <w:t xml:space="preserve">Driver, R., et al. (1994). </w:t>
      </w:r>
      <w:r w:rsidRPr="009763BC">
        <w:rPr>
          <w:i/>
        </w:rPr>
        <w:t xml:space="preserve">Making Sense of Secondary Science: Research into Children's Ideas, </w:t>
      </w:r>
      <w:r w:rsidRPr="009763BC">
        <w:t>London, UK: Routledge.</w:t>
      </w:r>
    </w:p>
    <w:p w14:paraId="2DFE949C" w14:textId="77777777" w:rsidR="009763BC" w:rsidRPr="009763BC" w:rsidRDefault="009763BC" w:rsidP="009763BC">
      <w:pPr>
        <w:pStyle w:val="EndNoteBibliography"/>
      </w:pPr>
      <w:r w:rsidRPr="009763BC">
        <w:t xml:space="preserve">Hand, B. and Treagust, D. F. (1989). Application of a conceptual conflict teaching strategy to enhance student learning of acids and bases. </w:t>
      </w:r>
      <w:r w:rsidRPr="009763BC">
        <w:rPr>
          <w:i/>
        </w:rPr>
        <w:t>Research in Science Education,</w:t>
      </w:r>
      <w:r w:rsidRPr="009763BC">
        <w:t xml:space="preserve"> 19</w:t>
      </w:r>
      <w:r w:rsidRPr="009763BC">
        <w:rPr>
          <w:b/>
        </w:rPr>
        <w:t>,</w:t>
      </w:r>
      <w:r w:rsidRPr="009763BC">
        <w:t xml:space="preserve"> 133-144.</w:t>
      </w:r>
    </w:p>
    <w:p w14:paraId="0E9B9488" w14:textId="7EAC2B1B" w:rsidR="0067031A" w:rsidRPr="0067031A" w:rsidRDefault="009763BC" w:rsidP="00E24309">
      <w:pPr>
        <w:spacing w:after="180"/>
      </w:pPr>
      <w:r>
        <w:fldChar w:fldCharType="end"/>
      </w:r>
    </w:p>
    <w:sectPr w:rsidR="0067031A" w:rsidRPr="0067031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4B398" w14:textId="77777777" w:rsidR="00561D20" w:rsidRDefault="00561D20" w:rsidP="000B473B">
      <w:r>
        <w:separator/>
      </w:r>
    </w:p>
  </w:endnote>
  <w:endnote w:type="continuationSeparator" w:id="0">
    <w:p w14:paraId="3CB568F5" w14:textId="77777777" w:rsidR="00561D20" w:rsidRDefault="00561D2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3F061"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2B034C6" wp14:editId="3CE5444E">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0ACED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04A9C">
      <w:rPr>
        <w:noProof/>
      </w:rPr>
      <w:t>3</w:t>
    </w:r>
    <w:r>
      <w:rPr>
        <w:noProof/>
      </w:rPr>
      <w:fldChar w:fldCharType="end"/>
    </w:r>
  </w:p>
  <w:p w14:paraId="4409BA0A"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67031A">
      <w:rPr>
        <w:sz w:val="16"/>
        <w:szCs w:val="16"/>
      </w:rPr>
      <w:t>document</w:t>
    </w:r>
    <w:r>
      <w:rPr>
        <w:sz w:val="16"/>
        <w:szCs w:val="16"/>
      </w:rPr>
      <w:t xml:space="preserve"> may have been edited. Download the original from </w:t>
    </w:r>
    <w:r w:rsidRPr="00ED4562">
      <w:rPr>
        <w:b/>
        <w:sz w:val="16"/>
        <w:szCs w:val="16"/>
      </w:rPr>
      <w:t>www.BestEvidenceScienceTeaching.org</w:t>
    </w:r>
  </w:p>
  <w:p w14:paraId="4432F4C3"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BC6FE" w14:textId="77777777" w:rsidR="00561D20" w:rsidRDefault="00561D20" w:rsidP="000B473B">
      <w:r>
        <w:separator/>
      </w:r>
    </w:p>
  </w:footnote>
  <w:footnote w:type="continuationSeparator" w:id="0">
    <w:p w14:paraId="4496A64A" w14:textId="77777777" w:rsidR="00561D20" w:rsidRDefault="00561D2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8F2BB"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A7C8230" wp14:editId="059B2450">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BCCBF5F" wp14:editId="68D65CBA">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B0849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A0E51"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27A3CE7" wp14:editId="667F4F38">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D0F075D" wp14:editId="049A4378">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6040F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7367A"/>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04A9C"/>
    <w:rsid w:val="003117F6"/>
    <w:rsid w:val="00323334"/>
    <w:rsid w:val="003533B8"/>
    <w:rsid w:val="003752BE"/>
    <w:rsid w:val="003A346A"/>
    <w:rsid w:val="003B2917"/>
    <w:rsid w:val="003B541B"/>
    <w:rsid w:val="003E2B2F"/>
    <w:rsid w:val="003E3D77"/>
    <w:rsid w:val="003E6046"/>
    <w:rsid w:val="003F16F9"/>
    <w:rsid w:val="00402E34"/>
    <w:rsid w:val="004152C6"/>
    <w:rsid w:val="00430C1F"/>
    <w:rsid w:val="00442595"/>
    <w:rsid w:val="00444B0C"/>
    <w:rsid w:val="0045323E"/>
    <w:rsid w:val="004B0EE1"/>
    <w:rsid w:val="004C5D20"/>
    <w:rsid w:val="004D0D83"/>
    <w:rsid w:val="004E1DF1"/>
    <w:rsid w:val="004E5592"/>
    <w:rsid w:val="004F039C"/>
    <w:rsid w:val="0050055B"/>
    <w:rsid w:val="00524710"/>
    <w:rsid w:val="00555342"/>
    <w:rsid w:val="005560E2"/>
    <w:rsid w:val="00561D20"/>
    <w:rsid w:val="0057367A"/>
    <w:rsid w:val="005A452E"/>
    <w:rsid w:val="005A6EE7"/>
    <w:rsid w:val="005F1A7B"/>
    <w:rsid w:val="006118F2"/>
    <w:rsid w:val="006355D8"/>
    <w:rsid w:val="00642ECD"/>
    <w:rsid w:val="006502A0"/>
    <w:rsid w:val="00664C5D"/>
    <w:rsid w:val="0067031A"/>
    <w:rsid w:val="006772F5"/>
    <w:rsid w:val="00695159"/>
    <w:rsid w:val="006A4440"/>
    <w:rsid w:val="006B0615"/>
    <w:rsid w:val="006D166B"/>
    <w:rsid w:val="006F3279"/>
    <w:rsid w:val="006F6C6B"/>
    <w:rsid w:val="00704AEE"/>
    <w:rsid w:val="00722F9A"/>
    <w:rsid w:val="00754539"/>
    <w:rsid w:val="007548E3"/>
    <w:rsid w:val="00781BC6"/>
    <w:rsid w:val="007A3C86"/>
    <w:rsid w:val="007A683E"/>
    <w:rsid w:val="007A748B"/>
    <w:rsid w:val="007C26E1"/>
    <w:rsid w:val="007D1D65"/>
    <w:rsid w:val="007E0A9E"/>
    <w:rsid w:val="007E5309"/>
    <w:rsid w:val="007F5D5D"/>
    <w:rsid w:val="00800DE1"/>
    <w:rsid w:val="00812B8E"/>
    <w:rsid w:val="00813F47"/>
    <w:rsid w:val="008256D4"/>
    <w:rsid w:val="008450D6"/>
    <w:rsid w:val="00856FCA"/>
    <w:rsid w:val="00873B8C"/>
    <w:rsid w:val="00880E3B"/>
    <w:rsid w:val="008A405F"/>
    <w:rsid w:val="008C7F34"/>
    <w:rsid w:val="008E580C"/>
    <w:rsid w:val="008F064C"/>
    <w:rsid w:val="0090047A"/>
    <w:rsid w:val="00925026"/>
    <w:rsid w:val="00931264"/>
    <w:rsid w:val="00942A4B"/>
    <w:rsid w:val="00961D59"/>
    <w:rsid w:val="00965718"/>
    <w:rsid w:val="009763BC"/>
    <w:rsid w:val="009B2CE4"/>
    <w:rsid w:val="009B2D55"/>
    <w:rsid w:val="009B4B49"/>
    <w:rsid w:val="009C0343"/>
    <w:rsid w:val="009E0D11"/>
    <w:rsid w:val="00A24A16"/>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A08EB"/>
    <w:rsid w:val="00BA7952"/>
    <w:rsid w:val="00BB44B4"/>
    <w:rsid w:val="00BF0BBF"/>
    <w:rsid w:val="00BF6C8A"/>
    <w:rsid w:val="00C05571"/>
    <w:rsid w:val="00C0680B"/>
    <w:rsid w:val="00C1460B"/>
    <w:rsid w:val="00C246CE"/>
    <w:rsid w:val="00C54711"/>
    <w:rsid w:val="00C57FA2"/>
    <w:rsid w:val="00C95F3C"/>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252BE"/>
    <w:rsid w:val="00E53D82"/>
    <w:rsid w:val="00E9330A"/>
    <w:rsid w:val="00EC7BA8"/>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DE658B"/>
  <w15:docId w15:val="{C8C488FD-2290-4624-B741-C7B59D522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customStyle="1" w:styleId="attributionfield">
    <w:name w:val="attribution_field"/>
    <w:basedOn w:val="DefaultParagraphFont"/>
    <w:rsid w:val="003E3D77"/>
  </w:style>
  <w:style w:type="character" w:styleId="Hyperlink">
    <w:name w:val="Hyperlink"/>
    <w:basedOn w:val="DefaultParagraphFont"/>
    <w:uiPriority w:val="99"/>
    <w:semiHidden/>
    <w:unhideWhenUsed/>
    <w:rsid w:val="003E3D77"/>
    <w:rPr>
      <w:color w:val="0000FF"/>
      <w:u w:val="single"/>
    </w:rPr>
  </w:style>
  <w:style w:type="paragraph" w:customStyle="1" w:styleId="EndNoteBibliographyTitle">
    <w:name w:val="EndNote Bibliography Title"/>
    <w:basedOn w:val="Normal"/>
    <w:link w:val="EndNoteBibliographyTitleChar"/>
    <w:rsid w:val="009763B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763BC"/>
    <w:rPr>
      <w:rFonts w:ascii="Calibri" w:hAnsi="Calibri" w:cs="Calibri"/>
      <w:noProof/>
      <w:lang w:val="en-US"/>
    </w:rPr>
  </w:style>
  <w:style w:type="paragraph" w:customStyle="1" w:styleId="EndNoteBibliography">
    <w:name w:val="EndNote Bibliography"/>
    <w:basedOn w:val="Normal"/>
    <w:link w:val="EndNoteBibliographyChar"/>
    <w:rsid w:val="009763BC"/>
    <w:rPr>
      <w:rFonts w:ascii="Calibri" w:hAnsi="Calibri" w:cs="Calibri"/>
      <w:noProof/>
      <w:lang w:val="en-US"/>
    </w:rPr>
  </w:style>
  <w:style w:type="character" w:customStyle="1" w:styleId="EndNoteBibliographyChar">
    <w:name w:val="EndNote Bibliography Char"/>
    <w:basedOn w:val="DefaultParagraphFont"/>
    <w:link w:val="EndNoteBibliography"/>
    <w:rsid w:val="009763B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utm_source=link-attribution&amp;utm_medium=referral&amp;utm_campaign=image&amp;utm_content=2362267" TargetMode="External"/><Relationship Id="rId5" Type="http://schemas.openxmlformats.org/officeDocument/2006/relationships/footnotes" Target="footnotes.xml"/><Relationship Id="rId10" Type="http://schemas.openxmlformats.org/officeDocument/2006/relationships/hyperlink" Target="https://pixabay.com/users/PRAIRAT_FHUNTA-5516381/?utm_source=link-attribution&amp;utm_medium=referral&amp;utm_campaign=image&amp;utm_content=2362267"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template_chemistry_diagnostic_Simple Multi Choice</Template>
  <TotalTime>141</TotalTime>
  <Pages>3</Pages>
  <Words>1158</Words>
  <Characters>6602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5</cp:revision>
  <cp:lastPrinted>2017-02-24T16:20:00Z</cp:lastPrinted>
  <dcterms:created xsi:type="dcterms:W3CDTF">2019-05-14T11:34:00Z</dcterms:created>
  <dcterms:modified xsi:type="dcterms:W3CDTF">2019-06-07T14:50:00Z</dcterms:modified>
</cp:coreProperties>
</file>