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9107F" w14:textId="73513400" w:rsidR="00201AC2" w:rsidRDefault="00FE2E14" w:rsidP="00201AC2">
      <w:pPr>
        <w:spacing w:after="180"/>
        <w:rPr>
          <w:b/>
          <w:sz w:val="44"/>
          <w:szCs w:val="44"/>
        </w:rPr>
      </w:pPr>
      <w:r>
        <w:rPr>
          <w:b/>
          <w:sz w:val="44"/>
          <w:szCs w:val="44"/>
        </w:rPr>
        <w:t>Describing reactions</w:t>
      </w:r>
    </w:p>
    <w:p w14:paraId="35FAE4B3" w14:textId="77777777" w:rsidR="00C639F7" w:rsidRPr="001A40E2" w:rsidRDefault="00C639F7" w:rsidP="00201AC2">
      <w:pPr>
        <w:spacing w:after="180"/>
        <w:rPr>
          <w:b/>
          <w:sz w:val="44"/>
          <w:szCs w:val="44"/>
        </w:rPr>
      </w:pPr>
    </w:p>
    <w:p w14:paraId="4CD884F2" w14:textId="0DCDA773" w:rsidR="00201AC2" w:rsidRDefault="00C639F7" w:rsidP="00201AC2">
      <w:pPr>
        <w:pStyle w:val="ListParagraph"/>
        <w:numPr>
          <w:ilvl w:val="0"/>
          <w:numId w:val="3"/>
        </w:numPr>
        <w:spacing w:after="180"/>
        <w:ind w:left="567" w:hanging="567"/>
        <w:contextualSpacing w:val="0"/>
      </w:pPr>
      <w:r>
        <w:t xml:space="preserve">Write down what would be observed for each reaction. </w:t>
      </w:r>
    </w:p>
    <w:p w14:paraId="6C1246BE" w14:textId="022C2CA3" w:rsidR="006C2A8C" w:rsidRDefault="00C639F7" w:rsidP="006C2A8C">
      <w:pPr>
        <w:pStyle w:val="ListParagraph"/>
        <w:spacing w:after="180"/>
        <w:ind w:left="567"/>
        <w:contextualSpacing w:val="0"/>
      </w:pPr>
      <w:r>
        <w:t>Use the following words to help you.</w:t>
      </w:r>
    </w:p>
    <w:p w14:paraId="73B90BD4" w14:textId="77777777" w:rsidR="00C639F7" w:rsidRDefault="00C639F7" w:rsidP="006C2A8C">
      <w:pPr>
        <w:pStyle w:val="ListParagraph"/>
        <w:spacing w:after="180"/>
        <w:ind w:left="567"/>
        <w:contextualSpacing w:val="0"/>
      </w:pPr>
    </w:p>
    <w:p w14:paraId="2B3BF564" w14:textId="77777777" w:rsidR="00C639F7" w:rsidRPr="00C639F7" w:rsidRDefault="006C2A8C" w:rsidP="006C2A8C">
      <w:pPr>
        <w:pStyle w:val="ListParagraph"/>
        <w:spacing w:after="180"/>
        <w:ind w:left="567"/>
        <w:contextualSpacing w:val="0"/>
        <w:rPr>
          <w:b/>
        </w:rPr>
      </w:pPr>
      <w:r w:rsidRPr="00C639F7">
        <w:rPr>
          <w:b/>
        </w:rPr>
        <w:t>colourless solution</w:t>
      </w:r>
      <w:r w:rsidRPr="00C639F7">
        <w:rPr>
          <w:b/>
        </w:rPr>
        <w:tab/>
        <w:t>white solid</w:t>
      </w:r>
      <w:r w:rsidRPr="00C639F7">
        <w:rPr>
          <w:b/>
        </w:rPr>
        <w:tab/>
        <w:t>colourless liquid</w:t>
      </w:r>
      <w:r w:rsidRPr="00C639F7">
        <w:rPr>
          <w:b/>
        </w:rPr>
        <w:tab/>
      </w:r>
    </w:p>
    <w:p w14:paraId="32F56FE3" w14:textId="32661DF9" w:rsidR="006C2A8C" w:rsidRPr="00C639F7" w:rsidRDefault="006C2A8C" w:rsidP="006C2A8C">
      <w:pPr>
        <w:pStyle w:val="ListParagraph"/>
        <w:spacing w:after="180"/>
        <w:ind w:left="567"/>
        <w:contextualSpacing w:val="0"/>
        <w:rPr>
          <w:b/>
        </w:rPr>
      </w:pPr>
      <w:r w:rsidRPr="00C639F7">
        <w:rPr>
          <w:b/>
        </w:rPr>
        <w:t>colourless gas</w:t>
      </w:r>
      <w:r w:rsidR="004D078E">
        <w:rPr>
          <w:b/>
        </w:rPr>
        <w:tab/>
      </w:r>
      <w:r w:rsidR="004D078E">
        <w:rPr>
          <w:b/>
        </w:rPr>
        <w:tab/>
      </w:r>
      <w:r w:rsidR="00FE2E14">
        <w:rPr>
          <w:b/>
        </w:rPr>
        <w:t>bubbles</w:t>
      </w:r>
      <w:r w:rsidR="00C639F7" w:rsidRPr="00C639F7">
        <w:rPr>
          <w:b/>
        </w:rPr>
        <w:tab/>
        <w:t>white precipitate</w:t>
      </w:r>
    </w:p>
    <w:p w14:paraId="4D86C673" w14:textId="77777777" w:rsidR="00C639F7" w:rsidRDefault="00C639F7" w:rsidP="006C2A8C">
      <w:pPr>
        <w:pStyle w:val="ListParagraph"/>
        <w:spacing w:after="180"/>
        <w:ind w:left="567"/>
        <w:contextualSpacing w:val="0"/>
      </w:pPr>
    </w:p>
    <w:p w14:paraId="18750E81" w14:textId="708042B6" w:rsidR="006C2A8C" w:rsidRDefault="00C639F7" w:rsidP="00201AC2">
      <w:pPr>
        <w:pStyle w:val="ListParagraph"/>
        <w:numPr>
          <w:ilvl w:val="1"/>
          <w:numId w:val="3"/>
        </w:numPr>
        <w:spacing w:after="180"/>
        <w:ind w:left="993" w:hanging="426"/>
        <w:contextualSpacing w:val="0"/>
      </w:pPr>
      <w:r>
        <w:t>calcium carbonate + hydrochloric acid</w:t>
      </w:r>
    </w:p>
    <w:p w14:paraId="1F02F870" w14:textId="5001B3B5" w:rsidR="00C639F7" w:rsidRDefault="00C639F7" w:rsidP="00C639F7">
      <w:pPr>
        <w:pStyle w:val="ListParagraph"/>
        <w:spacing w:after="180"/>
        <w:ind w:left="993"/>
        <w:contextualSpacing w:val="0"/>
      </w:pPr>
    </w:p>
    <w:p w14:paraId="6C580A7B" w14:textId="265A5751" w:rsidR="00C639F7" w:rsidRPr="00C639F7" w:rsidRDefault="00C639F7" w:rsidP="00C639F7">
      <w:pPr>
        <w:pStyle w:val="ListParagraph"/>
        <w:spacing w:after="180"/>
        <w:ind w:left="993"/>
        <w:contextualSpacing w:val="0"/>
      </w:pPr>
      <w:r w:rsidRPr="00C639F7">
        <w:t>CaCO</w:t>
      </w:r>
      <w:r w:rsidRPr="00C639F7">
        <w:rPr>
          <w:vertAlign w:val="subscript"/>
        </w:rPr>
        <w:t>3</w:t>
      </w:r>
      <w:r w:rsidRPr="00C639F7">
        <w:t xml:space="preserve"> (s) + </w:t>
      </w:r>
      <w:r w:rsidR="00617CE1">
        <w:t>2</w:t>
      </w:r>
      <w:r w:rsidRPr="00C639F7">
        <w:t xml:space="preserve">HCl(aq) </w:t>
      </w:r>
      <w:r w:rsidRPr="00C639F7">
        <w:rPr>
          <w:rFonts w:ascii="Calibri Light" w:hAnsi="Calibri Light" w:cs="Calibri Light"/>
        </w:rPr>
        <w:t>→</w:t>
      </w:r>
      <w:r w:rsidRPr="00C639F7">
        <w:t xml:space="preserve"> CaCl</w:t>
      </w:r>
      <w:r w:rsidRPr="00C639F7">
        <w:rPr>
          <w:vertAlign w:val="subscript"/>
        </w:rPr>
        <w:t>2</w:t>
      </w:r>
      <w:r w:rsidRPr="00C639F7">
        <w:t>(aq) + H</w:t>
      </w:r>
      <w:r>
        <w:rPr>
          <w:vertAlign w:val="subscript"/>
        </w:rPr>
        <w:t>2</w:t>
      </w:r>
      <w:r w:rsidR="00617CE1">
        <w:t>O</w:t>
      </w:r>
      <w:bookmarkStart w:id="0" w:name="_GoBack"/>
      <w:bookmarkEnd w:id="0"/>
      <w:r>
        <w:t>(l) + CO</w:t>
      </w:r>
      <w:r>
        <w:rPr>
          <w:vertAlign w:val="subscript"/>
        </w:rPr>
        <w:t>2</w:t>
      </w:r>
      <w:r>
        <w:t xml:space="preserve"> (g)</w:t>
      </w:r>
    </w:p>
    <w:p w14:paraId="4D34ED93" w14:textId="77777777" w:rsidR="006C2A8C" w:rsidRPr="00C639F7" w:rsidRDefault="006C2A8C" w:rsidP="006C2A8C">
      <w:pPr>
        <w:spacing w:after="180"/>
      </w:pPr>
    </w:p>
    <w:p w14:paraId="2644FCB3" w14:textId="2880C86A" w:rsidR="00201AC2" w:rsidRPr="00C639F7" w:rsidRDefault="00C639F7" w:rsidP="00C639F7">
      <w:pPr>
        <w:pStyle w:val="ListParagraph"/>
        <w:numPr>
          <w:ilvl w:val="1"/>
          <w:numId w:val="3"/>
        </w:numPr>
        <w:spacing w:after="180"/>
        <w:ind w:left="993" w:hanging="426"/>
        <w:contextualSpacing w:val="0"/>
      </w:pPr>
      <w:r>
        <w:t>s</w:t>
      </w:r>
      <w:r w:rsidR="006C2A8C" w:rsidRPr="00C639F7">
        <w:t xml:space="preserve">odium carbonate </w:t>
      </w:r>
      <w:r w:rsidR="00FE2E14">
        <w:t>+</w:t>
      </w:r>
      <w:r w:rsidR="006C2A8C" w:rsidRPr="00C639F7">
        <w:t xml:space="preserve"> calcium chloride solution</w:t>
      </w:r>
    </w:p>
    <w:p w14:paraId="257B82C6" w14:textId="77777777" w:rsidR="00C639F7" w:rsidRPr="00C639F7" w:rsidRDefault="00C639F7" w:rsidP="00C639F7">
      <w:pPr>
        <w:pStyle w:val="ListParagraph"/>
        <w:spacing w:after="180"/>
        <w:ind w:left="993"/>
        <w:contextualSpacing w:val="0"/>
      </w:pPr>
    </w:p>
    <w:p w14:paraId="0BFF8C1B" w14:textId="2F1584B9" w:rsidR="002A79FF" w:rsidRDefault="002A79FF" w:rsidP="002A79FF">
      <w:pPr>
        <w:spacing w:after="240"/>
        <w:ind w:left="273" w:firstLine="720"/>
        <w:rPr>
          <w:szCs w:val="18"/>
        </w:rPr>
      </w:pPr>
      <w:r w:rsidRPr="002A79FF">
        <w:rPr>
          <w:szCs w:val="18"/>
        </w:rPr>
        <w:t>Na</w:t>
      </w:r>
      <w:r w:rsidRPr="002A79FF">
        <w:rPr>
          <w:szCs w:val="18"/>
          <w:vertAlign w:val="subscript"/>
        </w:rPr>
        <w:t>2</w:t>
      </w:r>
      <w:r w:rsidRPr="002A79FF">
        <w:rPr>
          <w:szCs w:val="18"/>
        </w:rPr>
        <w:t>CO</w:t>
      </w:r>
      <w:r w:rsidRPr="002A79FF">
        <w:rPr>
          <w:szCs w:val="18"/>
          <w:vertAlign w:val="subscript"/>
        </w:rPr>
        <w:t>3</w:t>
      </w:r>
      <w:r w:rsidRPr="002A79FF">
        <w:rPr>
          <w:szCs w:val="18"/>
        </w:rPr>
        <w:t xml:space="preserve"> (aq) </w:t>
      </w:r>
      <w:r>
        <w:rPr>
          <w:szCs w:val="18"/>
        </w:rPr>
        <w:t xml:space="preserve"> </w:t>
      </w:r>
      <w:r w:rsidRPr="002A79FF">
        <w:rPr>
          <w:szCs w:val="18"/>
        </w:rPr>
        <w:t xml:space="preserve">+ </w:t>
      </w:r>
      <w:r>
        <w:rPr>
          <w:szCs w:val="18"/>
        </w:rPr>
        <w:t xml:space="preserve">  </w:t>
      </w:r>
      <w:r w:rsidRPr="002A79FF">
        <w:rPr>
          <w:szCs w:val="18"/>
        </w:rPr>
        <w:t>CaCl</w:t>
      </w:r>
      <w:r w:rsidRPr="002A79FF">
        <w:rPr>
          <w:szCs w:val="18"/>
          <w:vertAlign w:val="subscript"/>
        </w:rPr>
        <w:t>2</w:t>
      </w:r>
      <w:r w:rsidRPr="002A79FF">
        <w:rPr>
          <w:szCs w:val="18"/>
        </w:rPr>
        <w:t xml:space="preserve"> (aq) </w:t>
      </w:r>
      <w:r>
        <w:rPr>
          <w:szCs w:val="18"/>
        </w:rPr>
        <w:t xml:space="preserve"> </w:t>
      </w:r>
      <w:r w:rsidRPr="002A79FF">
        <w:rPr>
          <w:rFonts w:ascii="Calibri Light" w:hAnsi="Calibri Light" w:cs="Calibri Light"/>
          <w:szCs w:val="18"/>
        </w:rPr>
        <w:t>→</w:t>
      </w:r>
      <w:r>
        <w:rPr>
          <w:rFonts w:ascii="Calibri Light" w:hAnsi="Calibri Light" w:cs="Calibri Light"/>
          <w:szCs w:val="18"/>
        </w:rPr>
        <w:t xml:space="preserve">  </w:t>
      </w:r>
      <w:r w:rsidRPr="002A79FF">
        <w:rPr>
          <w:szCs w:val="18"/>
        </w:rPr>
        <w:t xml:space="preserve"> CaCO</w:t>
      </w:r>
      <w:r w:rsidRPr="002A79FF">
        <w:rPr>
          <w:szCs w:val="18"/>
          <w:vertAlign w:val="subscript"/>
        </w:rPr>
        <w:t>3</w:t>
      </w:r>
      <w:r w:rsidRPr="002A79FF">
        <w:rPr>
          <w:szCs w:val="18"/>
        </w:rPr>
        <w:t xml:space="preserve"> (s</w:t>
      </w:r>
      <w:r>
        <w:rPr>
          <w:szCs w:val="18"/>
        </w:rPr>
        <w:t>) +   2NaCl (aq)</w:t>
      </w:r>
    </w:p>
    <w:p w14:paraId="67917E6D" w14:textId="77777777" w:rsidR="002A79FF" w:rsidRPr="002A79FF" w:rsidRDefault="002A79FF" w:rsidP="002A79FF">
      <w:pPr>
        <w:spacing w:after="240"/>
        <w:ind w:left="273" w:firstLine="720"/>
        <w:rPr>
          <w:szCs w:val="18"/>
        </w:rPr>
      </w:pPr>
    </w:p>
    <w:p w14:paraId="3F9F1D4B" w14:textId="77777777" w:rsidR="00201AC2" w:rsidRPr="002A79FF" w:rsidRDefault="00201AC2" w:rsidP="006F3279">
      <w:pPr>
        <w:spacing w:after="240"/>
        <w:rPr>
          <w:szCs w:val="18"/>
        </w:rPr>
      </w:pPr>
    </w:p>
    <w:p w14:paraId="56339DE9" w14:textId="77777777" w:rsidR="00201AC2" w:rsidRPr="002A79FF" w:rsidRDefault="00201AC2" w:rsidP="006F3279">
      <w:pPr>
        <w:spacing w:after="240"/>
        <w:rPr>
          <w:szCs w:val="18"/>
        </w:rPr>
        <w:sectPr w:rsidR="00201AC2" w:rsidRPr="002A79FF" w:rsidSect="00642ECD">
          <w:headerReference w:type="default" r:id="rId7"/>
          <w:footerReference w:type="default" r:id="rId8"/>
          <w:pgSz w:w="11906" w:h="16838" w:code="9"/>
          <w:pgMar w:top="1440" w:right="1440" w:bottom="1440" w:left="1440" w:header="709" w:footer="567" w:gutter="0"/>
          <w:cols w:space="708"/>
          <w:docGrid w:linePitch="360"/>
        </w:sectPr>
      </w:pPr>
    </w:p>
    <w:p w14:paraId="5F40C4AC" w14:textId="77777777" w:rsidR="00D437AF" w:rsidRPr="006F3279" w:rsidRDefault="00D437AF" w:rsidP="00D437AF">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CCR: Chemical reactions &gt; Topic CCR4: Acids and alkalis</w:t>
      </w:r>
      <w:r w:rsidRPr="00CA4B46">
        <w:rPr>
          <w:i/>
          <w:sz w:val="18"/>
          <w:szCs w:val="18"/>
        </w:rPr>
        <w:t xml:space="preserve"> &gt; </w:t>
      </w:r>
      <w:r>
        <w:rPr>
          <w:i/>
          <w:sz w:val="18"/>
          <w:szCs w:val="18"/>
        </w:rPr>
        <w:t>Key concept</w:t>
      </w:r>
      <w:r w:rsidRPr="00CA4B46">
        <w:rPr>
          <w:i/>
          <w:sz w:val="18"/>
          <w:szCs w:val="18"/>
        </w:rPr>
        <w:t xml:space="preserve"> </w:t>
      </w:r>
      <w:r>
        <w:rPr>
          <w:i/>
          <w:sz w:val="18"/>
          <w:szCs w:val="18"/>
        </w:rPr>
        <w:t>CCR4.1: Neutralisation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4BD7626" w14:textId="77777777" w:rsidTr="001C2E59">
        <w:tc>
          <w:tcPr>
            <w:tcW w:w="12021" w:type="dxa"/>
            <w:shd w:val="clear" w:color="auto" w:fill="FABF8F" w:themeFill="accent6" w:themeFillTint="99"/>
          </w:tcPr>
          <w:p w14:paraId="01FD7D52"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4615D42A" w14:textId="77777777" w:rsidTr="001C2E59">
        <w:tc>
          <w:tcPr>
            <w:tcW w:w="12021" w:type="dxa"/>
            <w:shd w:val="clear" w:color="auto" w:fill="FBD4B4" w:themeFill="accent6" w:themeFillTint="66"/>
          </w:tcPr>
          <w:p w14:paraId="236A74F6" w14:textId="4FDD349C" w:rsidR="006F3279" w:rsidRPr="00CA4B46" w:rsidRDefault="001E0B03" w:rsidP="006F3279">
            <w:pPr>
              <w:spacing w:after="60"/>
              <w:ind w:left="1304"/>
              <w:rPr>
                <w:b/>
                <w:sz w:val="40"/>
                <w:szCs w:val="40"/>
              </w:rPr>
            </w:pPr>
            <w:r>
              <w:rPr>
                <w:b/>
                <w:sz w:val="40"/>
                <w:szCs w:val="40"/>
              </w:rPr>
              <w:t>Describing reactions</w:t>
            </w:r>
          </w:p>
        </w:tc>
      </w:tr>
    </w:tbl>
    <w:p w14:paraId="4E791E15" w14:textId="77777777" w:rsidR="006F3279" w:rsidRDefault="006F3279" w:rsidP="00E172C6">
      <w:pPr>
        <w:spacing w:after="180"/>
        <w:rPr>
          <w:b/>
        </w:rPr>
      </w:pPr>
    </w:p>
    <w:p w14:paraId="1783E8C4"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437AF" w14:paraId="2A0C3FDE" w14:textId="77777777" w:rsidTr="00D437AF">
        <w:trPr>
          <w:trHeight w:val="340"/>
        </w:trPr>
        <w:tc>
          <w:tcPr>
            <w:tcW w:w="2196" w:type="dxa"/>
          </w:tcPr>
          <w:p w14:paraId="3A857893" w14:textId="77777777" w:rsidR="00D437AF" w:rsidRDefault="00D437AF" w:rsidP="00D437AF">
            <w:pPr>
              <w:spacing w:before="60" w:after="60"/>
            </w:pPr>
            <w:r>
              <w:t>Learning objective:</w:t>
            </w:r>
          </w:p>
        </w:tc>
        <w:tc>
          <w:tcPr>
            <w:tcW w:w="6820" w:type="dxa"/>
          </w:tcPr>
          <w:p w14:paraId="55D6EF05" w14:textId="441516BF" w:rsidR="00D437AF" w:rsidRPr="00B75483" w:rsidRDefault="001E0B03" w:rsidP="00D437AF">
            <w:pPr>
              <w:spacing w:before="60" w:after="60"/>
              <w:rPr>
                <w:highlight w:val="yellow"/>
              </w:rPr>
            </w:pPr>
            <w:r>
              <w:t>A salt is formed from a neutralisation reaction between an acid and a base.</w:t>
            </w:r>
          </w:p>
        </w:tc>
      </w:tr>
      <w:tr w:rsidR="00D437AF" w14:paraId="210EF7C3" w14:textId="77777777" w:rsidTr="00D437AF">
        <w:trPr>
          <w:trHeight w:val="340"/>
        </w:trPr>
        <w:tc>
          <w:tcPr>
            <w:tcW w:w="2196" w:type="dxa"/>
          </w:tcPr>
          <w:p w14:paraId="32FAF1E7" w14:textId="77777777" w:rsidR="00D437AF" w:rsidRDefault="00D437AF" w:rsidP="00D437AF">
            <w:pPr>
              <w:spacing w:before="60" w:after="60"/>
            </w:pPr>
            <w:r>
              <w:t>Observable learning outcome:</w:t>
            </w:r>
          </w:p>
        </w:tc>
        <w:tc>
          <w:tcPr>
            <w:tcW w:w="6820" w:type="dxa"/>
          </w:tcPr>
          <w:p w14:paraId="581B450C" w14:textId="66358024" w:rsidR="00D437AF" w:rsidRPr="00B75483" w:rsidRDefault="00D437AF" w:rsidP="00D437AF">
            <w:pPr>
              <w:spacing w:before="60" w:after="60"/>
              <w:rPr>
                <w:highlight w:val="yellow"/>
              </w:rPr>
            </w:pPr>
            <w:r w:rsidRPr="00BA08EB">
              <w:t>Explain what happens when an acid appears to ‘eat away’ a material.</w:t>
            </w:r>
          </w:p>
        </w:tc>
      </w:tr>
      <w:tr w:rsidR="00D437AF" w14:paraId="51B3C530" w14:textId="77777777" w:rsidTr="00D437AF">
        <w:trPr>
          <w:trHeight w:val="340"/>
        </w:trPr>
        <w:tc>
          <w:tcPr>
            <w:tcW w:w="2196" w:type="dxa"/>
          </w:tcPr>
          <w:p w14:paraId="5643C0DD" w14:textId="77777777" w:rsidR="00D437AF" w:rsidRDefault="00D437AF" w:rsidP="00D437AF">
            <w:pPr>
              <w:spacing w:before="60" w:after="60"/>
            </w:pPr>
            <w:r>
              <w:t>Activity type:</w:t>
            </w:r>
          </w:p>
        </w:tc>
        <w:tc>
          <w:tcPr>
            <w:tcW w:w="6820" w:type="dxa"/>
          </w:tcPr>
          <w:p w14:paraId="69BD8AA8" w14:textId="19146AD0" w:rsidR="00D437AF" w:rsidRPr="001915D4" w:rsidRDefault="001A6C58" w:rsidP="00D437AF">
            <w:pPr>
              <w:spacing w:before="60" w:after="60"/>
              <w:rPr>
                <w:highlight w:val="yellow"/>
              </w:rPr>
            </w:pPr>
            <w:r w:rsidRPr="001A6C58">
              <w:t>Clarifying</w:t>
            </w:r>
          </w:p>
        </w:tc>
      </w:tr>
      <w:tr w:rsidR="00D437AF" w14:paraId="254A5D43" w14:textId="77777777" w:rsidTr="00D437AF">
        <w:trPr>
          <w:trHeight w:val="340"/>
        </w:trPr>
        <w:tc>
          <w:tcPr>
            <w:tcW w:w="2196" w:type="dxa"/>
          </w:tcPr>
          <w:p w14:paraId="78A09D53" w14:textId="77777777" w:rsidR="00D437AF" w:rsidRDefault="00D437AF" w:rsidP="00D437AF">
            <w:pPr>
              <w:spacing w:before="60" w:after="60"/>
            </w:pPr>
            <w:r>
              <w:t>Key words:</w:t>
            </w:r>
          </w:p>
        </w:tc>
        <w:tc>
          <w:tcPr>
            <w:tcW w:w="6820" w:type="dxa"/>
          </w:tcPr>
          <w:p w14:paraId="0D330406" w14:textId="6640E6A2" w:rsidR="00D437AF" w:rsidRPr="001C4805" w:rsidRDefault="00D437AF" w:rsidP="00D437AF">
            <w:pPr>
              <w:spacing w:before="60" w:after="60"/>
              <w:rPr>
                <w:highlight w:val="yellow"/>
              </w:rPr>
            </w:pPr>
            <w:r>
              <w:t>acid</w:t>
            </w:r>
          </w:p>
        </w:tc>
      </w:tr>
    </w:tbl>
    <w:p w14:paraId="30E88ED6" w14:textId="77777777" w:rsidR="00E172C6" w:rsidRDefault="00E172C6" w:rsidP="00E172C6">
      <w:pPr>
        <w:spacing w:after="180"/>
      </w:pPr>
    </w:p>
    <w:p w14:paraId="64BC63C2" w14:textId="1045E4CC" w:rsidR="006A320F" w:rsidRDefault="006A320F" w:rsidP="006A320F">
      <w:pPr>
        <w:spacing w:after="180"/>
      </w:pPr>
      <w:r>
        <w:t xml:space="preserve">This activity can help develop students’ understanding by addressing the </w:t>
      </w:r>
      <w:r w:rsidR="001E0B03">
        <w:t>misunderstandings</w:t>
      </w:r>
      <w:r>
        <w:t xml:space="preserve"> revealed by the following diagnostic question</w:t>
      </w:r>
      <w:r w:rsidRPr="006E0400">
        <w:t>:</w:t>
      </w:r>
    </w:p>
    <w:p w14:paraId="3F33AB61" w14:textId="5E48BF30" w:rsidR="0009089A" w:rsidRDefault="00D437AF" w:rsidP="000505CA">
      <w:pPr>
        <w:pStyle w:val="ListParagraph"/>
        <w:numPr>
          <w:ilvl w:val="0"/>
          <w:numId w:val="1"/>
        </w:numPr>
        <w:spacing w:after="180"/>
      </w:pPr>
      <w:r>
        <w:t>Damaged marble</w:t>
      </w:r>
    </w:p>
    <w:p w14:paraId="27DB7DA3" w14:textId="77777777" w:rsidR="001E0B03" w:rsidRDefault="001E0B03" w:rsidP="001E0B03">
      <w:pPr>
        <w:pStyle w:val="ListParagraph"/>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1E0B03" w14:paraId="113C6C76" w14:textId="77777777" w:rsidTr="00F22645">
        <w:tc>
          <w:tcPr>
            <w:tcW w:w="709" w:type="dxa"/>
            <w:shd w:val="clear" w:color="auto" w:fill="FABF8F" w:themeFill="accent6" w:themeFillTint="99"/>
            <w:tcMar>
              <w:left w:w="28" w:type="dxa"/>
              <w:bottom w:w="57" w:type="dxa"/>
              <w:right w:w="28" w:type="dxa"/>
            </w:tcMar>
            <w:vAlign w:val="center"/>
          </w:tcPr>
          <w:p w14:paraId="4FF63A14" w14:textId="77777777" w:rsidR="001E0B03" w:rsidRPr="00F72ECC" w:rsidRDefault="001E0B03" w:rsidP="00F22645">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14:paraId="341EFB4A" w14:textId="77777777" w:rsidR="001E0B03" w:rsidRPr="001C2E59" w:rsidRDefault="001E0B03" w:rsidP="00F22645">
            <w:pPr>
              <w:spacing w:after="60"/>
              <w:rPr>
                <w:color w:val="E36C0A" w:themeColor="accent6" w:themeShade="BF"/>
                <w:sz w:val="20"/>
              </w:rPr>
            </w:pPr>
            <w:r w:rsidRPr="001C2E59">
              <w:rPr>
                <w:b/>
                <w:color w:val="E36C0A" w:themeColor="accent6" w:themeShade="BF"/>
              </w:rPr>
              <w:t xml:space="preserve">PRIOR UNDERSTANDING </w:t>
            </w:r>
          </w:p>
          <w:p w14:paraId="239B208C" w14:textId="77777777" w:rsidR="001E0B03" w:rsidRDefault="001E0B03" w:rsidP="00F22645">
            <w:r w:rsidRPr="00F72ECC">
              <w:rPr>
                <w:sz w:val="20"/>
              </w:rPr>
              <w:t xml:space="preserve">This activity explores ideas </w:t>
            </w:r>
            <w:r>
              <w:rPr>
                <w:sz w:val="20"/>
              </w:rPr>
              <w:t xml:space="preserve">from a previous key concept (CCR1.1) </w:t>
            </w:r>
            <w:r w:rsidRPr="00F72ECC">
              <w:rPr>
                <w:sz w:val="20"/>
              </w:rPr>
              <w:t>to aid transition</w:t>
            </w:r>
            <w:r>
              <w:rPr>
                <w:sz w:val="20"/>
              </w:rPr>
              <w:t xml:space="preserve"> from earlier stages of learning</w:t>
            </w:r>
            <w:r w:rsidRPr="00F72ECC">
              <w:rPr>
                <w:sz w:val="20"/>
              </w:rPr>
              <w:t xml:space="preserve">. </w:t>
            </w:r>
          </w:p>
        </w:tc>
      </w:tr>
    </w:tbl>
    <w:p w14:paraId="3E84F23C" w14:textId="77777777" w:rsidR="005A6EE7" w:rsidRDefault="005A6EE7" w:rsidP="00F72ECC"/>
    <w:p w14:paraId="1B6A1E33" w14:textId="77777777" w:rsidR="00F72ECC" w:rsidRDefault="00F72ECC" w:rsidP="00F72ECC"/>
    <w:p w14:paraId="51155155"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41B54B86" w14:textId="77777777" w:rsidR="001E0B03" w:rsidRDefault="001E0B03" w:rsidP="001E0B03">
      <w:pPr>
        <w:spacing w:after="180"/>
      </w:pPr>
      <w:bookmarkStart w:id="1" w:name="_Hlk8746060"/>
      <w:r>
        <w:t xml:space="preserve">Driver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fldChar w:fldCharType="separate"/>
      </w:r>
      <w:r>
        <w:rPr>
          <w:noProof/>
        </w:rPr>
        <w:t>(1994)</w:t>
      </w:r>
      <w:r>
        <w:fldChar w:fldCharType="end"/>
      </w:r>
      <w:r>
        <w:t xml:space="preserve"> summarises research </w:t>
      </w:r>
      <w:r>
        <w:fldChar w:fldCharType="begin"/>
      </w:r>
      <w:r>
        <w:instrText xml:space="preserve"> ADDIN EN.CITE &lt;EndNote&gt;&lt;Cite&gt;&lt;Author&gt;Hand&lt;/Author&gt;&lt;Year&gt;1989&lt;/Year&gt;&lt;IDText&gt;Application of a conceptual conflict teaching strategy to enhance student learning of acids and bases.&lt;/IDText&gt;&lt;DisplayText&gt;(Hand and Treagust, 1989)&lt;/DisplayText&gt;&lt;record&gt;&lt;titles&gt;&lt;title&gt;Application of a conceptual conflict teaching strategy to enhance student learning of acids and bases.&lt;/title&gt;&lt;secondary-title&gt;Research in Science Education&lt;/secondary-title&gt;&lt;/titles&gt;&lt;pages&gt;133-144&lt;/pages&gt;&lt;contributors&gt;&lt;authors&gt;&lt;author&gt;Hand, B.&lt;/author&gt;&lt;author&gt;Treagust, D.F.&lt;/author&gt;&lt;/authors&gt;&lt;/contributors&gt;&lt;added-date format="utc"&gt;1557829133&lt;/added-date&gt;&lt;ref-type name="Journal Article"&gt;17&lt;/ref-type&gt;&lt;dates&gt;&lt;year&gt;1989&lt;/year&gt;&lt;/dates&gt;&lt;rec-number&gt;51&lt;/rec-number&gt;&lt;last-updated-date format="utc"&gt;1557829204&lt;/last-updated-date&gt;&lt;volume&gt;19&lt;/volume&gt;&lt;/record&gt;&lt;/Cite&gt;&lt;/EndNote&gt;</w:instrText>
      </w:r>
      <w:r>
        <w:fldChar w:fldCharType="separate"/>
      </w:r>
      <w:r>
        <w:rPr>
          <w:noProof/>
        </w:rPr>
        <w:t>(Hand and Treagust, 1989)</w:t>
      </w:r>
      <w:r>
        <w:fldChar w:fldCharType="end"/>
      </w:r>
      <w:r>
        <w:t xml:space="preserve"> about student conceptions of acids.  Two major conceptions were that ‘acids eat material away’ and ‘acids burn you’.  It was found that a widely held idea was that an acid could be tested for by seeing whether it ate something away. Researchers found that, even after use of a ‘conflict’ teaching strategy one third of students still did not perceive the reaction of acids with either metals of calcium carbonate as being due to the properties of an acid. Instead they saw them as further examples of ‘acids eating something away’.</w:t>
      </w:r>
    </w:p>
    <w:p w14:paraId="631F2905" w14:textId="517093C6" w:rsidR="001E0B03" w:rsidRDefault="001E0B03" w:rsidP="001E0B03">
      <w:pPr>
        <w:spacing w:after="180"/>
      </w:pPr>
      <w:r>
        <w:t xml:space="preserve">This may be explained by the findings of research by Andersson </w:t>
      </w:r>
      <w:r>
        <w:fldChar w:fldCharType="begin"/>
      </w:r>
      <w:r>
        <w:instrText xml:space="preserve"> ADDIN EN.CITE &lt;EndNote&gt;&lt;Cite ExcludeAuth="1"&gt;&lt;Author&gt;Andersson&lt;/Author&gt;&lt;Year&gt;1990&lt;/Year&gt;&lt;IDText&gt;Pupils&amp;apos; conceptions of matter and its transformations (age 12-16)&lt;/IDText&gt;&lt;DisplayText&gt;(1990)&lt;/DisplayText&gt;&lt;record&gt;&lt;titles&gt;&lt;title&gt;Pupils&amp;apos;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format="utc"&gt;1536949705&lt;/added-date&gt;&lt;ref-type name="Journal Article"&gt;17&lt;/ref-type&gt;&lt;dates&gt;&lt;year&gt;1990&lt;/year&gt;&lt;/dates&gt;&lt;rec-number&gt;22&lt;/rec-number&gt;&lt;last-updated-date format="utc"&gt;1537282974&lt;/last-updated-date&gt;&lt;volume&gt;18&lt;/volume&gt;&lt;/record&gt;&lt;/Cite&gt;&lt;/EndNote&gt;</w:instrText>
      </w:r>
      <w:r>
        <w:fldChar w:fldCharType="separate"/>
      </w:r>
      <w:r>
        <w:rPr>
          <w:noProof/>
        </w:rPr>
        <w:t>(1990)</w:t>
      </w:r>
      <w:r>
        <w:fldChar w:fldCharType="end"/>
      </w:r>
      <w:r>
        <w:t xml:space="preserve"> which categorised five different types of answer that students gave when explaining observations of chemical reactions. Only one of these categories, chemical interaction in which substances combine to form a new substance of substances is scientifically correct. The perception of acids as ‘eating away’ a material is consistent with the category ‘disappearance’. The student observes a reaction and sees the loss of a reactant</w:t>
      </w:r>
      <w:r w:rsidR="001A6C58">
        <w:t xml:space="preserve"> </w:t>
      </w:r>
      <w:r>
        <w:t xml:space="preserve">but does not recognise the formation of a new soluble product. </w:t>
      </w:r>
    </w:p>
    <w:bookmarkEnd w:id="1"/>
    <w:p w14:paraId="18FEB074" w14:textId="37A1A13F"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2683B35C" w14:textId="4674E671" w:rsidR="00B01885" w:rsidRDefault="00B01885" w:rsidP="00B01885">
      <w:pPr>
        <w:spacing w:after="180"/>
      </w:pPr>
      <w:r>
        <w:t>This activity gives students the opportunity to clarify their thinking through discussion.  To support this, s</w:t>
      </w:r>
      <w:r w:rsidRPr="00DA3B6C">
        <w:t xml:space="preserve">tudents </w:t>
      </w:r>
      <w:r>
        <w:t xml:space="preserve">should answer the question in pairs or small groups. </w:t>
      </w:r>
    </w:p>
    <w:p w14:paraId="25848D1E" w14:textId="7A1889A4" w:rsidR="00B01885" w:rsidRDefault="00B01885" w:rsidP="00B01885">
      <w:pPr>
        <w:spacing w:after="180"/>
      </w:pPr>
      <w:r>
        <w:t>Listening to individual groups as they work often highlights any difficulties they might have.  These can often be overcome, through a whole class clarification or redirection part way through the activity.</w:t>
      </w:r>
    </w:p>
    <w:p w14:paraId="1A654A3F" w14:textId="5E6FE55E" w:rsidR="00FE2E14" w:rsidRDefault="00FE2E14" w:rsidP="00B01885">
      <w:pPr>
        <w:spacing w:after="180"/>
      </w:pPr>
      <w:r>
        <w:t>It is important that students understand what information a chemical equation does give (for example whether the product formed is in solution) and what it does not (the colour of any reactant or product).</w:t>
      </w:r>
    </w:p>
    <w:p w14:paraId="237117C9" w14:textId="650C0210" w:rsidR="00B01885" w:rsidRDefault="00B01885" w:rsidP="00B01885">
      <w:pPr>
        <w:spacing w:after="180"/>
      </w:pPr>
      <w:r>
        <w:t xml:space="preserve">Johnstone </w:t>
      </w:r>
      <w:r w:rsidR="00515D08">
        <w:fldChar w:fldCharType="begin"/>
      </w:r>
      <w:r w:rsidR="00515D08">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00515D08">
        <w:fldChar w:fldCharType="separate"/>
      </w:r>
      <w:r w:rsidR="00515D08">
        <w:rPr>
          <w:noProof/>
        </w:rPr>
        <w:t>(1991)</w:t>
      </w:r>
      <w:r w:rsidR="00515D08">
        <w:fldChar w:fldCharType="end"/>
      </w:r>
      <w:r>
        <w:t xml:space="preserve"> explains the difficulties that many students face in understanding science as </w:t>
      </w:r>
      <w:r w:rsidR="001A6C58">
        <w:t xml:space="preserve">being due to the </w:t>
      </w:r>
      <w:r>
        <w:t>degree of ‘multilevel’ thought required. In chemistry students are frequently required to think about very different types of thing all at once.</w:t>
      </w:r>
    </w:p>
    <w:p w14:paraId="44AA45EC" w14:textId="77777777" w:rsidR="00B01885" w:rsidRDefault="00B01885" w:rsidP="00B01885">
      <w:pPr>
        <w:spacing w:after="180"/>
      </w:pPr>
      <w:r>
        <w:t>Johnstone presented this in the form of a triangle:</w:t>
      </w:r>
    </w:p>
    <w:p w14:paraId="3D74E0F2" w14:textId="77777777" w:rsidR="00B01885" w:rsidRDefault="00B01885" w:rsidP="00B01885">
      <w:pPr>
        <w:spacing w:after="180"/>
      </w:pPr>
      <w:r>
        <w:rPr>
          <w:noProof/>
        </w:rPr>
        <w:drawing>
          <wp:inline distT="0" distB="0" distL="0" distR="0" wp14:anchorId="45DC8B14" wp14:editId="38D05C00">
            <wp:extent cx="1908184" cy="1323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12610" cy="1327046"/>
                    </a:xfrm>
                    <a:prstGeom prst="rect">
                      <a:avLst/>
                    </a:prstGeom>
                  </pic:spPr>
                </pic:pic>
              </a:graphicData>
            </a:graphic>
          </wp:inline>
        </w:drawing>
      </w:r>
    </w:p>
    <w:p w14:paraId="47E6792F" w14:textId="77777777" w:rsidR="00B01885" w:rsidRPr="00B01885" w:rsidRDefault="00B01885" w:rsidP="00B01885">
      <w:pPr>
        <w:spacing w:after="180"/>
        <w:rPr>
          <w:i/>
        </w:rPr>
      </w:pPr>
      <w:r w:rsidRPr="00B01885">
        <w:rPr>
          <w:i/>
        </w:rPr>
        <w:t>(after Johnstone, 1991, p78)</w:t>
      </w:r>
    </w:p>
    <w:p w14:paraId="657DBAB8" w14:textId="73524498" w:rsidR="00B01885" w:rsidRPr="00B01885" w:rsidRDefault="00B01885" w:rsidP="00B01885">
      <w:pPr>
        <w:spacing w:after="180"/>
      </w:pPr>
      <w:r w:rsidRPr="00B01885">
        <w:t>This activity supports students in practising moving between a symbolic representation and thinking about macroscopic observations of a chemical reaction.</w:t>
      </w:r>
    </w:p>
    <w:p w14:paraId="02AFCB04" w14:textId="77777777" w:rsidR="00B01885" w:rsidRPr="00B01885" w:rsidRDefault="00B01885" w:rsidP="00B01885">
      <w:pPr>
        <w:spacing w:after="180"/>
        <w:rPr>
          <w:i/>
        </w:rPr>
      </w:pPr>
      <w:r w:rsidRPr="00B01885">
        <w:rPr>
          <w:i/>
        </w:rPr>
        <w:t>Differentiation</w:t>
      </w:r>
    </w:p>
    <w:p w14:paraId="2D0C0809" w14:textId="0F945676" w:rsidR="00B01885" w:rsidRPr="00B01885" w:rsidRDefault="00B01885" w:rsidP="00B01885">
      <w:pPr>
        <w:spacing w:after="180"/>
      </w:pPr>
      <w:r w:rsidRPr="00B01885">
        <w:t>If some students are working with a teaching assistant, then a list of prompt questions for the teaching assistant could help to make this activity more purposeful.</w:t>
      </w:r>
    </w:p>
    <w:p w14:paraId="703E1D30" w14:textId="77777777" w:rsidR="00E172C6" w:rsidRPr="00B01885" w:rsidRDefault="00BB44B4" w:rsidP="00026DEC">
      <w:pPr>
        <w:spacing w:after="180"/>
        <w:rPr>
          <w:b/>
          <w:color w:val="E36C0A" w:themeColor="accent6" w:themeShade="BF"/>
          <w:sz w:val="24"/>
        </w:rPr>
      </w:pPr>
      <w:r w:rsidRPr="00B01885">
        <w:rPr>
          <w:b/>
          <w:color w:val="E36C0A" w:themeColor="accent6" w:themeShade="BF"/>
          <w:sz w:val="24"/>
        </w:rPr>
        <w:t>Expected answers</w:t>
      </w:r>
    </w:p>
    <w:p w14:paraId="152AE317" w14:textId="5340CA9D" w:rsidR="00C639F7" w:rsidRPr="00B01885" w:rsidRDefault="001A6C58" w:rsidP="00BF6C8A">
      <w:pPr>
        <w:spacing w:after="180"/>
      </w:pPr>
      <w:r>
        <w:t xml:space="preserve">1 </w:t>
      </w:r>
      <w:r w:rsidR="00C639F7" w:rsidRPr="00B01885">
        <w:t>a  A white solid is added to a colourless solution. Bubbles</w:t>
      </w:r>
      <w:r w:rsidR="00FE2E14">
        <w:t xml:space="preserve"> of a colourless</w:t>
      </w:r>
      <w:r w:rsidR="004D078E">
        <w:t xml:space="preserve"> gas</w:t>
      </w:r>
      <w:r w:rsidR="00FE2E14">
        <w:t xml:space="preserve"> </w:t>
      </w:r>
      <w:r w:rsidR="00C639F7" w:rsidRPr="00B01885">
        <w:t xml:space="preserve">are formed. </w:t>
      </w:r>
    </w:p>
    <w:p w14:paraId="4FC9762D" w14:textId="003AFB0E" w:rsidR="00C639F7" w:rsidRPr="00B01885" w:rsidRDefault="001A6C58" w:rsidP="00BF6C8A">
      <w:pPr>
        <w:spacing w:after="180"/>
      </w:pPr>
      <w:r>
        <w:t xml:space="preserve">   </w:t>
      </w:r>
      <w:r w:rsidR="00C639F7" w:rsidRPr="00B01885">
        <w:t>b Two colourless solutions are mixed. A white precipitate is formed.</w:t>
      </w:r>
    </w:p>
    <w:p w14:paraId="0C5A0082" w14:textId="77777777" w:rsidR="003117F6" w:rsidRPr="00B01885" w:rsidRDefault="00CC78A5" w:rsidP="00026DEC">
      <w:pPr>
        <w:spacing w:after="180"/>
        <w:rPr>
          <w:b/>
          <w:color w:val="E36C0A" w:themeColor="accent6" w:themeShade="BF"/>
          <w:sz w:val="24"/>
        </w:rPr>
      </w:pPr>
      <w:r w:rsidRPr="00B01885">
        <w:rPr>
          <w:b/>
          <w:color w:val="E36C0A" w:themeColor="accent6" w:themeShade="BF"/>
          <w:sz w:val="24"/>
        </w:rPr>
        <w:t>Acknowledgments</w:t>
      </w:r>
    </w:p>
    <w:p w14:paraId="73D23884" w14:textId="2F5DE833" w:rsidR="00D278E8" w:rsidRPr="00B01885" w:rsidRDefault="00D278E8" w:rsidP="00E172C6">
      <w:pPr>
        <w:spacing w:after="180"/>
      </w:pPr>
      <w:r w:rsidRPr="00B01885">
        <w:t xml:space="preserve">Developed </w:t>
      </w:r>
      <w:r w:rsidR="0015356E" w:rsidRPr="00B01885">
        <w:t xml:space="preserve">by </w:t>
      </w:r>
      <w:r w:rsidR="00D437AF" w:rsidRPr="00B01885">
        <w:t>Helen Harden</w:t>
      </w:r>
      <w:r w:rsidR="0015356E" w:rsidRPr="00B01885">
        <w:t xml:space="preserve"> (UYSEG</w:t>
      </w:r>
      <w:r w:rsidR="00D437AF" w:rsidRPr="00B01885">
        <w:t>).</w:t>
      </w:r>
    </w:p>
    <w:p w14:paraId="62CF101E" w14:textId="03556782" w:rsidR="00CC78A5" w:rsidRPr="00B01885" w:rsidRDefault="00D278E8" w:rsidP="00E172C6">
      <w:pPr>
        <w:spacing w:after="180"/>
      </w:pPr>
      <w:r w:rsidRPr="00B01885">
        <w:t xml:space="preserve">Images: </w:t>
      </w:r>
      <w:r w:rsidR="00C639F7" w:rsidRPr="00B01885">
        <w:t>None</w:t>
      </w:r>
    </w:p>
    <w:p w14:paraId="64C8BC2F" w14:textId="7E709EA5" w:rsidR="00D437AF" w:rsidRPr="00B01885" w:rsidRDefault="008D7667" w:rsidP="00026DEC">
      <w:pPr>
        <w:spacing w:after="180"/>
        <w:rPr>
          <w:b/>
          <w:color w:val="E36C0A" w:themeColor="accent6" w:themeShade="BF"/>
          <w:sz w:val="24"/>
        </w:rPr>
      </w:pPr>
      <w:r w:rsidRPr="00B01885">
        <w:rPr>
          <w:b/>
          <w:color w:val="E36C0A" w:themeColor="accent6" w:themeShade="BF"/>
          <w:sz w:val="24"/>
        </w:rPr>
        <w:t>References</w:t>
      </w:r>
    </w:p>
    <w:p w14:paraId="43FFD37B" w14:textId="77777777" w:rsidR="00515D08" w:rsidRPr="00515D08" w:rsidRDefault="00D437AF" w:rsidP="00515D08">
      <w:pPr>
        <w:pStyle w:val="EndNoteBibliography"/>
      </w:pPr>
      <w:r w:rsidRPr="00B01885">
        <w:fldChar w:fldCharType="begin"/>
      </w:r>
      <w:r w:rsidRPr="00B01885">
        <w:instrText xml:space="preserve"> ADDIN EN.REFLIST </w:instrText>
      </w:r>
      <w:r w:rsidRPr="00B01885">
        <w:fldChar w:fldCharType="separate"/>
      </w:r>
      <w:r w:rsidR="00515D08" w:rsidRPr="00515D08">
        <w:t xml:space="preserve">Andersson, B. (1990). Pupils' conceptions of matter and its transformations (age 12-16). </w:t>
      </w:r>
      <w:r w:rsidR="00515D08" w:rsidRPr="00515D08">
        <w:rPr>
          <w:i/>
        </w:rPr>
        <w:t>Studies in Science Education,</w:t>
      </w:r>
      <w:r w:rsidR="00515D08" w:rsidRPr="00515D08">
        <w:t xml:space="preserve"> 18</w:t>
      </w:r>
      <w:r w:rsidR="00515D08" w:rsidRPr="00515D08">
        <w:rPr>
          <w:b/>
        </w:rPr>
        <w:t>,</w:t>
      </w:r>
      <w:r w:rsidR="00515D08" w:rsidRPr="00515D08">
        <w:t xml:space="preserve"> 53-85.</w:t>
      </w:r>
    </w:p>
    <w:p w14:paraId="4BA92424" w14:textId="77777777" w:rsidR="00515D08" w:rsidRPr="00515D08" w:rsidRDefault="00515D08" w:rsidP="00515D08">
      <w:pPr>
        <w:pStyle w:val="EndNoteBibliography"/>
      </w:pPr>
      <w:r w:rsidRPr="00515D08">
        <w:t xml:space="preserve">Driver, R., et al. (1994). </w:t>
      </w:r>
      <w:r w:rsidRPr="00515D08">
        <w:rPr>
          <w:i/>
        </w:rPr>
        <w:t xml:space="preserve">Making Sense of Secondary Science: Research into Children's Ideas, </w:t>
      </w:r>
      <w:r w:rsidRPr="00515D08">
        <w:t>London, UK: Routledge.</w:t>
      </w:r>
    </w:p>
    <w:p w14:paraId="3AA0BD9D" w14:textId="77777777" w:rsidR="00515D08" w:rsidRPr="00515D08" w:rsidRDefault="00515D08" w:rsidP="00515D08">
      <w:pPr>
        <w:pStyle w:val="EndNoteBibliography"/>
      </w:pPr>
      <w:r w:rsidRPr="00515D08">
        <w:t xml:space="preserve">Hand, B. and Treagust, D. F. (1989). Application of a conceptual conflict teaching strategy to enhance student learning of acids and bases. </w:t>
      </w:r>
      <w:r w:rsidRPr="00515D08">
        <w:rPr>
          <w:i/>
        </w:rPr>
        <w:t>Research in Science Education,</w:t>
      </w:r>
      <w:r w:rsidRPr="00515D08">
        <w:t xml:space="preserve"> 19</w:t>
      </w:r>
      <w:r w:rsidRPr="00515D08">
        <w:rPr>
          <w:b/>
        </w:rPr>
        <w:t>,</w:t>
      </w:r>
      <w:r w:rsidRPr="00515D08">
        <w:t xml:space="preserve"> 133-144.</w:t>
      </w:r>
    </w:p>
    <w:p w14:paraId="02D8F4CB" w14:textId="77777777" w:rsidR="00515D08" w:rsidRPr="00515D08" w:rsidRDefault="00515D08" w:rsidP="00515D08">
      <w:pPr>
        <w:pStyle w:val="EndNoteBibliography"/>
      </w:pPr>
      <w:r w:rsidRPr="00515D08">
        <w:t xml:space="preserve">Johnstone, A. H. (1991). Why is chemistry difficult to learn? Things are seldom what they seem. </w:t>
      </w:r>
      <w:r w:rsidRPr="00515D08">
        <w:rPr>
          <w:i/>
        </w:rPr>
        <w:t>Journal of Computer Assisted Learning,</w:t>
      </w:r>
      <w:r w:rsidRPr="00515D08">
        <w:t xml:space="preserve"> 7</w:t>
      </w:r>
      <w:r w:rsidRPr="00515D08">
        <w:rPr>
          <w:b/>
        </w:rPr>
        <w:t>,</w:t>
      </w:r>
      <w:r w:rsidRPr="00515D08">
        <w:t xml:space="preserve"> 75-83.</w:t>
      </w:r>
    </w:p>
    <w:p w14:paraId="6C30AF8C" w14:textId="11D065AA" w:rsidR="005E1205" w:rsidRPr="005E1205" w:rsidRDefault="00D437AF" w:rsidP="00026DEC">
      <w:pPr>
        <w:spacing w:after="180"/>
      </w:pPr>
      <w:r w:rsidRPr="00B01885">
        <w:fldChar w:fldCharType="end"/>
      </w:r>
    </w:p>
    <w:sectPr w:rsidR="005E1205" w:rsidRPr="005E1205"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EE1CF" w14:textId="77777777" w:rsidR="006D5340" w:rsidRDefault="006D5340" w:rsidP="000B473B">
      <w:r>
        <w:separator/>
      </w:r>
    </w:p>
  </w:endnote>
  <w:endnote w:type="continuationSeparator" w:id="0">
    <w:p w14:paraId="0C78B9E4" w14:textId="77777777" w:rsidR="006D5340" w:rsidRDefault="006D534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0A44E"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D2BF629" wp14:editId="5A8F4B0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8F7D7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561C0BF7"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0D03F573"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3C8A7" w14:textId="77777777" w:rsidR="006D5340" w:rsidRDefault="006D5340" w:rsidP="000B473B">
      <w:r>
        <w:separator/>
      </w:r>
    </w:p>
  </w:footnote>
  <w:footnote w:type="continuationSeparator" w:id="0">
    <w:p w14:paraId="298A007C" w14:textId="77777777" w:rsidR="006D5340" w:rsidRDefault="006D534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3DA58"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00B8F00" wp14:editId="2679B61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64A4D18" wp14:editId="0B7C5DE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174EF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3D93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63F087D" wp14:editId="7B358A49">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006FB6B" wp14:editId="36E81D1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556FF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D0B73"/>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A6C58"/>
    <w:rsid w:val="001C2E59"/>
    <w:rsid w:val="001C4805"/>
    <w:rsid w:val="001E0B03"/>
    <w:rsid w:val="00201AC2"/>
    <w:rsid w:val="00214608"/>
    <w:rsid w:val="00216555"/>
    <w:rsid w:val="002178AC"/>
    <w:rsid w:val="0022547C"/>
    <w:rsid w:val="00227DEE"/>
    <w:rsid w:val="00251870"/>
    <w:rsid w:val="0025410A"/>
    <w:rsid w:val="0027553E"/>
    <w:rsid w:val="0028012F"/>
    <w:rsid w:val="002828DF"/>
    <w:rsid w:val="00287876"/>
    <w:rsid w:val="00292C53"/>
    <w:rsid w:val="00294E22"/>
    <w:rsid w:val="002A79FF"/>
    <w:rsid w:val="002C22EA"/>
    <w:rsid w:val="002C59BA"/>
    <w:rsid w:val="002F41B2"/>
    <w:rsid w:val="00301AA9"/>
    <w:rsid w:val="003117F6"/>
    <w:rsid w:val="003533B8"/>
    <w:rsid w:val="003752BE"/>
    <w:rsid w:val="003A346A"/>
    <w:rsid w:val="003A50A4"/>
    <w:rsid w:val="003B2917"/>
    <w:rsid w:val="003B541B"/>
    <w:rsid w:val="003C2A1B"/>
    <w:rsid w:val="003E2B2F"/>
    <w:rsid w:val="003E6046"/>
    <w:rsid w:val="003F16F9"/>
    <w:rsid w:val="00430C1F"/>
    <w:rsid w:val="00442595"/>
    <w:rsid w:val="0045323E"/>
    <w:rsid w:val="00456227"/>
    <w:rsid w:val="004B0EE1"/>
    <w:rsid w:val="004D078E"/>
    <w:rsid w:val="004D0D83"/>
    <w:rsid w:val="004E1DF1"/>
    <w:rsid w:val="004E5592"/>
    <w:rsid w:val="0050055B"/>
    <w:rsid w:val="00515D08"/>
    <w:rsid w:val="00524710"/>
    <w:rsid w:val="00555342"/>
    <w:rsid w:val="005560E2"/>
    <w:rsid w:val="005923D5"/>
    <w:rsid w:val="005A452E"/>
    <w:rsid w:val="005A6EE7"/>
    <w:rsid w:val="005E07F2"/>
    <w:rsid w:val="005E1205"/>
    <w:rsid w:val="005F1A7B"/>
    <w:rsid w:val="00617CE1"/>
    <w:rsid w:val="006355D8"/>
    <w:rsid w:val="00642ECD"/>
    <w:rsid w:val="006502A0"/>
    <w:rsid w:val="006772F5"/>
    <w:rsid w:val="006A320F"/>
    <w:rsid w:val="006A4440"/>
    <w:rsid w:val="006B0615"/>
    <w:rsid w:val="006C2A8C"/>
    <w:rsid w:val="006D166B"/>
    <w:rsid w:val="006D5340"/>
    <w:rsid w:val="006F3279"/>
    <w:rsid w:val="00704AEE"/>
    <w:rsid w:val="00722F9A"/>
    <w:rsid w:val="00754539"/>
    <w:rsid w:val="00781BC6"/>
    <w:rsid w:val="007A3C86"/>
    <w:rsid w:val="007A683E"/>
    <w:rsid w:val="007A748B"/>
    <w:rsid w:val="007D0B73"/>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9F1F89"/>
    <w:rsid w:val="00A244E9"/>
    <w:rsid w:val="00A24A16"/>
    <w:rsid w:val="00A37D14"/>
    <w:rsid w:val="00A6111E"/>
    <w:rsid w:val="00A6168B"/>
    <w:rsid w:val="00A62028"/>
    <w:rsid w:val="00AA6236"/>
    <w:rsid w:val="00AB6AE7"/>
    <w:rsid w:val="00AD21F5"/>
    <w:rsid w:val="00AD68F9"/>
    <w:rsid w:val="00B01885"/>
    <w:rsid w:val="00B06225"/>
    <w:rsid w:val="00B23B31"/>
    <w:rsid w:val="00B23C7A"/>
    <w:rsid w:val="00B305F5"/>
    <w:rsid w:val="00B46FF9"/>
    <w:rsid w:val="00B75483"/>
    <w:rsid w:val="00BA7952"/>
    <w:rsid w:val="00BB44B4"/>
    <w:rsid w:val="00BF0BBF"/>
    <w:rsid w:val="00BF6C8A"/>
    <w:rsid w:val="00C05571"/>
    <w:rsid w:val="00C246CE"/>
    <w:rsid w:val="00C57FA2"/>
    <w:rsid w:val="00C639F7"/>
    <w:rsid w:val="00C80257"/>
    <w:rsid w:val="00CC2E4D"/>
    <w:rsid w:val="00CC78A5"/>
    <w:rsid w:val="00CC7B16"/>
    <w:rsid w:val="00CE15FE"/>
    <w:rsid w:val="00CF6578"/>
    <w:rsid w:val="00D02E15"/>
    <w:rsid w:val="00D14F44"/>
    <w:rsid w:val="00D278E8"/>
    <w:rsid w:val="00D421E8"/>
    <w:rsid w:val="00D437AF"/>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 w:val="00FE2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6B228"/>
  <w15:docId w15:val="{E1549B74-0C87-4A7B-9425-4BD6985F3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437A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437AF"/>
    <w:rPr>
      <w:rFonts w:ascii="Calibri" w:hAnsi="Calibri" w:cs="Calibri"/>
      <w:noProof/>
      <w:lang w:val="en-US"/>
    </w:rPr>
  </w:style>
  <w:style w:type="paragraph" w:customStyle="1" w:styleId="EndNoteBibliography">
    <w:name w:val="EndNote Bibliography"/>
    <w:basedOn w:val="Normal"/>
    <w:link w:val="EndNoteBibliographyChar"/>
    <w:rsid w:val="00D437AF"/>
    <w:rPr>
      <w:rFonts w:ascii="Calibri" w:hAnsi="Calibri" w:cs="Calibri"/>
      <w:noProof/>
      <w:lang w:val="en-US"/>
    </w:rPr>
  </w:style>
  <w:style w:type="character" w:customStyle="1" w:styleId="EndNoteBibliographyChar">
    <w:name w:val="EndNote Bibliography Char"/>
    <w:basedOn w:val="DefaultParagraphFont"/>
    <w:link w:val="EndNoteBibliography"/>
    <w:rsid w:val="00D437A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76</TotalTime>
  <Pages>3</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2017-02-24T16:20:00Z</cp:lastPrinted>
  <dcterms:created xsi:type="dcterms:W3CDTF">2019-05-14T16:04:00Z</dcterms:created>
  <dcterms:modified xsi:type="dcterms:W3CDTF">2019-07-02T09:00:00Z</dcterms:modified>
</cp:coreProperties>
</file>