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97417" w:rsidP="00201AC2">
      <w:pPr>
        <w:spacing w:after="180"/>
        <w:rPr>
          <w:b/>
          <w:sz w:val="44"/>
          <w:szCs w:val="44"/>
        </w:rPr>
      </w:pPr>
      <w:r w:rsidRPr="00397417">
        <w:rPr>
          <w:b/>
          <w:sz w:val="44"/>
          <w:szCs w:val="44"/>
        </w:rPr>
        <w:t>Standing up</w:t>
      </w:r>
    </w:p>
    <w:p w:rsidR="00201AC2" w:rsidRDefault="00201AC2" w:rsidP="00201AC2">
      <w:pPr>
        <w:spacing w:after="180"/>
      </w:pPr>
    </w:p>
    <w:p w:rsidR="005258B5" w:rsidRDefault="005258B5" w:rsidP="005258B5">
      <w:pPr>
        <w:spacing w:after="180"/>
        <w:jc w:val="center"/>
      </w:pPr>
      <w:r>
        <w:rPr>
          <w:noProof/>
          <w:lang w:eastAsia="en-GB"/>
        </w:rPr>
        <w:drawing>
          <wp:inline distT="0" distB="0" distL="0" distR="0">
            <wp:extent cx="1085850" cy="2171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ower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86277" cy="2172554"/>
                    </a:xfrm>
                    <a:prstGeom prst="rect">
                      <a:avLst/>
                    </a:prstGeom>
                  </pic:spPr>
                </pic:pic>
              </a:graphicData>
            </a:graphic>
          </wp:inline>
        </w:drawing>
      </w:r>
    </w:p>
    <w:p w:rsidR="005258B5" w:rsidRPr="005258B5" w:rsidRDefault="005258B5" w:rsidP="00287CC0">
      <w:pPr>
        <w:spacing w:after="360"/>
      </w:pPr>
    </w:p>
    <w:p w:rsidR="00201AC2" w:rsidRDefault="005258B5" w:rsidP="00287CC0">
      <w:pPr>
        <w:spacing w:after="120"/>
      </w:pPr>
      <w:r>
        <w:t>T</w:t>
      </w:r>
      <w:r w:rsidR="00825F8A">
        <w:t>he long, thin s</w:t>
      </w:r>
      <w:r>
        <w:t xml:space="preserve">tems of a </w:t>
      </w:r>
      <w:r w:rsidR="00287CC0">
        <w:t>flower</w:t>
      </w:r>
      <w:r>
        <w:t xml:space="preserve"> </w:t>
      </w:r>
      <w:r w:rsidR="00825F8A">
        <w:t>can</w:t>
      </w:r>
      <w:r>
        <w:t xml:space="preserve"> stand up off the ground.</w:t>
      </w:r>
      <w:r w:rsidR="00CC3220">
        <w:t xml:space="preserve"> They can support the weight of a flower at the top.</w:t>
      </w:r>
    </w:p>
    <w:p w:rsidR="005258B5" w:rsidRDefault="005258B5" w:rsidP="00287CC0">
      <w:pPr>
        <w:spacing w:after="120"/>
      </w:pPr>
    </w:p>
    <w:p w:rsidR="00287CC0" w:rsidRDefault="00287CC0" w:rsidP="00201AC2">
      <w:pPr>
        <w:spacing w:after="180"/>
      </w:pPr>
      <w:r>
        <w:t>But if a flower doesn’t get enough water it will wilt and droop.</w:t>
      </w:r>
    </w:p>
    <w:p w:rsidR="00B23B31" w:rsidRDefault="00B23B31" w:rsidP="00201AC2">
      <w:pPr>
        <w:spacing w:after="180"/>
      </w:pPr>
    </w:p>
    <w:tbl>
      <w:tblPr>
        <w:tblStyle w:val="TableGrid"/>
        <w:tblW w:w="0" w:type="auto"/>
        <w:jc w:val="center"/>
        <w:tblLook w:val="04A0" w:firstRow="1" w:lastRow="0" w:firstColumn="1" w:lastColumn="0" w:noHBand="0" w:noVBand="1"/>
      </w:tblPr>
      <w:tblGrid>
        <w:gridCol w:w="9016"/>
      </w:tblGrid>
      <w:tr w:rsidR="00287CC0" w:rsidTr="00287CC0">
        <w:trPr>
          <w:trHeight w:val="1153"/>
          <w:jc w:val="center"/>
        </w:trPr>
        <w:tc>
          <w:tcPr>
            <w:tcW w:w="9016" w:type="dxa"/>
            <w:vAlign w:val="center"/>
          </w:tcPr>
          <w:p w:rsidR="00287CC0" w:rsidRDefault="00287CC0" w:rsidP="00825F8A">
            <w:pPr>
              <w:jc w:val="center"/>
            </w:pPr>
            <w:r>
              <w:t>Your teacher will demonstrate a model of this using water and long, thin balloons.</w:t>
            </w:r>
          </w:p>
        </w:tc>
      </w:tr>
    </w:tbl>
    <w:p w:rsidR="00287CC0" w:rsidRDefault="00287CC0" w:rsidP="00201AC2">
      <w:pPr>
        <w:spacing w:after="180"/>
      </w:pPr>
    </w:p>
    <w:p w:rsidR="00287CC0" w:rsidRDefault="00287CC0" w:rsidP="00201AC2">
      <w:pPr>
        <w:spacing w:after="180"/>
      </w:pPr>
    </w:p>
    <w:p w:rsidR="00201AC2" w:rsidRPr="00E172C6" w:rsidRDefault="00201AC2" w:rsidP="00287CC0">
      <w:pPr>
        <w:spacing w:after="360"/>
        <w:rPr>
          <w:b/>
        </w:rPr>
      </w:pPr>
      <w:r>
        <w:rPr>
          <w:b/>
        </w:rPr>
        <w:t xml:space="preserve">To </w:t>
      </w:r>
      <w:r w:rsidR="005258B5">
        <w:rPr>
          <w:b/>
        </w:rPr>
        <w:t>talk about in your group</w:t>
      </w:r>
    </w:p>
    <w:p w:rsidR="00201AC2" w:rsidRDefault="00287CC0" w:rsidP="00287CC0">
      <w:pPr>
        <w:pStyle w:val="ListParagraph"/>
        <w:numPr>
          <w:ilvl w:val="0"/>
          <w:numId w:val="4"/>
        </w:numPr>
        <w:spacing w:after="360"/>
        <w:contextualSpacing w:val="0"/>
        <w:rPr>
          <w:szCs w:val="18"/>
        </w:rPr>
      </w:pPr>
      <w:r>
        <w:rPr>
          <w:szCs w:val="18"/>
        </w:rPr>
        <w:t>What</w:t>
      </w:r>
      <w:r w:rsidR="00F400CD">
        <w:rPr>
          <w:szCs w:val="18"/>
        </w:rPr>
        <w:t xml:space="preserve"> is</w:t>
      </w:r>
      <w:r>
        <w:rPr>
          <w:szCs w:val="18"/>
        </w:rPr>
        <w:t xml:space="preserve"> </w:t>
      </w:r>
      <w:r w:rsidR="00CC3220">
        <w:rPr>
          <w:szCs w:val="18"/>
        </w:rPr>
        <w:t xml:space="preserve">inside the stem of a flower </w:t>
      </w:r>
      <w:r w:rsidR="00F400CD">
        <w:rPr>
          <w:szCs w:val="18"/>
        </w:rPr>
        <w:t xml:space="preserve">that </w:t>
      </w:r>
      <w:r>
        <w:rPr>
          <w:szCs w:val="18"/>
        </w:rPr>
        <w:t xml:space="preserve">provides </w:t>
      </w:r>
      <w:r w:rsidRPr="00287CC0">
        <w:rPr>
          <w:szCs w:val="18"/>
        </w:rPr>
        <w:t>support</w:t>
      </w:r>
      <w:r>
        <w:rPr>
          <w:szCs w:val="18"/>
        </w:rPr>
        <w:t xml:space="preserve"> to help it stand up?</w:t>
      </w:r>
    </w:p>
    <w:p w:rsidR="00287CC0" w:rsidRDefault="00CC3220" w:rsidP="00287CC0">
      <w:pPr>
        <w:pStyle w:val="ListParagraph"/>
        <w:numPr>
          <w:ilvl w:val="0"/>
          <w:numId w:val="4"/>
        </w:numPr>
        <w:spacing w:after="360"/>
        <w:contextualSpacing w:val="0"/>
        <w:rPr>
          <w:szCs w:val="18"/>
        </w:rPr>
      </w:pPr>
      <w:r>
        <w:rPr>
          <w:szCs w:val="18"/>
        </w:rPr>
        <w:t xml:space="preserve">What </w:t>
      </w:r>
      <w:r w:rsidR="00F400CD">
        <w:rPr>
          <w:szCs w:val="18"/>
        </w:rPr>
        <w:t xml:space="preserve">is </w:t>
      </w:r>
      <w:r>
        <w:rPr>
          <w:szCs w:val="18"/>
        </w:rPr>
        <w:t xml:space="preserve">inside </w:t>
      </w:r>
      <w:r w:rsidR="00287CC0">
        <w:rPr>
          <w:szCs w:val="18"/>
        </w:rPr>
        <w:t>a human</w:t>
      </w:r>
      <w:r w:rsidRPr="00CC3220">
        <w:rPr>
          <w:szCs w:val="18"/>
        </w:rPr>
        <w:t xml:space="preserve"> </w:t>
      </w:r>
      <w:r w:rsidR="00F400CD">
        <w:rPr>
          <w:szCs w:val="18"/>
        </w:rPr>
        <w:t xml:space="preserve">that </w:t>
      </w:r>
      <w:r>
        <w:rPr>
          <w:szCs w:val="18"/>
        </w:rPr>
        <w:t xml:space="preserve">provides </w:t>
      </w:r>
      <w:r w:rsidRPr="00287CC0">
        <w:rPr>
          <w:szCs w:val="18"/>
        </w:rPr>
        <w:t>support</w:t>
      </w:r>
      <w:r>
        <w:rPr>
          <w:szCs w:val="18"/>
        </w:rPr>
        <w:t xml:space="preserve"> to</w:t>
      </w:r>
      <w:r w:rsidR="00287CC0">
        <w:rPr>
          <w:szCs w:val="18"/>
        </w:rPr>
        <w:t xml:space="preserve"> help them stand up?</w:t>
      </w:r>
    </w:p>
    <w:p w:rsidR="00287CC0" w:rsidRPr="005258B5" w:rsidRDefault="00287CC0" w:rsidP="00287CC0">
      <w:pPr>
        <w:pStyle w:val="ListParagraph"/>
        <w:numPr>
          <w:ilvl w:val="0"/>
          <w:numId w:val="4"/>
        </w:numPr>
        <w:spacing w:after="360"/>
        <w:contextualSpacing w:val="0"/>
        <w:rPr>
          <w:szCs w:val="18"/>
        </w:rPr>
      </w:pPr>
      <w:r>
        <w:rPr>
          <w:szCs w:val="18"/>
        </w:rPr>
        <w:t>Can you explain why a plant is stuck in one place, while a human can move around?</w:t>
      </w:r>
    </w:p>
    <w:p w:rsidR="00201AC2" w:rsidRPr="00201AC2" w:rsidRDefault="00201AC2" w:rsidP="00287CC0">
      <w:pPr>
        <w:spacing w:after="360"/>
        <w:rPr>
          <w:szCs w:val="18"/>
        </w:rPr>
      </w:pPr>
    </w:p>
    <w:p w:rsidR="00201AC2" w:rsidRPr="00201AC2" w:rsidRDefault="00201AC2" w:rsidP="00287CC0">
      <w:pPr>
        <w:spacing w:after="36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006B07" w:rsidP="006F3279">
      <w:pPr>
        <w:spacing w:after="240"/>
        <w:rPr>
          <w:i/>
          <w:sz w:val="18"/>
          <w:szCs w:val="18"/>
        </w:rPr>
      </w:pPr>
      <w:r w:rsidRPr="00006B07">
        <w:rPr>
          <w:i/>
          <w:sz w:val="18"/>
          <w:szCs w:val="18"/>
        </w:rPr>
        <w:lastRenderedPageBreak/>
        <w:t>Biology&gt; Big idea BCL: The cellular basis of life &gt; Topic BCL2: From cells to organ systems &gt; Key concept BCL2.3: The human skeleton and muscles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397417" w:rsidP="006F3279">
            <w:pPr>
              <w:spacing w:after="60"/>
              <w:ind w:left="1304"/>
              <w:rPr>
                <w:b/>
                <w:sz w:val="40"/>
                <w:szCs w:val="40"/>
              </w:rPr>
            </w:pPr>
            <w:r w:rsidRPr="00397417">
              <w:rPr>
                <w:b/>
                <w:sz w:val="40"/>
                <w:szCs w:val="40"/>
              </w:rPr>
              <w:t>Standing up</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06B07" w:rsidTr="003F16F9">
        <w:trPr>
          <w:trHeight w:val="340"/>
        </w:trPr>
        <w:tc>
          <w:tcPr>
            <w:tcW w:w="2196" w:type="dxa"/>
          </w:tcPr>
          <w:p w:rsidR="00006B07" w:rsidRDefault="00006B07" w:rsidP="00006B07">
            <w:pPr>
              <w:spacing w:before="60" w:after="60"/>
            </w:pPr>
            <w:r>
              <w:t>Learning focus:</w:t>
            </w:r>
          </w:p>
        </w:tc>
        <w:tc>
          <w:tcPr>
            <w:tcW w:w="6820" w:type="dxa"/>
          </w:tcPr>
          <w:p w:rsidR="00006B07" w:rsidRDefault="00006B07" w:rsidP="00006B07">
            <w:pPr>
              <w:spacing w:before="60" w:after="60"/>
            </w:pPr>
            <w:r>
              <w:t>Bones and muscles are tissues that work together with organs in organ systems to support the life processes of cells to keep organisms alive.</w:t>
            </w:r>
          </w:p>
        </w:tc>
      </w:tr>
      <w:tr w:rsidR="00006B07" w:rsidTr="003F16F9">
        <w:trPr>
          <w:trHeight w:val="340"/>
        </w:trPr>
        <w:tc>
          <w:tcPr>
            <w:tcW w:w="2196" w:type="dxa"/>
          </w:tcPr>
          <w:p w:rsidR="00006B07" w:rsidRDefault="00006B07" w:rsidP="00006B07">
            <w:pPr>
              <w:spacing w:before="60" w:after="60"/>
            </w:pPr>
            <w:r>
              <w:t>Observable learning outcome:</w:t>
            </w:r>
          </w:p>
        </w:tc>
        <w:tc>
          <w:tcPr>
            <w:tcW w:w="6820" w:type="dxa"/>
          </w:tcPr>
          <w:p w:rsidR="00006B07" w:rsidRPr="00A50C9C" w:rsidRDefault="00006B07" w:rsidP="00006B07">
            <w:pPr>
              <w:spacing w:before="60" w:after="60"/>
              <w:rPr>
                <w:b/>
              </w:rPr>
            </w:pPr>
            <w:r w:rsidRPr="00A662D4">
              <w:t>Recall that the human body contains a skeleton and muscles for support, protection and movement.</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5258B5" w:rsidP="005258B5">
            <w:pPr>
              <w:spacing w:before="60" w:after="60"/>
            </w:pPr>
            <w:r w:rsidRPr="005258B5">
              <w:t>Challenge to thinking</w:t>
            </w:r>
            <w:r>
              <w:t xml:space="preserve">, </w:t>
            </w:r>
            <w:r w:rsidRPr="005258B5">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06B07" w:rsidP="000505CA">
            <w:pPr>
              <w:spacing w:before="60" w:after="60"/>
            </w:pPr>
            <w:r w:rsidRPr="00006B07">
              <w:t>bones, muscles</w:t>
            </w:r>
          </w:p>
        </w:tc>
      </w:tr>
    </w:tbl>
    <w:p w:rsidR="00E172C6" w:rsidRDefault="00E172C6" w:rsidP="00E172C6">
      <w:pPr>
        <w:spacing w:after="180"/>
      </w:pPr>
    </w:p>
    <w:p w:rsidR="004032EA" w:rsidRPr="005258B5" w:rsidRDefault="00725106" w:rsidP="004032EA">
      <w:pPr>
        <w:spacing w:after="180"/>
      </w:pPr>
      <w:r w:rsidRPr="005258B5">
        <w:t>This activity can help develop students’ understanding</w:t>
      </w:r>
      <w:r w:rsidR="004032EA" w:rsidRPr="005258B5">
        <w:t xml:space="preserve"> </w:t>
      </w:r>
      <w:r w:rsidR="005258B5" w:rsidRPr="005258B5">
        <w:t xml:space="preserve">of the function performed by the human skeleton by challenging them to think about how some of these functions are achieved in organisms without bones. It can be used in </w:t>
      </w:r>
      <w:r w:rsidR="005258B5">
        <w:t xml:space="preserve">follow-up </w:t>
      </w:r>
      <w:r w:rsidR="005258B5" w:rsidRPr="005258B5">
        <w:t xml:space="preserve">to </w:t>
      </w:r>
      <w:r w:rsidR="004032EA" w:rsidRPr="005258B5">
        <w:t xml:space="preserve">the diagnostic </w:t>
      </w:r>
      <w:r w:rsidR="005908A7" w:rsidRPr="005258B5">
        <w:t>question</w:t>
      </w:r>
      <w:r w:rsidR="004032EA" w:rsidRPr="005258B5">
        <w:t>:</w:t>
      </w:r>
    </w:p>
    <w:p w:rsidR="004032EA" w:rsidRPr="005258B5" w:rsidRDefault="004032EA" w:rsidP="005258B5">
      <w:pPr>
        <w:pStyle w:val="ListParagraph"/>
        <w:numPr>
          <w:ilvl w:val="0"/>
          <w:numId w:val="1"/>
        </w:numPr>
        <w:spacing w:after="180"/>
      </w:pPr>
      <w:r w:rsidRPr="005258B5">
        <w:t>Diagnostic</w:t>
      </w:r>
      <w:r w:rsidR="00E610E5" w:rsidRPr="005258B5">
        <w:t xml:space="preserve"> question</w:t>
      </w:r>
      <w:r w:rsidR="005258B5">
        <w:t xml:space="preserve">: </w:t>
      </w:r>
      <w:r w:rsidR="005258B5" w:rsidRPr="005258B5">
        <w:t>Without bones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5A6EE7" w:rsidRDefault="005A6EE7" w:rsidP="00F72ECC"/>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72187" w:rsidRPr="005258B5" w:rsidRDefault="005258B5" w:rsidP="005258B5">
      <w:pPr>
        <w:spacing w:after="180"/>
      </w:pPr>
      <w:r>
        <w:t xml:space="preserve">By age 11, students should know from science lessons that the bodies of humans and other animals have different parts with specific functions, including bones and muscles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 xml:space="preserve">. Young children may think of the human body holistically as a single entity, but by age 10 they more commonly understand that it has different functional parts that work together to maintain life </w:t>
      </w:r>
      <w:r>
        <w:fldChar w:fldCharType="begin"/>
      </w:r>
      <w:r>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(Carey, 1985; Driver et al., 1994)</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4032EA" w:rsidRDefault="00CC3220" w:rsidP="004032EA">
      <w:pPr>
        <w:spacing w:after="180"/>
      </w:pPr>
      <w:r w:rsidRPr="00CC3220">
        <w:t>S</w:t>
      </w:r>
      <w:r>
        <w:t xml:space="preserve">how the class a plant or cut flowers with long, thin stems. Point out that the long, thin stems are self-supporting, such that they </w:t>
      </w:r>
      <w:r w:rsidRPr="00CC3220">
        <w:t>can stand up off the ground</w:t>
      </w:r>
      <w:r>
        <w:t xml:space="preserve"> and </w:t>
      </w:r>
      <w:r w:rsidRPr="00CC3220">
        <w:t xml:space="preserve">can support the weight of </w:t>
      </w:r>
      <w:r>
        <w:t xml:space="preserve">leaves and </w:t>
      </w:r>
      <w:r w:rsidRPr="00CC3220">
        <w:t>flower</w:t>
      </w:r>
      <w:r>
        <w:t>s</w:t>
      </w:r>
      <w:r w:rsidRPr="00CC3220">
        <w:t xml:space="preserve"> at </w:t>
      </w:r>
      <w:r>
        <w:t xml:space="preserve">or near </w:t>
      </w:r>
      <w:r w:rsidRPr="00CC3220">
        <w:t>the top.</w:t>
      </w:r>
    </w:p>
    <w:p w:rsidR="00CC3220" w:rsidRDefault="00CC3220" w:rsidP="004032EA">
      <w:pPr>
        <w:spacing w:after="180"/>
      </w:pPr>
      <w:r>
        <w:t>For contrast, show a similar plant or cut flower that has been deprived of water and is wilting and drooping, such that the stem is no longer self-supporting.</w:t>
      </w:r>
    </w:p>
    <w:p w:rsidR="00CC3220" w:rsidRDefault="00CC3220" w:rsidP="004032EA">
      <w:pPr>
        <w:spacing w:after="180"/>
      </w:pPr>
      <w:r>
        <w:t xml:space="preserve">To draw out the idea that water inside a stem provides it with support, </w:t>
      </w:r>
      <w:r w:rsidR="002C19D5">
        <w:t>fill a long, thin balloon (e.g. a modelling balloon) with water until it becomes self-supporting. Then let some of the water out, to show that it ‘wilts’ and ‘droops’.</w:t>
      </w:r>
    </w:p>
    <w:p w:rsidR="007F4D1D" w:rsidRDefault="007F4D1D" w:rsidP="007F4D1D">
      <w:pPr>
        <w:spacing w:after="120"/>
      </w:pPr>
      <w:r w:rsidRPr="00DA3B6C">
        <w:t xml:space="preserve">Students </w:t>
      </w:r>
      <w:r>
        <w:t xml:space="preserve">should then talk in pairs or small groups about how to answer the questions on the worksheet. It is through the discussions that students can check their understanding and develop </w:t>
      </w:r>
      <w:r>
        <w:lastRenderedPageBreak/>
        <w:t>their explanations. Listening in to the conversations of each group will often give you insights into how your students are thinking.</w:t>
      </w:r>
    </w:p>
    <w:p w:rsidR="007F4D1D" w:rsidRDefault="007F4D1D" w:rsidP="007F4D1D">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7F4D1D" w:rsidRPr="00EE368C" w:rsidRDefault="007F4D1D" w:rsidP="007F4D1D">
      <w:pPr>
        <w:spacing w:after="120"/>
      </w:pPr>
      <w:r w:rsidRPr="00EE368C">
        <w:rPr>
          <w:i/>
        </w:rPr>
        <w:t>Differentiation</w:t>
      </w:r>
    </w:p>
    <w:p w:rsidR="00683BCF" w:rsidRDefault="007F4D1D" w:rsidP="007F4D1D">
      <w:pPr>
        <w:spacing w:after="18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5B1739">
        <w:t xml:space="preserve">For </w:t>
      </w:r>
      <w:r w:rsidR="005258B5">
        <w:t xml:space="preserve">demonstration to </w:t>
      </w:r>
      <w:r>
        <w:t>the class</w:t>
      </w:r>
      <w:r w:rsidRPr="005B1739">
        <w:t>:</w:t>
      </w:r>
    </w:p>
    <w:p w:rsidR="004032EA" w:rsidRDefault="00B054D2" w:rsidP="004032EA">
      <w:pPr>
        <w:pStyle w:val="ListParagraph"/>
        <w:numPr>
          <w:ilvl w:val="0"/>
          <w:numId w:val="1"/>
        </w:numPr>
        <w:spacing w:after="180"/>
      </w:pPr>
      <w:r>
        <w:t>one or two long, thin balloons (e.g. modelling balloons), which can be filled with water</w:t>
      </w:r>
    </w:p>
    <w:p w:rsidR="00B054D2" w:rsidRPr="000947E2" w:rsidRDefault="00B054D2" w:rsidP="004032EA">
      <w:pPr>
        <w:pStyle w:val="ListParagraph"/>
        <w:numPr>
          <w:ilvl w:val="0"/>
          <w:numId w:val="1"/>
        </w:numPr>
        <w:spacing w:after="180"/>
      </w:pPr>
      <w:r>
        <w:t>two similar plants, one that has been well watered and one that is wilting (optional)</w:t>
      </w:r>
    </w:p>
    <w:p w:rsidR="00E172C6" w:rsidRPr="00A82D25" w:rsidRDefault="00BB44B4" w:rsidP="00026DEC">
      <w:pPr>
        <w:spacing w:after="180"/>
        <w:rPr>
          <w:b/>
          <w:color w:val="538135"/>
          <w:sz w:val="24"/>
        </w:rPr>
      </w:pPr>
      <w:r w:rsidRPr="00A82D25">
        <w:rPr>
          <w:b/>
          <w:color w:val="538135"/>
          <w:sz w:val="24"/>
        </w:rPr>
        <w:t>Expected answers</w:t>
      </w:r>
    </w:p>
    <w:p w:rsidR="00BF6C8A" w:rsidRDefault="00F400CD" w:rsidP="00AE3A1A">
      <w:pPr>
        <w:pStyle w:val="ListParagraph"/>
        <w:numPr>
          <w:ilvl w:val="0"/>
          <w:numId w:val="5"/>
        </w:numPr>
        <w:spacing w:after="120"/>
        <w:ind w:left="426" w:hanging="357"/>
        <w:contextualSpacing w:val="0"/>
      </w:pPr>
      <w:r>
        <w:t>(A column of) water</w:t>
      </w:r>
    </w:p>
    <w:p w:rsidR="00F400CD" w:rsidRDefault="00F400CD" w:rsidP="00AE3A1A">
      <w:pPr>
        <w:pStyle w:val="ListParagraph"/>
        <w:numPr>
          <w:ilvl w:val="0"/>
          <w:numId w:val="5"/>
        </w:numPr>
        <w:spacing w:after="120"/>
        <w:ind w:left="426" w:hanging="357"/>
        <w:contextualSpacing w:val="0"/>
      </w:pPr>
      <w:r>
        <w:t>Bones/skeleton (and muscles)</w:t>
      </w:r>
    </w:p>
    <w:p w:rsidR="00F400CD" w:rsidRDefault="00AE3A1A" w:rsidP="00AE3A1A">
      <w:pPr>
        <w:pStyle w:val="ListParagraph"/>
        <w:numPr>
          <w:ilvl w:val="0"/>
          <w:numId w:val="5"/>
        </w:numPr>
        <w:spacing w:after="120"/>
        <w:ind w:left="426" w:hanging="357"/>
        <w:contextualSpacing w:val="0"/>
      </w:pPr>
      <w:r>
        <w:t xml:space="preserve">A plant has roots to provide a constant supply of water from the ground, but which also mean it is rooted in one place. A plant does not have muscles </w:t>
      </w:r>
      <w:r w:rsidR="00157488">
        <w:t>or</w:t>
      </w:r>
      <w:r>
        <w:t xml:space="preserve"> bones, so cannot </w:t>
      </w:r>
      <w:r w:rsidR="00157488">
        <w:t xml:space="preserve">move around (e.g. by </w:t>
      </w:r>
      <w:r>
        <w:t>walk</w:t>
      </w:r>
      <w:r w:rsidR="00157488">
        <w:t>ing</w:t>
      </w:r>
      <w:r>
        <w:t xml:space="preserve"> or </w:t>
      </w:r>
      <w:r w:rsidR="00157488">
        <w:t>running)</w:t>
      </w:r>
      <w:r>
        <w:t>. Humans have muscles to move their bones, enabling them to move around.</w:t>
      </w:r>
    </w:p>
    <w:p w:rsidR="003117F6" w:rsidRPr="00A82D25" w:rsidRDefault="00CC78A5" w:rsidP="00026DEC">
      <w:pPr>
        <w:spacing w:after="180"/>
        <w:rPr>
          <w:b/>
          <w:color w:val="538135"/>
          <w:sz w:val="24"/>
        </w:rPr>
      </w:pPr>
      <w:r w:rsidRPr="00A82D25">
        <w:rPr>
          <w:b/>
          <w:color w:val="538135"/>
          <w:sz w:val="24"/>
        </w:rPr>
        <w:t>Acknowledgments</w:t>
      </w:r>
      <w:bookmarkStart w:id="0" w:name="_GoBack"/>
      <w:bookmarkEnd w:id="0"/>
    </w:p>
    <w:p w:rsidR="00D278E8" w:rsidRDefault="00D278E8" w:rsidP="00E172C6">
      <w:pPr>
        <w:spacing w:after="180"/>
      </w:pPr>
      <w:r>
        <w:t xml:space="preserve">Developed </w:t>
      </w:r>
      <w:r w:rsidR="0015356E">
        <w:t xml:space="preserve">by </w:t>
      </w:r>
      <w:r w:rsidR="005258B5">
        <w:t>Alistair Moore</w:t>
      </w:r>
      <w:r w:rsidR="0015356E">
        <w:t xml:space="preserve"> (UYSEG)</w:t>
      </w:r>
      <w:r>
        <w:t>.</w:t>
      </w:r>
    </w:p>
    <w:p w:rsidR="00CC78A5" w:rsidRDefault="00D278E8" w:rsidP="00E172C6">
      <w:pPr>
        <w:spacing w:after="180"/>
      </w:pPr>
      <w:r w:rsidRPr="0045323E">
        <w:t xml:space="preserve">Images: </w:t>
      </w:r>
      <w:r w:rsidR="005258B5">
        <w:t>pixabay.com/</w:t>
      </w:r>
      <w:proofErr w:type="spellStart"/>
      <w:r w:rsidR="005258B5" w:rsidRPr="005258B5">
        <w:t>Clker</w:t>
      </w:r>
      <w:proofErr w:type="spellEnd"/>
      <w:r w:rsidR="005258B5" w:rsidRPr="005258B5">
        <w:t>-Free-Vector-Images</w:t>
      </w:r>
      <w:r w:rsidR="005258B5">
        <w:t xml:space="preserve"> (</w:t>
      </w:r>
      <w:r w:rsidR="005258B5" w:rsidRPr="005258B5">
        <w:t>31448</w:t>
      </w:r>
      <w:r w:rsidR="005258B5">
        <w:t>)</w:t>
      </w:r>
    </w:p>
    <w:p w:rsidR="003117F6" w:rsidRPr="00A82D25" w:rsidRDefault="003117F6" w:rsidP="00026DEC">
      <w:pPr>
        <w:spacing w:after="180"/>
        <w:rPr>
          <w:b/>
          <w:color w:val="538135"/>
          <w:sz w:val="24"/>
        </w:rPr>
      </w:pPr>
      <w:r w:rsidRPr="00A82D25">
        <w:rPr>
          <w:b/>
          <w:color w:val="538135"/>
          <w:sz w:val="24"/>
        </w:rPr>
        <w:t>References</w:t>
      </w:r>
    </w:p>
    <w:p w:rsidR="005258B5" w:rsidRPr="005258B5" w:rsidRDefault="005258B5" w:rsidP="005258B5">
      <w:pPr>
        <w:pStyle w:val="EndNoteBibliography"/>
        <w:spacing w:after="120"/>
        <w:rPr>
          <w:sz w:val="20"/>
          <w:szCs w:val="20"/>
        </w:rPr>
      </w:pPr>
      <w:r w:rsidRPr="005258B5">
        <w:rPr>
          <w:sz w:val="20"/>
          <w:szCs w:val="20"/>
        </w:rPr>
        <w:fldChar w:fldCharType="begin"/>
      </w:r>
      <w:r w:rsidRPr="005258B5">
        <w:rPr>
          <w:sz w:val="20"/>
          <w:szCs w:val="20"/>
        </w:rPr>
        <w:instrText xml:space="preserve"> ADDIN EN.REFLIST </w:instrText>
      </w:r>
      <w:r w:rsidRPr="005258B5">
        <w:rPr>
          <w:sz w:val="20"/>
          <w:szCs w:val="20"/>
        </w:rPr>
        <w:fldChar w:fldCharType="separate"/>
      </w:r>
      <w:r w:rsidRPr="005258B5">
        <w:rPr>
          <w:sz w:val="20"/>
          <w:szCs w:val="20"/>
        </w:rPr>
        <w:t xml:space="preserve">AAAS Project 2061. (2009). </w:t>
      </w:r>
      <w:r w:rsidRPr="005258B5">
        <w:rPr>
          <w:i/>
          <w:sz w:val="20"/>
          <w:szCs w:val="20"/>
        </w:rPr>
        <w:t xml:space="preserve">Benchmarks for Science Literacy </w:t>
      </w:r>
      <w:r w:rsidRPr="005258B5">
        <w:rPr>
          <w:sz w:val="20"/>
          <w:szCs w:val="20"/>
        </w:rPr>
        <w:t xml:space="preserve">[Online]. Available at: </w:t>
      </w:r>
      <w:hyperlink r:id="rId10" w:history="1">
        <w:r w:rsidRPr="005258B5">
          <w:rPr>
            <w:rStyle w:val="Hyperlink"/>
            <w:sz w:val="20"/>
            <w:szCs w:val="20"/>
          </w:rPr>
          <w:t>http://www.project2061.org/publications/bsl/online/index.php</w:t>
        </w:r>
      </w:hyperlink>
      <w:r w:rsidRPr="005258B5">
        <w:rPr>
          <w:sz w:val="20"/>
          <w:szCs w:val="20"/>
        </w:rPr>
        <w:t>.</w:t>
      </w:r>
    </w:p>
    <w:p w:rsidR="005258B5" w:rsidRPr="005258B5" w:rsidRDefault="005258B5" w:rsidP="005258B5">
      <w:pPr>
        <w:pStyle w:val="EndNoteBibliography"/>
        <w:spacing w:after="120"/>
        <w:rPr>
          <w:sz w:val="20"/>
          <w:szCs w:val="20"/>
        </w:rPr>
      </w:pPr>
      <w:r w:rsidRPr="005258B5">
        <w:rPr>
          <w:sz w:val="20"/>
          <w:szCs w:val="20"/>
        </w:rPr>
        <w:t xml:space="preserve">Carey, S. (1985). </w:t>
      </w:r>
      <w:r w:rsidRPr="005258B5">
        <w:rPr>
          <w:i/>
          <w:sz w:val="20"/>
          <w:szCs w:val="20"/>
        </w:rPr>
        <w:t xml:space="preserve">Conceptual change in childhood, </w:t>
      </w:r>
      <w:r w:rsidRPr="005258B5">
        <w:rPr>
          <w:sz w:val="20"/>
          <w:szCs w:val="20"/>
        </w:rPr>
        <w:t>Cambridge, Massachusetts: Massachusetts Institute of Technology Press.</w:t>
      </w:r>
    </w:p>
    <w:p w:rsidR="005258B5" w:rsidRPr="005258B5" w:rsidRDefault="005258B5" w:rsidP="005258B5">
      <w:pPr>
        <w:pStyle w:val="EndNoteBibliography"/>
        <w:spacing w:after="120"/>
        <w:rPr>
          <w:sz w:val="20"/>
          <w:szCs w:val="20"/>
        </w:rPr>
      </w:pPr>
      <w:r w:rsidRPr="005258B5">
        <w:rPr>
          <w:sz w:val="20"/>
          <w:szCs w:val="20"/>
        </w:rPr>
        <w:t xml:space="preserve">Department for Education (2013). </w:t>
      </w:r>
      <w:r w:rsidRPr="005258B5">
        <w:rPr>
          <w:i/>
          <w:sz w:val="20"/>
          <w:szCs w:val="20"/>
        </w:rPr>
        <w:t xml:space="preserve">Science programmes of study: key stages 1 and 2 - National curriculum in England (DFE-00182-2013), </w:t>
      </w:r>
      <w:r w:rsidRPr="005258B5">
        <w:rPr>
          <w:sz w:val="20"/>
          <w:szCs w:val="20"/>
        </w:rPr>
        <w:t>London, UK.</w:t>
      </w:r>
    </w:p>
    <w:p w:rsidR="005258B5" w:rsidRPr="005258B5" w:rsidRDefault="005258B5" w:rsidP="005258B5">
      <w:pPr>
        <w:pStyle w:val="EndNoteBibliography"/>
        <w:spacing w:after="120"/>
        <w:rPr>
          <w:sz w:val="20"/>
          <w:szCs w:val="20"/>
        </w:rPr>
      </w:pPr>
      <w:r w:rsidRPr="005258B5">
        <w:rPr>
          <w:sz w:val="20"/>
          <w:szCs w:val="20"/>
        </w:rPr>
        <w:t xml:space="preserve">Driver, R., et al. (1994). </w:t>
      </w:r>
      <w:r w:rsidRPr="005258B5">
        <w:rPr>
          <w:i/>
          <w:sz w:val="20"/>
          <w:szCs w:val="20"/>
        </w:rPr>
        <w:t xml:space="preserve">Making Sense of Secondary Science: Research into Children's Ideas, </w:t>
      </w:r>
      <w:r w:rsidRPr="005258B5">
        <w:rPr>
          <w:sz w:val="20"/>
          <w:szCs w:val="20"/>
        </w:rPr>
        <w:t>London, UK: Routledge.</w:t>
      </w:r>
    </w:p>
    <w:p w:rsidR="00A82D25" w:rsidRPr="000F28B4" w:rsidRDefault="005258B5" w:rsidP="005258B5">
      <w:pPr>
        <w:spacing w:after="120"/>
        <w:rPr>
          <w:sz w:val="20"/>
        </w:rPr>
      </w:pPr>
      <w:r w:rsidRPr="005258B5">
        <w:rPr>
          <w:sz w:val="20"/>
          <w:szCs w:val="20"/>
        </w:rPr>
        <w:fldChar w:fldCharType="end"/>
      </w:r>
    </w:p>
    <w:sectPr w:rsidR="00A82D25" w:rsidRPr="000F28B4"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417" w:rsidRDefault="00397417" w:rsidP="000B473B">
      <w:r>
        <w:separator/>
      </w:r>
    </w:p>
  </w:endnote>
  <w:endnote w:type="continuationSeparator" w:id="0">
    <w:p w:rsidR="00397417" w:rsidRDefault="0039741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4DD5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57488">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A81A9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57488">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417" w:rsidRDefault="00397417" w:rsidP="000B473B">
      <w:r>
        <w:separator/>
      </w:r>
    </w:p>
  </w:footnote>
  <w:footnote w:type="continuationSeparator" w:id="0">
    <w:p w:rsidR="00397417" w:rsidRDefault="0039741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06CF1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CCC87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E26173"/>
    <w:multiLevelType w:val="hybridMultilevel"/>
    <w:tmpl w:val="95CAF9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E60771"/>
    <w:multiLevelType w:val="hybridMultilevel"/>
    <w:tmpl w:val="70BAF9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97417"/>
    <w:rsid w:val="00006B07"/>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57488"/>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87CC0"/>
    <w:rsid w:val="00292C53"/>
    <w:rsid w:val="00294E22"/>
    <w:rsid w:val="002C19D5"/>
    <w:rsid w:val="002C22EA"/>
    <w:rsid w:val="002C59BA"/>
    <w:rsid w:val="002F41B2"/>
    <w:rsid w:val="00301AA9"/>
    <w:rsid w:val="003117F6"/>
    <w:rsid w:val="003533B8"/>
    <w:rsid w:val="003752BE"/>
    <w:rsid w:val="00397417"/>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258B5"/>
    <w:rsid w:val="00555342"/>
    <w:rsid w:val="005560E2"/>
    <w:rsid w:val="005908A7"/>
    <w:rsid w:val="005A452E"/>
    <w:rsid w:val="005A6EE7"/>
    <w:rsid w:val="005E07F2"/>
    <w:rsid w:val="005F1A7B"/>
    <w:rsid w:val="006355D8"/>
    <w:rsid w:val="00642ECD"/>
    <w:rsid w:val="006502A0"/>
    <w:rsid w:val="006772F5"/>
    <w:rsid w:val="00683BCF"/>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7F4D1D"/>
    <w:rsid w:val="00800549"/>
    <w:rsid w:val="00800DE1"/>
    <w:rsid w:val="00806B12"/>
    <w:rsid w:val="00813F47"/>
    <w:rsid w:val="00815B09"/>
    <w:rsid w:val="00821B4B"/>
    <w:rsid w:val="00825F8A"/>
    <w:rsid w:val="008450D6"/>
    <w:rsid w:val="00856FCA"/>
    <w:rsid w:val="00873B8C"/>
    <w:rsid w:val="00880E3B"/>
    <w:rsid w:val="008A405F"/>
    <w:rsid w:val="008C7F34"/>
    <w:rsid w:val="008E580C"/>
    <w:rsid w:val="0090047A"/>
    <w:rsid w:val="009158ED"/>
    <w:rsid w:val="00925026"/>
    <w:rsid w:val="00931264"/>
    <w:rsid w:val="00942A4B"/>
    <w:rsid w:val="00961D59"/>
    <w:rsid w:val="00964EDB"/>
    <w:rsid w:val="00972187"/>
    <w:rsid w:val="009B2D55"/>
    <w:rsid w:val="009C0343"/>
    <w:rsid w:val="009E0D11"/>
    <w:rsid w:val="00A24A16"/>
    <w:rsid w:val="00A37D14"/>
    <w:rsid w:val="00A6111E"/>
    <w:rsid w:val="00A6168B"/>
    <w:rsid w:val="00A62028"/>
    <w:rsid w:val="00A82D25"/>
    <w:rsid w:val="00AA6236"/>
    <w:rsid w:val="00AB6AE7"/>
    <w:rsid w:val="00AD21F5"/>
    <w:rsid w:val="00AE3A1A"/>
    <w:rsid w:val="00B054D2"/>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C2E4D"/>
    <w:rsid w:val="00CC3220"/>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C6F35"/>
    <w:rsid w:val="00DD1874"/>
    <w:rsid w:val="00DD63BD"/>
    <w:rsid w:val="00E172C6"/>
    <w:rsid w:val="00E24309"/>
    <w:rsid w:val="00E53D82"/>
    <w:rsid w:val="00E610E5"/>
    <w:rsid w:val="00E9330A"/>
    <w:rsid w:val="00EE6B97"/>
    <w:rsid w:val="00F12C3B"/>
    <w:rsid w:val="00F26884"/>
    <w:rsid w:val="00F400CD"/>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EB5861"/>
  <w15:docId w15:val="{A4DAACBC-9B78-41C1-BF2F-E797C5CF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258B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58B5"/>
    <w:rPr>
      <w:rFonts w:ascii="Calibri" w:hAnsi="Calibri" w:cs="Calibri"/>
      <w:noProof/>
      <w:lang w:val="en-US"/>
    </w:rPr>
  </w:style>
  <w:style w:type="paragraph" w:customStyle="1" w:styleId="EndNoteBibliography">
    <w:name w:val="EndNote Bibliography"/>
    <w:basedOn w:val="Normal"/>
    <w:link w:val="EndNoteBibliographyChar"/>
    <w:rsid w:val="005258B5"/>
    <w:rPr>
      <w:rFonts w:ascii="Calibri" w:hAnsi="Calibri" w:cs="Calibri"/>
      <w:noProof/>
      <w:lang w:val="en-US"/>
    </w:rPr>
  </w:style>
  <w:style w:type="character" w:customStyle="1" w:styleId="EndNoteBibliographyChar">
    <w:name w:val="EndNote Bibliography Char"/>
    <w:basedOn w:val="DefaultParagraphFont"/>
    <w:link w:val="EndNoteBibliography"/>
    <w:rsid w:val="005258B5"/>
    <w:rPr>
      <w:rFonts w:ascii="Calibri" w:hAnsi="Calibri" w:cs="Calibri"/>
      <w:noProof/>
      <w:lang w:val="en-US"/>
    </w:rPr>
  </w:style>
  <w:style w:type="character" w:styleId="Hyperlink">
    <w:name w:val="Hyperlink"/>
    <w:basedOn w:val="DefaultParagraphFont"/>
    <w:uiPriority w:val="99"/>
    <w:unhideWhenUsed/>
    <w:rsid w:val="005258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project2061.org/publications/bsl/online/index.ph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51</TotalTime>
  <Pages>3</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16</cp:revision>
  <cp:lastPrinted>2017-02-24T16:20:00Z</cp:lastPrinted>
  <dcterms:created xsi:type="dcterms:W3CDTF">2019-01-05T18:07:00Z</dcterms:created>
  <dcterms:modified xsi:type="dcterms:W3CDTF">2019-03-14T17:28:00Z</dcterms:modified>
</cp:coreProperties>
</file>