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D8465" w14:textId="2462E2BC"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030635">
        <w:rPr>
          <w:i/>
          <w:sz w:val="18"/>
          <w:szCs w:val="18"/>
        </w:rPr>
        <w:t>CSU: Substances and properties</w:t>
      </w:r>
      <w:r w:rsidR="00F34FD0">
        <w:rPr>
          <w:i/>
          <w:sz w:val="18"/>
          <w:szCs w:val="18"/>
        </w:rPr>
        <w:t xml:space="preserve"> &gt; </w:t>
      </w:r>
      <w:r w:rsidR="001B2603">
        <w:rPr>
          <w:i/>
          <w:sz w:val="18"/>
          <w:szCs w:val="18"/>
        </w:rPr>
        <w:t xml:space="preserve">Topic </w:t>
      </w:r>
      <w:r w:rsidR="00030635">
        <w:rPr>
          <w:i/>
          <w:sz w:val="18"/>
          <w:szCs w:val="18"/>
        </w:rPr>
        <w:t xml:space="preserve">CSU3: Acids and </w:t>
      </w:r>
      <w:r w:rsidR="0066698D">
        <w:rPr>
          <w:i/>
          <w:sz w:val="18"/>
          <w:szCs w:val="18"/>
        </w:rPr>
        <w:t>alkalis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3F5AA386" w14:textId="77777777" w:rsidTr="00EF081E">
        <w:trPr>
          <w:trHeight w:val="321"/>
        </w:trPr>
        <w:tc>
          <w:tcPr>
            <w:tcW w:w="16831" w:type="dxa"/>
            <w:shd w:val="clear" w:color="auto" w:fill="FABF8F" w:themeFill="accent6" w:themeFillTint="99"/>
          </w:tcPr>
          <w:p w14:paraId="41ED1565"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20C0BBE9" w14:textId="77777777" w:rsidTr="00EF081E">
        <w:trPr>
          <w:trHeight w:val="362"/>
        </w:trPr>
        <w:tc>
          <w:tcPr>
            <w:tcW w:w="16831" w:type="dxa"/>
            <w:shd w:val="clear" w:color="auto" w:fill="FBD4B4" w:themeFill="accent6" w:themeFillTint="66"/>
          </w:tcPr>
          <w:p w14:paraId="134031BC" w14:textId="51D68353" w:rsidR="006F3279" w:rsidRPr="001413D2" w:rsidRDefault="00030635" w:rsidP="00F34FD0">
            <w:pPr>
              <w:spacing w:after="60"/>
              <w:ind w:left="1304"/>
              <w:rPr>
                <w:b/>
                <w:color w:val="E36C0A" w:themeColor="accent6" w:themeShade="BF"/>
                <w:sz w:val="40"/>
                <w:szCs w:val="40"/>
              </w:rPr>
            </w:pPr>
            <w:r w:rsidRPr="00F95543">
              <w:rPr>
                <w:b/>
                <w:color w:val="000000" w:themeColor="text1"/>
                <w:sz w:val="40"/>
                <w:szCs w:val="40"/>
              </w:rPr>
              <w:t>CSU3.1</w:t>
            </w:r>
            <w:r w:rsidR="00821188" w:rsidRPr="00F95543">
              <w:rPr>
                <w:b/>
                <w:color w:val="000000" w:themeColor="text1"/>
                <w:sz w:val="40"/>
                <w:szCs w:val="40"/>
              </w:rPr>
              <w:t xml:space="preserve">: </w:t>
            </w:r>
            <w:r w:rsidRPr="00F95543">
              <w:rPr>
                <w:b/>
                <w:color w:val="000000" w:themeColor="text1"/>
                <w:sz w:val="40"/>
                <w:szCs w:val="40"/>
              </w:rPr>
              <w:t>pH scale</w:t>
            </w:r>
          </w:p>
        </w:tc>
      </w:tr>
    </w:tbl>
    <w:p w14:paraId="1CF59F7B" w14:textId="77777777" w:rsidR="003A07C6" w:rsidRDefault="003A07C6" w:rsidP="003A07C6">
      <w:pPr>
        <w:rPr>
          <w:b/>
          <w:color w:val="E36C0A" w:themeColor="accent6" w:themeShade="BF"/>
          <w:sz w:val="24"/>
        </w:rPr>
      </w:pPr>
    </w:p>
    <w:p w14:paraId="15F3F040"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4A54946D" w14:textId="72272C8B" w:rsidR="003A07C6" w:rsidRPr="00030635" w:rsidRDefault="003A07C6" w:rsidP="003A07C6">
      <w:pPr>
        <w:spacing w:after="180"/>
        <w:rPr>
          <w:rFonts w:eastAsia="Times New Roman"/>
        </w:rPr>
      </w:pPr>
      <w:r>
        <w:t>A big idea in chemistry</w:t>
      </w:r>
      <w:r w:rsidRPr="00DD4D20">
        <w:t xml:space="preserve"> is </w:t>
      </w:r>
      <w:r w:rsidR="003A5F19">
        <w:t xml:space="preserve">that </w:t>
      </w:r>
      <w:r w:rsidR="00030635" w:rsidRPr="00DA245A">
        <w:rPr>
          <w:rFonts w:eastAsia="Times New Roman"/>
        </w:rPr>
        <w:t>of substances and properties. All materials are made of a single chemical substance or a mixture of substances</w:t>
      </w:r>
      <w:r w:rsidR="00030635">
        <w:rPr>
          <w:rFonts w:eastAsia="Times New Roman"/>
        </w:rPr>
        <w:t xml:space="preserve">. </w:t>
      </w:r>
      <w:r w:rsidR="00030635" w:rsidRPr="00DA245A">
        <w:rPr>
          <w:rFonts w:eastAsia="Times New Roman"/>
        </w:rPr>
        <w:t>Properties of substances may be explained using the big idea of particles and structure.</w:t>
      </w:r>
    </w:p>
    <w:p w14:paraId="29CEF6E3"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03E21B6A" w14:textId="258351A7" w:rsidR="003A07C6" w:rsidRDefault="003A07C6" w:rsidP="003A07C6">
      <w:pPr>
        <w:spacing w:after="180"/>
      </w:pPr>
      <w:r>
        <w:t xml:space="preserve">This key concept </w:t>
      </w:r>
      <w:r w:rsidR="00C329A4">
        <w:t xml:space="preserve">helps to </w:t>
      </w:r>
      <w:r>
        <w:t>develop the big idea by</w:t>
      </w:r>
      <w:r w:rsidR="0066698D">
        <w:t xml:space="preserve"> introducing acids and alkalis as types of substance in solution that may be compared using</w:t>
      </w:r>
      <w:r w:rsidR="003A5F19">
        <w:t xml:space="preserve"> the pH scale.</w:t>
      </w:r>
    </w:p>
    <w:p w14:paraId="144266C9" w14:textId="59728F06"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0B06C2F7" wp14:editId="1D723FF8">
            <wp:simplePos x="0" y="0"/>
            <wp:positionH relativeFrom="column">
              <wp:posOffset>3926601</wp:posOffset>
            </wp:positionH>
            <wp:positionV relativeFrom="paragraph">
              <wp:posOffset>564294</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w:t>
      </w:r>
      <w:r w:rsidR="003A07C6" w:rsidRPr="0066698D">
        <w:t xml:space="preserve">progression starts by checking understanding of </w:t>
      </w:r>
      <w:r w:rsidR="00030635" w:rsidRPr="0066698D">
        <w:t>acids</w:t>
      </w:r>
      <w:r w:rsidR="003A5F19">
        <w:t>,</w:t>
      </w:r>
      <w:r w:rsidR="00030635" w:rsidRPr="0066698D">
        <w:t xml:space="preserve"> alkalis</w:t>
      </w:r>
      <w:r w:rsidR="00FA7F59">
        <w:t xml:space="preserve"> </w:t>
      </w:r>
      <w:r w:rsidR="003A5F19">
        <w:t>and indicators</w:t>
      </w:r>
      <w:r w:rsidR="003A07C6" w:rsidRPr="0066698D">
        <w:t xml:space="preserve">. It </w:t>
      </w:r>
      <w:r w:rsidRPr="0066698D">
        <w:t xml:space="preserve">then </w:t>
      </w:r>
      <w:r w:rsidR="006F2CAB" w:rsidRPr="0066698D">
        <w:t>supports the development of</w:t>
      </w:r>
      <w:r w:rsidR="003A07C6" w:rsidRPr="0066698D">
        <w:t xml:space="preserve"> </w:t>
      </w:r>
      <w:r w:rsidR="00030635" w:rsidRPr="0066698D">
        <w:t>understanding of the pH scale and</w:t>
      </w:r>
      <w:r w:rsidR="003A07C6" w:rsidRPr="0066698D">
        <w:t xml:space="preserve"> in order to enable </w:t>
      </w:r>
      <w:r w:rsidR="00030635" w:rsidRPr="0066698D">
        <w:t>comparison of solutions with different pH.</w:t>
      </w:r>
    </w:p>
    <w:p w14:paraId="526DE61D" w14:textId="6BEFDF27"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5D21D01C"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3DBE554A" w14:textId="77777777" w:rsidR="00CE7273" w:rsidRDefault="00CE7273">
      <w:pPr>
        <w:spacing w:after="200" w:line="276" w:lineRule="auto"/>
        <w:rPr>
          <w:b/>
          <w:color w:val="5F497A" w:themeColor="accent4" w:themeShade="BF"/>
          <w:sz w:val="24"/>
        </w:rPr>
      </w:pPr>
    </w:p>
    <w:p w14:paraId="49DAC821"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693C886E"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5313AF4A" w14:textId="47C5B3FD" w:rsidR="00DF096A" w:rsidRPr="006229D7" w:rsidRDefault="00DF096A" w:rsidP="00DF096A">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7A04C1">
        <w:rPr>
          <w:b/>
          <w:color w:val="E36C0A" w:themeColor="accent6" w:themeShade="BF"/>
          <w:sz w:val="24"/>
        </w:rPr>
        <w:t>pH scale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DF096A" w:rsidRPr="006229D7" w14:paraId="6212D89F" w14:textId="77777777" w:rsidTr="000A61E2">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35387C88" w14:textId="77777777" w:rsidR="00DF096A" w:rsidRPr="006229D7" w:rsidRDefault="00DF096A" w:rsidP="000A61E2">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530E2E4B" w14:textId="7A2BD78B" w:rsidR="00DF096A" w:rsidRPr="006229D7" w:rsidRDefault="0066698D" w:rsidP="000A61E2">
            <w:pPr>
              <w:jc w:val="center"/>
              <w:rPr>
                <w:rFonts w:ascii="Calibri" w:eastAsia="Calibri" w:hAnsi="Calibri" w:cs="Calibri"/>
                <w:sz w:val="24"/>
                <w:szCs w:val="20"/>
              </w:rPr>
            </w:pPr>
            <w:r>
              <w:rPr>
                <w:rFonts w:cstheme="minorHAnsi"/>
                <w:sz w:val="24"/>
                <w:szCs w:val="20"/>
              </w:rPr>
              <w:t>Acidic and alkaline solutions</w:t>
            </w:r>
            <w:r w:rsidR="007A04C1">
              <w:rPr>
                <w:rFonts w:cstheme="minorHAnsi"/>
                <w:sz w:val="24"/>
                <w:szCs w:val="20"/>
              </w:rPr>
              <w:t xml:space="preserve"> may be compared using the pH scale.</w:t>
            </w:r>
          </w:p>
        </w:tc>
      </w:tr>
      <w:tr w:rsidR="00DF096A" w:rsidRPr="006229D7" w14:paraId="6014BA9C" w14:textId="77777777" w:rsidTr="000A61E2">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80D42C0" w14:textId="77777777" w:rsidR="00DF096A" w:rsidRPr="006229D7" w:rsidRDefault="00DF096A" w:rsidP="000A61E2">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FC6844E" w14:textId="77777777" w:rsidR="00DF096A" w:rsidRPr="006229D7" w:rsidRDefault="00DF096A" w:rsidP="000A61E2">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DCEAC41" w14:textId="77777777" w:rsidR="00DF096A" w:rsidRPr="006229D7" w:rsidRDefault="00DF096A" w:rsidP="000A61E2">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CB326A1" w14:textId="77777777" w:rsidR="00DF096A" w:rsidRPr="006229D7" w:rsidRDefault="00DF096A" w:rsidP="000A61E2">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FDDF9C7" w14:textId="77777777" w:rsidR="00DF096A" w:rsidRPr="006229D7" w:rsidRDefault="00DF096A" w:rsidP="000A61E2">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01C43AE9" w14:textId="77777777" w:rsidR="00DF096A" w:rsidRPr="006229D7" w:rsidRDefault="00DF096A" w:rsidP="000A61E2">
            <w:pPr>
              <w:jc w:val="center"/>
              <w:rPr>
                <w:rFonts w:ascii="Calibri" w:eastAsia="Calibri" w:hAnsi="Calibri" w:cs="Calibri"/>
                <w:sz w:val="2"/>
                <w:szCs w:val="2"/>
              </w:rPr>
            </w:pPr>
          </w:p>
        </w:tc>
      </w:tr>
      <w:tr w:rsidR="00DF096A" w:rsidRPr="006229D7" w14:paraId="4EE838E4" w14:textId="77777777" w:rsidTr="000A61E2">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1647D4D5" w14:textId="77777777" w:rsidR="00DF096A" w:rsidRPr="006229D7" w:rsidRDefault="00DF096A" w:rsidP="000A61E2">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5CBCB7E8" w14:textId="77777777" w:rsidR="00DF096A" w:rsidRPr="006229D7" w:rsidRDefault="00DF096A" w:rsidP="000A61E2">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9680" behindDoc="0" locked="0" layoutInCell="1" allowOverlap="1" wp14:anchorId="342084D7" wp14:editId="5E94EBCB">
                      <wp:simplePos x="0" y="0"/>
                      <wp:positionH relativeFrom="column">
                        <wp:posOffset>59362</wp:posOffset>
                      </wp:positionH>
                      <wp:positionV relativeFrom="paragraph">
                        <wp:posOffset>19454</wp:posOffset>
                      </wp:positionV>
                      <wp:extent cx="7491730" cy="109109"/>
                      <wp:effectExtent l="0" t="57150" r="0" b="81915"/>
                      <wp:wrapNone/>
                      <wp:docPr id="3" name="Group 3"/>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4" name="Straight Arrow Connector 4"/>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5" name="Group 5"/>
                              <wpg:cNvGrpSpPr/>
                              <wpg:grpSpPr>
                                <a:xfrm>
                                  <a:off x="0" y="0"/>
                                  <a:ext cx="1791170" cy="108585"/>
                                  <a:chOff x="-3999" y="3399"/>
                                  <a:chExt cx="2107274" cy="108806"/>
                                </a:xfrm>
                              </wpg:grpSpPr>
                              <wps:wsp>
                                <wps:cNvPr id="6" name="Parallelogram 6"/>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10"/>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49BC36F9"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2084D7" id="Group 3" o:spid="_x0000_s1026" style="position:absolute;margin-left:4.65pt;margin-top:1.55pt;width:589.9pt;height:8.6pt;z-index:251719680;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">
                      <v:shapetype id="_x0000_t32" coordsize="21600,21600" o:spt="32" o:oned="t" path="m,l21600,21600e" filled="f">
                        <v:path arrowok="t" fillok="f" o:connecttype="none"/>
                        <o:lock v:ext="edit" shapetype="t"/>
                      </v:shapetype>
                      <v:shape id="Straight Arrow Connector 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" strokecolor="#e46c0a" strokeweight="4pt">
                        <v:stroke endarrow="block"/>
                      </v:shape>
                      <v:group id="Group 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" adj="1102" fillcolor="#e46c0a" stroked="f" strokeweight="2pt"/>
                        <v:shape id="Parallelogram 10"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" fillcolor="#e46c0a" stroked="f">
                        <v:textbox inset="0,0,0,0">
                          <w:txbxContent>
                            <w:p w14:paraId="49BC36F9"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A31736" w:rsidRPr="006229D7" w14:paraId="3AFCAA63" w14:textId="77777777" w:rsidTr="000A61E2">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3DDB551A" w14:textId="77777777" w:rsidR="00A31736" w:rsidRPr="006229D7" w:rsidRDefault="00A31736" w:rsidP="00A31736">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5347C72D" w14:textId="4B208762" w:rsidR="00A31736" w:rsidRPr="00E675A8" w:rsidRDefault="00A31736" w:rsidP="00A31736">
            <w:pPr>
              <w:rPr>
                <w:rFonts w:cstheme="minorHAnsi"/>
                <w:sz w:val="20"/>
                <w:szCs w:val="20"/>
              </w:rPr>
            </w:pPr>
            <w:r w:rsidRPr="00A31736">
              <w:rPr>
                <w:rFonts w:cstheme="minorHAnsi"/>
                <w:sz w:val="20"/>
                <w:szCs w:val="20"/>
              </w:rPr>
              <w:t xml:space="preserve">Describe how </w:t>
            </w:r>
            <w:r w:rsidR="00CB1740">
              <w:rPr>
                <w:rFonts w:cstheme="minorHAnsi"/>
                <w:sz w:val="20"/>
                <w:szCs w:val="20"/>
              </w:rPr>
              <w:t>to</w:t>
            </w:r>
            <w:r w:rsidRPr="00A31736">
              <w:rPr>
                <w:rFonts w:cstheme="minorHAnsi"/>
                <w:sz w:val="20"/>
                <w:szCs w:val="20"/>
              </w:rPr>
              <w:t xml:space="preserve"> find</w:t>
            </w:r>
            <w:r w:rsidR="003A5F19" w:rsidRPr="00A31736">
              <w:rPr>
                <w:rFonts w:cstheme="minorHAnsi"/>
                <w:sz w:val="20"/>
                <w:szCs w:val="20"/>
              </w:rPr>
              <w:t xml:space="preserve"> out</w:t>
            </w:r>
            <w:r w:rsidR="00CB1740">
              <w:rPr>
                <w:rFonts w:cstheme="minorHAnsi"/>
                <w:sz w:val="20"/>
                <w:szCs w:val="20"/>
              </w:rPr>
              <w:t>, safely,</w:t>
            </w:r>
            <w:r w:rsidRPr="00A31736">
              <w:rPr>
                <w:rFonts w:cstheme="minorHAnsi"/>
                <w:sz w:val="20"/>
                <w:szCs w:val="20"/>
              </w:rPr>
              <w:t xml:space="preserve"> whether a solution is an acid.</w:t>
            </w:r>
          </w:p>
        </w:tc>
        <w:tc>
          <w:tcPr>
            <w:tcW w:w="2439" w:type="dxa"/>
            <w:tcBorders>
              <w:top w:val="nil"/>
              <w:left w:val="dashed" w:sz="4" w:space="0" w:color="E36C0A"/>
              <w:bottom w:val="single" w:sz="8" w:space="0" w:color="E36C0A"/>
              <w:right w:val="dashed" w:sz="4" w:space="0" w:color="E36C0A"/>
            </w:tcBorders>
          </w:tcPr>
          <w:p w14:paraId="03B0FE77" w14:textId="30735A57" w:rsidR="00A31736" w:rsidRPr="00E675A8" w:rsidRDefault="00A31736" w:rsidP="00A31736">
            <w:pPr>
              <w:spacing w:after="120"/>
              <w:rPr>
                <w:rFonts w:cstheme="minorHAnsi"/>
                <w:sz w:val="20"/>
                <w:szCs w:val="20"/>
              </w:rPr>
            </w:pPr>
            <w:r>
              <w:rPr>
                <w:rFonts w:cstheme="minorHAnsi"/>
                <w:sz w:val="20"/>
                <w:szCs w:val="20"/>
              </w:rPr>
              <w:t>Identify and give examples of alkalis.</w:t>
            </w:r>
          </w:p>
        </w:tc>
        <w:tc>
          <w:tcPr>
            <w:tcW w:w="2439" w:type="dxa"/>
            <w:tcBorders>
              <w:top w:val="nil"/>
              <w:left w:val="dashed" w:sz="4" w:space="0" w:color="E36C0A"/>
              <w:bottom w:val="single" w:sz="8" w:space="0" w:color="E36C0A"/>
              <w:right w:val="dashed" w:sz="4" w:space="0" w:color="E36C0A"/>
            </w:tcBorders>
          </w:tcPr>
          <w:p w14:paraId="381ECB09" w14:textId="30AE17B7" w:rsidR="00A31736" w:rsidRPr="00E675A8" w:rsidRDefault="00A31736" w:rsidP="00A31736">
            <w:pPr>
              <w:spacing w:after="120"/>
              <w:rPr>
                <w:rFonts w:cstheme="minorHAnsi"/>
                <w:sz w:val="20"/>
                <w:szCs w:val="20"/>
              </w:rPr>
            </w:pPr>
            <w:r>
              <w:rPr>
                <w:rFonts w:cstheme="minorHAnsi"/>
                <w:sz w:val="20"/>
                <w:szCs w:val="20"/>
              </w:rPr>
              <w:t>Describe what information an indicator provides.</w:t>
            </w:r>
          </w:p>
        </w:tc>
        <w:tc>
          <w:tcPr>
            <w:tcW w:w="2439" w:type="dxa"/>
            <w:tcBorders>
              <w:top w:val="nil"/>
              <w:left w:val="dashed" w:sz="4" w:space="0" w:color="E36C0A"/>
              <w:bottom w:val="single" w:sz="8" w:space="0" w:color="E36C0A"/>
              <w:right w:val="dashed" w:sz="4" w:space="0" w:color="E36C0A"/>
            </w:tcBorders>
          </w:tcPr>
          <w:p w14:paraId="105FEDC4" w14:textId="4C29B893" w:rsidR="00A31736" w:rsidRPr="00E675A8" w:rsidRDefault="00A31736" w:rsidP="00A31736">
            <w:pPr>
              <w:spacing w:after="120"/>
              <w:rPr>
                <w:rFonts w:cstheme="minorHAnsi"/>
                <w:sz w:val="20"/>
                <w:szCs w:val="20"/>
              </w:rPr>
            </w:pPr>
            <w:r>
              <w:rPr>
                <w:rFonts w:cstheme="minorHAnsi"/>
                <w:sz w:val="20"/>
                <w:szCs w:val="20"/>
              </w:rPr>
              <w:t>Interpret the pH scale</w:t>
            </w:r>
          </w:p>
        </w:tc>
        <w:tc>
          <w:tcPr>
            <w:tcW w:w="2439" w:type="dxa"/>
            <w:tcBorders>
              <w:top w:val="nil"/>
              <w:left w:val="dashed" w:sz="4" w:space="0" w:color="E36C0A"/>
              <w:bottom w:val="single" w:sz="8" w:space="0" w:color="E36C0A"/>
              <w:right w:val="single" w:sz="8" w:space="0" w:color="E36C0A"/>
            </w:tcBorders>
          </w:tcPr>
          <w:p w14:paraId="4B313558" w14:textId="40F7A8F2" w:rsidR="00A31736" w:rsidRDefault="00A31736" w:rsidP="00A31736">
            <w:pPr>
              <w:spacing w:after="120"/>
              <w:rPr>
                <w:rFonts w:cstheme="minorHAnsi"/>
                <w:sz w:val="20"/>
                <w:szCs w:val="20"/>
              </w:rPr>
            </w:pPr>
            <w:r>
              <w:rPr>
                <w:rFonts w:cstheme="minorHAnsi"/>
                <w:sz w:val="20"/>
                <w:szCs w:val="20"/>
              </w:rPr>
              <w:t>Compare acidity or alkalinity using the pH scale.</w:t>
            </w:r>
          </w:p>
          <w:p w14:paraId="39D85333" w14:textId="77777777" w:rsidR="00A31736" w:rsidRPr="000A4D1F" w:rsidRDefault="00A31736" w:rsidP="00A31736">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5B28128F" wp14:editId="2B5CEB91">
                      <wp:extent cx="200025" cy="209550"/>
                      <wp:effectExtent l="0" t="0" r="9525" b="6350"/>
                      <wp:docPr id="13" name="Text Box 1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07B3624E" w14:textId="77777777" w:rsidR="00A31736" w:rsidRPr="00620AFF" w:rsidRDefault="00A31736" w:rsidP="00DF096A">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28128F" id="Text Box 13"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" fillcolor="#e36c0a [2409]" stroked="f" strokeweight=".5pt">
                      <v:textbox style="mso-fit-shape-to-text:t" inset="1mm,1mm,1mm,1mm">
                        <w:txbxContent>
                          <w:p w14:paraId="07B3624E" w14:textId="77777777" w:rsidR="00A31736" w:rsidRPr="00620AFF" w:rsidRDefault="00A31736" w:rsidP="00DF096A">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A31736" w:rsidRPr="006229D7" w14:paraId="6658D5BE" w14:textId="77777777" w:rsidTr="00FA7F59">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0A217029" w14:textId="77777777" w:rsidR="00A31736" w:rsidRPr="006229D7" w:rsidRDefault="00A31736" w:rsidP="00A31736">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D8805A"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4" w:space="0" w:color="E36C0A"/>
              <w:right w:val="nil"/>
            </w:tcBorders>
            <w:shd w:val="clear" w:color="auto" w:fill="auto"/>
            <w:tcMar>
              <w:top w:w="0" w:type="dxa"/>
              <w:left w:w="0" w:type="dxa"/>
              <w:bottom w:w="0" w:type="dxa"/>
              <w:right w:w="0" w:type="dxa"/>
            </w:tcMar>
            <w:vAlign w:val="center"/>
          </w:tcPr>
          <w:p w14:paraId="6FC0E405"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5F88029"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95997E9"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D259884" w14:textId="77777777" w:rsidR="00A31736" w:rsidRPr="006229D7" w:rsidRDefault="00A31736" w:rsidP="00A31736">
            <w:pPr>
              <w:jc w:val="center"/>
              <w:rPr>
                <w:rFonts w:ascii="Calibri" w:eastAsia="Calibri" w:hAnsi="Calibri" w:cs="Calibri"/>
                <w:sz w:val="20"/>
                <w:szCs w:val="20"/>
              </w:rPr>
            </w:pPr>
          </w:p>
        </w:tc>
      </w:tr>
      <w:tr w:rsidR="00A31736" w:rsidRPr="006229D7" w14:paraId="0C342054" w14:textId="77777777" w:rsidTr="00FA7F59">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5FCB66EE" w14:textId="13AF3268" w:rsidR="00A31736" w:rsidRPr="006229D7" w:rsidRDefault="00A31736" w:rsidP="00A31736">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nil"/>
              <w:left w:val="single" w:sz="8" w:space="0" w:color="E36C0A"/>
              <w:bottom w:val="single" w:sz="8" w:space="0" w:color="E36C0A"/>
              <w:right w:val="single" w:sz="4" w:space="0" w:color="E36C0A"/>
            </w:tcBorders>
            <w:shd w:val="clear" w:color="auto" w:fill="auto"/>
            <w:vAlign w:val="center"/>
          </w:tcPr>
          <w:p w14:paraId="1938A0B0" w14:textId="0EA242D5" w:rsidR="00A31736" w:rsidRPr="006229D7" w:rsidRDefault="004F1DC7" w:rsidP="00A31736">
            <w:pPr>
              <w:jc w:val="center"/>
              <w:rPr>
                <w:rFonts w:ascii="Calibri" w:eastAsia="Calibri" w:hAnsi="Calibri" w:cs="Calibri"/>
                <w:sz w:val="20"/>
                <w:szCs w:val="20"/>
              </w:rPr>
            </w:pPr>
            <w:r>
              <w:rPr>
                <w:rFonts w:ascii="Calibri" w:eastAsia="Calibri" w:hAnsi="Calibri" w:cs="Calibri"/>
                <w:sz w:val="20"/>
                <w:szCs w:val="20"/>
              </w:rPr>
              <w:t>Identifying acids</w:t>
            </w:r>
          </w:p>
        </w:tc>
        <w:tc>
          <w:tcPr>
            <w:tcW w:w="2439" w:type="dxa"/>
            <w:tcBorders>
              <w:top w:val="single" w:sz="4" w:space="0" w:color="E36C0A"/>
              <w:left w:val="single" w:sz="4" w:space="0" w:color="E36C0A"/>
              <w:bottom w:val="single" w:sz="4" w:space="0" w:color="E36C0A"/>
              <w:right w:val="single" w:sz="4" w:space="0" w:color="E36C0A"/>
            </w:tcBorders>
            <w:shd w:val="clear" w:color="auto" w:fill="auto"/>
            <w:vAlign w:val="center"/>
          </w:tcPr>
          <w:p w14:paraId="2C794CD1" w14:textId="225444DF" w:rsidR="00A31736" w:rsidRPr="006229D7" w:rsidRDefault="004F1DC7" w:rsidP="00A31736">
            <w:pPr>
              <w:jc w:val="center"/>
              <w:rPr>
                <w:rFonts w:ascii="Calibri" w:eastAsia="Calibri" w:hAnsi="Calibri" w:cs="Calibri"/>
                <w:sz w:val="20"/>
                <w:szCs w:val="20"/>
              </w:rPr>
            </w:pPr>
            <w:r>
              <w:rPr>
                <w:rFonts w:ascii="Calibri" w:eastAsia="Calibri" w:hAnsi="Calibri" w:cs="Calibri"/>
                <w:sz w:val="20"/>
                <w:szCs w:val="20"/>
              </w:rPr>
              <w:t>Identifying alkalis</w:t>
            </w:r>
          </w:p>
        </w:tc>
        <w:tc>
          <w:tcPr>
            <w:tcW w:w="2439" w:type="dxa"/>
            <w:tcBorders>
              <w:top w:val="nil"/>
              <w:left w:val="single" w:sz="4" w:space="0" w:color="E36C0A"/>
              <w:bottom w:val="single" w:sz="8" w:space="0" w:color="E36C0A"/>
              <w:right w:val="single" w:sz="4" w:space="0" w:color="E36C0A"/>
            </w:tcBorders>
            <w:shd w:val="clear" w:color="auto" w:fill="auto"/>
            <w:vAlign w:val="center"/>
          </w:tcPr>
          <w:p w14:paraId="4484AF57" w14:textId="6CA267AF" w:rsidR="00A31736" w:rsidRPr="006229D7" w:rsidRDefault="00A31736" w:rsidP="00A31736">
            <w:pPr>
              <w:jc w:val="center"/>
              <w:rPr>
                <w:rFonts w:ascii="Calibri" w:eastAsia="Calibri" w:hAnsi="Calibri" w:cs="Calibri"/>
                <w:sz w:val="20"/>
                <w:szCs w:val="20"/>
              </w:rPr>
            </w:pPr>
            <w:r>
              <w:rPr>
                <w:rFonts w:ascii="Calibri" w:eastAsia="Calibri" w:hAnsi="Calibri" w:cs="Calibri"/>
                <w:sz w:val="20"/>
                <w:szCs w:val="20"/>
              </w:rPr>
              <w:t>Indicators</w:t>
            </w:r>
          </w:p>
        </w:tc>
        <w:tc>
          <w:tcPr>
            <w:tcW w:w="2439" w:type="dxa"/>
            <w:tcBorders>
              <w:top w:val="single" w:sz="8" w:space="0" w:color="E36C0A"/>
              <w:left w:val="single" w:sz="4" w:space="0" w:color="E36C0A"/>
              <w:bottom w:val="single" w:sz="8" w:space="0" w:color="E36C0A"/>
              <w:right w:val="single" w:sz="4" w:space="0" w:color="E36C0A"/>
            </w:tcBorders>
            <w:shd w:val="clear" w:color="auto" w:fill="auto"/>
            <w:vAlign w:val="center"/>
          </w:tcPr>
          <w:p w14:paraId="31476609" w14:textId="36FC52B0" w:rsidR="00A31736" w:rsidRPr="006229D7" w:rsidRDefault="00A31736" w:rsidP="00A31736">
            <w:pPr>
              <w:jc w:val="center"/>
              <w:rPr>
                <w:rFonts w:ascii="Calibri" w:eastAsia="Calibri" w:hAnsi="Calibri" w:cs="Calibri"/>
                <w:sz w:val="20"/>
                <w:szCs w:val="20"/>
              </w:rPr>
            </w:pPr>
            <w:r>
              <w:rPr>
                <w:rFonts w:ascii="Calibri" w:eastAsia="Calibri" w:hAnsi="Calibri" w:cs="Calibri"/>
                <w:sz w:val="20"/>
                <w:szCs w:val="20"/>
              </w:rPr>
              <w:t>pH scale</w:t>
            </w:r>
          </w:p>
        </w:tc>
        <w:tc>
          <w:tcPr>
            <w:tcW w:w="2439" w:type="dxa"/>
            <w:tcBorders>
              <w:top w:val="single" w:sz="8" w:space="0" w:color="E36C0A"/>
              <w:left w:val="single" w:sz="4" w:space="0" w:color="E36C0A"/>
              <w:bottom w:val="single" w:sz="8" w:space="0" w:color="E36C0A"/>
              <w:right w:val="single" w:sz="8" w:space="0" w:color="E36C0A"/>
            </w:tcBorders>
            <w:shd w:val="clear" w:color="auto" w:fill="auto"/>
            <w:vAlign w:val="center"/>
          </w:tcPr>
          <w:p w14:paraId="1B224169" w14:textId="3E4430EE" w:rsidR="00A31736" w:rsidRPr="006229D7" w:rsidRDefault="00A31736" w:rsidP="00A31736">
            <w:pPr>
              <w:jc w:val="center"/>
              <w:rPr>
                <w:rFonts w:ascii="Calibri" w:eastAsia="Calibri" w:hAnsi="Calibri" w:cs="Calibri"/>
                <w:sz w:val="20"/>
                <w:szCs w:val="20"/>
              </w:rPr>
            </w:pPr>
            <w:r>
              <w:rPr>
                <w:rFonts w:ascii="Calibri" w:eastAsia="Calibri" w:hAnsi="Calibri" w:cs="Calibri"/>
                <w:sz w:val="20"/>
                <w:szCs w:val="20"/>
              </w:rPr>
              <w:t>Comparing pH</w:t>
            </w:r>
          </w:p>
        </w:tc>
      </w:tr>
      <w:tr w:rsidR="00A31736" w:rsidRPr="006229D7" w14:paraId="2A41C202" w14:textId="77777777" w:rsidTr="00FA7F59">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6C8FF6C" w14:textId="77777777" w:rsidR="00A31736" w:rsidRPr="006229D7" w:rsidRDefault="00A31736" w:rsidP="00A31736">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7FBA1F6" w14:textId="77777777" w:rsidR="00A31736" w:rsidRPr="006229D7" w:rsidRDefault="00A31736" w:rsidP="00A31736">
            <w:pPr>
              <w:jc w:val="center"/>
              <w:rPr>
                <w:rFonts w:ascii="Calibri" w:eastAsia="Calibri" w:hAnsi="Calibri" w:cs="Calibri"/>
                <w:sz w:val="20"/>
                <w:szCs w:val="20"/>
              </w:rPr>
            </w:pPr>
          </w:p>
        </w:tc>
        <w:tc>
          <w:tcPr>
            <w:tcW w:w="2439" w:type="dxa"/>
            <w:tcBorders>
              <w:top w:val="single" w:sz="4" w:space="0" w:color="E36C0A"/>
              <w:left w:val="nil"/>
              <w:bottom w:val="single" w:sz="4" w:space="0" w:color="E36C0A"/>
              <w:right w:val="nil"/>
            </w:tcBorders>
            <w:shd w:val="clear" w:color="auto" w:fill="auto"/>
            <w:tcMar>
              <w:top w:w="0" w:type="dxa"/>
              <w:left w:w="0" w:type="dxa"/>
              <w:bottom w:w="0" w:type="dxa"/>
              <w:right w:w="0" w:type="dxa"/>
            </w:tcMar>
            <w:vAlign w:val="center"/>
          </w:tcPr>
          <w:p w14:paraId="7B811808"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283D78E"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4" w:space="0" w:color="E36C0A"/>
              <w:right w:val="nil"/>
            </w:tcBorders>
            <w:shd w:val="clear" w:color="auto" w:fill="auto"/>
            <w:tcMar>
              <w:top w:w="0" w:type="dxa"/>
              <w:left w:w="0" w:type="dxa"/>
              <w:bottom w:w="0" w:type="dxa"/>
              <w:right w:w="0" w:type="dxa"/>
            </w:tcMar>
            <w:vAlign w:val="center"/>
          </w:tcPr>
          <w:p w14:paraId="36F124C0" w14:textId="77777777" w:rsidR="00A31736" w:rsidRPr="006229D7" w:rsidRDefault="00A31736" w:rsidP="00A31736">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C1B9C23" w14:textId="77777777" w:rsidR="00A31736" w:rsidRPr="006229D7" w:rsidRDefault="00A31736" w:rsidP="00A31736">
            <w:pPr>
              <w:jc w:val="center"/>
              <w:rPr>
                <w:rFonts w:ascii="Calibri" w:eastAsia="Calibri" w:hAnsi="Calibri" w:cs="Calibri"/>
                <w:sz w:val="20"/>
                <w:szCs w:val="20"/>
              </w:rPr>
            </w:pPr>
          </w:p>
        </w:tc>
      </w:tr>
      <w:tr w:rsidR="004F1DC7" w:rsidRPr="006229D7" w14:paraId="3F3AC2F9" w14:textId="77777777" w:rsidTr="006F50B1">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489B8BED" w14:textId="77777777" w:rsidR="004F1DC7" w:rsidRPr="006229D7" w:rsidRDefault="004F1DC7" w:rsidP="00A31736">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18348263" w14:textId="1253E209" w:rsidR="004F1DC7" w:rsidRPr="006229D7" w:rsidRDefault="004F1DC7" w:rsidP="00A31736">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single" w:sz="4" w:space="0" w:color="E36C0A"/>
            </w:tcBorders>
            <w:shd w:val="clear" w:color="auto" w:fill="auto"/>
            <w:vAlign w:val="center"/>
          </w:tcPr>
          <w:p w14:paraId="5DE03D4A" w14:textId="3CD65BE8" w:rsidR="004F1DC7" w:rsidRPr="006229D7" w:rsidRDefault="004F1DC7" w:rsidP="00A31736">
            <w:pPr>
              <w:jc w:val="center"/>
              <w:rPr>
                <w:rFonts w:ascii="Calibri" w:eastAsia="Calibri" w:hAnsi="Calibri" w:cs="Calibri"/>
                <w:sz w:val="20"/>
                <w:szCs w:val="20"/>
              </w:rPr>
            </w:pPr>
          </w:p>
        </w:tc>
        <w:tc>
          <w:tcPr>
            <w:tcW w:w="2439" w:type="dxa"/>
            <w:tcBorders>
              <w:top w:val="nil"/>
              <w:left w:val="single" w:sz="8" w:space="0" w:color="E36C0A"/>
              <w:bottom w:val="single" w:sz="8" w:space="0" w:color="E36C0A"/>
              <w:right w:val="single" w:sz="4" w:space="0" w:color="E36C0A"/>
            </w:tcBorders>
            <w:shd w:val="clear" w:color="auto" w:fill="auto"/>
            <w:vAlign w:val="center"/>
          </w:tcPr>
          <w:p w14:paraId="50043C90" w14:textId="31395B7F" w:rsidR="004F1DC7" w:rsidRPr="006229D7" w:rsidRDefault="004F1DC7" w:rsidP="00A31736">
            <w:pPr>
              <w:jc w:val="center"/>
              <w:rPr>
                <w:rFonts w:ascii="Calibri" w:eastAsia="Calibri" w:hAnsi="Calibri" w:cs="Calibri"/>
                <w:sz w:val="20"/>
                <w:szCs w:val="20"/>
              </w:rPr>
            </w:pPr>
            <w:r>
              <w:rPr>
                <w:rFonts w:ascii="Calibri" w:eastAsia="Calibri" w:hAnsi="Calibri" w:cs="Calibri"/>
                <w:sz w:val="20"/>
                <w:szCs w:val="20"/>
              </w:rPr>
              <w:t>Drain cleaner</w:t>
            </w:r>
          </w:p>
        </w:tc>
        <w:tc>
          <w:tcPr>
            <w:tcW w:w="2439" w:type="dxa"/>
            <w:tcBorders>
              <w:top w:val="nil"/>
              <w:left w:val="single" w:sz="4" w:space="0" w:color="E36C0A"/>
              <w:bottom w:val="single" w:sz="8" w:space="0" w:color="E36C0A"/>
              <w:right w:val="single" w:sz="4" w:space="0" w:color="E36C0A"/>
            </w:tcBorders>
            <w:shd w:val="clear" w:color="auto" w:fill="auto"/>
            <w:vAlign w:val="center"/>
          </w:tcPr>
          <w:p w14:paraId="4D944AA3" w14:textId="77777777" w:rsidR="004F1DC7" w:rsidRPr="006229D7" w:rsidRDefault="004F1DC7" w:rsidP="00A31736">
            <w:pPr>
              <w:jc w:val="center"/>
              <w:rPr>
                <w:rFonts w:ascii="Calibri" w:eastAsia="Calibri" w:hAnsi="Calibri" w:cs="Calibri"/>
                <w:sz w:val="20"/>
                <w:szCs w:val="20"/>
              </w:rPr>
            </w:pPr>
          </w:p>
        </w:tc>
        <w:tc>
          <w:tcPr>
            <w:tcW w:w="2439" w:type="dxa"/>
            <w:tcBorders>
              <w:top w:val="single" w:sz="4" w:space="0" w:color="E36C0A"/>
              <w:left w:val="single" w:sz="4" w:space="0" w:color="E36C0A"/>
              <w:bottom w:val="single" w:sz="4" w:space="0" w:color="E36C0A"/>
              <w:right w:val="single" w:sz="4" w:space="0" w:color="E36C0A"/>
            </w:tcBorders>
            <w:shd w:val="clear" w:color="auto" w:fill="auto"/>
            <w:vAlign w:val="center"/>
          </w:tcPr>
          <w:p w14:paraId="4D001F63" w14:textId="4D7E933E" w:rsidR="004F1DC7" w:rsidRPr="006229D7" w:rsidRDefault="004F1DC7" w:rsidP="00A31736">
            <w:pPr>
              <w:jc w:val="center"/>
              <w:rPr>
                <w:rFonts w:ascii="Calibri" w:eastAsia="Calibri" w:hAnsi="Calibri" w:cs="Calibri"/>
                <w:sz w:val="20"/>
                <w:szCs w:val="20"/>
              </w:rPr>
            </w:pPr>
            <w:r>
              <w:rPr>
                <w:rFonts w:ascii="Calibri" w:eastAsia="Calibri" w:hAnsi="Calibri" w:cs="Calibri"/>
                <w:sz w:val="20"/>
                <w:szCs w:val="20"/>
              </w:rPr>
              <w:t>Which pH?</w:t>
            </w:r>
          </w:p>
        </w:tc>
        <w:tc>
          <w:tcPr>
            <w:tcW w:w="2439" w:type="dxa"/>
            <w:tcBorders>
              <w:top w:val="nil"/>
              <w:left w:val="single" w:sz="4" w:space="0" w:color="E36C0A"/>
              <w:bottom w:val="single" w:sz="8" w:space="0" w:color="E36C0A"/>
              <w:right w:val="single" w:sz="8" w:space="0" w:color="E36C0A"/>
            </w:tcBorders>
            <w:shd w:val="clear" w:color="auto" w:fill="auto"/>
            <w:vAlign w:val="center"/>
          </w:tcPr>
          <w:p w14:paraId="18C10072" w14:textId="1485EEEE" w:rsidR="004F1DC7" w:rsidRPr="006229D7" w:rsidRDefault="004F1DC7" w:rsidP="00A31736">
            <w:pPr>
              <w:jc w:val="center"/>
              <w:rPr>
                <w:rFonts w:ascii="Calibri" w:eastAsia="Calibri" w:hAnsi="Calibri" w:cs="Calibri"/>
                <w:sz w:val="20"/>
                <w:szCs w:val="20"/>
              </w:rPr>
            </w:pPr>
            <w:r>
              <w:rPr>
                <w:rFonts w:ascii="Calibri" w:eastAsia="Calibri" w:hAnsi="Calibri" w:cs="Calibri"/>
                <w:sz w:val="20"/>
                <w:szCs w:val="20"/>
              </w:rPr>
              <w:t>Unusual scales</w:t>
            </w:r>
          </w:p>
        </w:tc>
      </w:tr>
    </w:tbl>
    <w:p w14:paraId="4C568EB7" w14:textId="77777777" w:rsidR="00DF096A" w:rsidRPr="006229D7" w:rsidRDefault="00DF096A" w:rsidP="00DF096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DF096A" w:rsidRPr="006229D7" w14:paraId="3EA48809" w14:textId="77777777" w:rsidTr="000A61E2">
        <w:tc>
          <w:tcPr>
            <w:tcW w:w="10361" w:type="dxa"/>
            <w:gridSpan w:val="4"/>
          </w:tcPr>
          <w:p w14:paraId="2FADEE87" w14:textId="77777777" w:rsidR="00DF096A" w:rsidRPr="006229D7" w:rsidRDefault="00DF096A" w:rsidP="000A61E2">
            <w:pPr>
              <w:spacing w:after="120"/>
              <w:rPr>
                <w:rFonts w:ascii="Calibri" w:eastAsia="Calibri" w:hAnsi="Calibri"/>
                <w:sz w:val="20"/>
              </w:rPr>
            </w:pPr>
            <w:r w:rsidRPr="006229D7">
              <w:rPr>
                <w:rFonts w:ascii="Calibri" w:eastAsia="Calibri" w:hAnsi="Calibri"/>
                <w:sz w:val="20"/>
              </w:rPr>
              <w:t>Key:</w:t>
            </w:r>
          </w:p>
        </w:tc>
      </w:tr>
      <w:tr w:rsidR="00DF096A" w:rsidRPr="006229D7" w14:paraId="3A1C91CA" w14:textId="77777777" w:rsidTr="000A61E2">
        <w:tc>
          <w:tcPr>
            <w:tcW w:w="438" w:type="dxa"/>
            <w:vAlign w:val="center"/>
          </w:tcPr>
          <w:p w14:paraId="490396B0" w14:textId="77777777" w:rsidR="00DF096A" w:rsidRPr="006229D7" w:rsidRDefault="00DF096A" w:rsidP="000A61E2">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26C5D792" wp14:editId="0EEBB0DE">
                      <wp:extent cx="200025" cy="209550"/>
                      <wp:effectExtent l="0" t="0" r="9525" b="6350"/>
                      <wp:docPr id="15" name="Text Box 1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BDA7B80"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C5D792" id="Text Box 15"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SKUgIAAKY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" fillcolor="#e46c0a" stroked="f" strokeweight=".5pt">
                      <v:textbox style="mso-fit-shape-to-text:t" inset="1mm,1mm,1mm,1mm">
                        <w:txbxContent>
                          <w:p w14:paraId="2BDA7B80"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29B8BA7A" w14:textId="77777777" w:rsidR="00DF096A" w:rsidRPr="006229D7" w:rsidRDefault="00DF096A" w:rsidP="000A61E2">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2ED69A4F" w14:textId="77777777" w:rsidR="00DF096A" w:rsidRPr="006229D7" w:rsidRDefault="00DF096A" w:rsidP="000A61E2">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02ECEA4D" wp14:editId="55E5418C">
                      <wp:extent cx="200025" cy="209550"/>
                      <wp:effectExtent l="0" t="0" r="9525" b="6350"/>
                      <wp:docPr id="16" name="Text Box 1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37B0B17E"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ECEA4D" id="Text Box 16"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PXRUgIAAKY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" fillcolor="#e46c0a" stroked="f" strokeweight=".5pt">
                      <v:textbox style="mso-fit-shape-to-text:t" inset="1mm,1mm,1mm,1mm">
                        <w:txbxContent>
                          <w:p w14:paraId="37B0B17E"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79EAA72E" w14:textId="77777777" w:rsidR="00DF096A" w:rsidRPr="006229D7" w:rsidRDefault="00DF096A" w:rsidP="000A61E2">
            <w:pPr>
              <w:rPr>
                <w:rFonts w:ascii="Calibri" w:eastAsia="Calibri" w:hAnsi="Calibri"/>
                <w:sz w:val="20"/>
              </w:rPr>
            </w:pPr>
            <w:r w:rsidRPr="006229D7">
              <w:rPr>
                <w:rFonts w:ascii="Calibri" w:eastAsia="Calibri" w:hAnsi="Calibri"/>
                <w:sz w:val="20"/>
              </w:rPr>
              <w:t>Bridge to later stages of learning</w:t>
            </w:r>
          </w:p>
        </w:tc>
      </w:tr>
    </w:tbl>
    <w:p w14:paraId="3BFF767C" w14:textId="79836019" w:rsidR="00427ABA" w:rsidRDefault="00427ABA" w:rsidP="00DF096A">
      <w:pPr>
        <w:spacing w:after="200" w:line="276" w:lineRule="auto"/>
      </w:pPr>
    </w:p>
    <w:p w14:paraId="400A8E6D" w14:textId="7006C270" w:rsidR="00427ABA" w:rsidRDefault="00427ABA" w:rsidP="00DF096A">
      <w:pPr>
        <w:spacing w:after="200" w:line="276" w:lineRule="auto"/>
      </w:pPr>
    </w:p>
    <w:p w14:paraId="4E5E3088" w14:textId="58B6ED25" w:rsidR="00427ABA" w:rsidRDefault="00427ABA" w:rsidP="00DF096A">
      <w:pPr>
        <w:spacing w:after="200" w:line="276" w:lineRule="auto"/>
      </w:pPr>
    </w:p>
    <w:p w14:paraId="47F7CE6B" w14:textId="08B6BC29" w:rsidR="00427ABA" w:rsidRDefault="00427ABA" w:rsidP="00DF096A">
      <w:pPr>
        <w:spacing w:after="200" w:line="276" w:lineRule="auto"/>
      </w:pPr>
    </w:p>
    <w:p w14:paraId="655D29D7" w14:textId="421AF8BE" w:rsidR="00427ABA" w:rsidRDefault="00427ABA" w:rsidP="00DF096A">
      <w:pPr>
        <w:spacing w:after="200" w:line="276" w:lineRule="auto"/>
      </w:pPr>
    </w:p>
    <w:p w14:paraId="1FC5707C" w14:textId="74790841" w:rsidR="00427ABA" w:rsidRDefault="00427ABA" w:rsidP="00DF096A">
      <w:pPr>
        <w:spacing w:after="200" w:line="276" w:lineRule="auto"/>
      </w:pPr>
    </w:p>
    <w:p w14:paraId="71BE90CC" w14:textId="77777777" w:rsidR="00427ABA" w:rsidRDefault="00427ABA" w:rsidP="00DF096A">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C33CE" w:rsidRPr="00D2452D" w14:paraId="4CD4FD1D" w14:textId="77777777" w:rsidTr="00F22645">
        <w:trPr>
          <w:trHeight w:hRule="exact" w:val="340"/>
        </w:trPr>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527148EA" w14:textId="3C7F946B" w:rsidR="00427ABA" w:rsidRPr="00B84FEE" w:rsidRDefault="00C067BC" w:rsidP="00F22645">
            <w:pPr>
              <w:jc w:val="center"/>
              <w:rPr>
                <w:rFonts w:cstheme="minorHAnsi"/>
                <w:b/>
              </w:rPr>
            </w:pPr>
            <w:r>
              <w:rPr>
                <w:rFonts w:cstheme="minorHAnsi"/>
                <w:b/>
              </w:rPr>
              <w:t>Identifying acids</w:t>
            </w:r>
          </w:p>
        </w:tc>
        <w:tc>
          <w:tcPr>
            <w:tcW w:w="2789"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5F0718FD" w14:textId="2D9B7438" w:rsidR="00427ABA" w:rsidRPr="00B84FEE" w:rsidRDefault="00C067BC" w:rsidP="00F22645">
            <w:pPr>
              <w:jc w:val="center"/>
              <w:rPr>
                <w:rFonts w:cstheme="minorHAnsi"/>
                <w:b/>
              </w:rPr>
            </w:pPr>
            <w:r>
              <w:rPr>
                <w:rFonts w:cstheme="minorHAnsi"/>
                <w:b/>
              </w:rPr>
              <w:t xml:space="preserve">Identifying </w:t>
            </w:r>
            <w:r w:rsidR="00326F49">
              <w:rPr>
                <w:rFonts w:cstheme="minorHAnsi"/>
                <w:b/>
              </w:rPr>
              <w:t>alkalis</w:t>
            </w:r>
          </w:p>
        </w:tc>
        <w:tc>
          <w:tcPr>
            <w:tcW w:w="2790" w:type="dxa"/>
            <w:tcBorders>
              <w:top w:val="single" w:sz="4" w:space="0" w:color="auto"/>
              <w:left w:val="single" w:sz="4" w:space="0" w:color="auto"/>
              <w:bottom w:val="nil"/>
              <w:right w:val="single" w:sz="4" w:space="0" w:color="auto"/>
            </w:tcBorders>
            <w:shd w:val="clear" w:color="auto" w:fill="FDE9D9" w:themeFill="accent6" w:themeFillTint="33"/>
            <w:vAlign w:val="center"/>
          </w:tcPr>
          <w:p w14:paraId="2E5695E7" w14:textId="6CEDDBE9" w:rsidR="00427ABA" w:rsidRPr="00B84FEE" w:rsidRDefault="00397AD8" w:rsidP="00F22645">
            <w:pPr>
              <w:jc w:val="center"/>
              <w:rPr>
                <w:rFonts w:cstheme="minorHAnsi"/>
                <w:b/>
              </w:rPr>
            </w:pPr>
            <w:r>
              <w:rPr>
                <w:rFonts w:cstheme="minorHAnsi"/>
                <w:b/>
              </w:rPr>
              <w:t>Indicators</w:t>
            </w:r>
          </w:p>
        </w:tc>
        <w:tc>
          <w:tcPr>
            <w:tcW w:w="2790" w:type="dxa"/>
            <w:tcBorders>
              <w:left w:val="single" w:sz="4" w:space="0" w:color="auto"/>
              <w:bottom w:val="nil"/>
            </w:tcBorders>
            <w:shd w:val="clear" w:color="auto" w:fill="FDE9D9" w:themeFill="accent6" w:themeFillTint="33"/>
            <w:vAlign w:val="center"/>
          </w:tcPr>
          <w:p w14:paraId="4AC17949" w14:textId="0C7C7B8F" w:rsidR="00427ABA" w:rsidRPr="00AC1978" w:rsidRDefault="00DC33CE" w:rsidP="00F22645">
            <w:pPr>
              <w:jc w:val="center"/>
              <w:rPr>
                <w:rFonts w:cstheme="minorHAnsi"/>
                <w:b/>
              </w:rPr>
            </w:pPr>
            <w:r>
              <w:rPr>
                <w:rFonts w:cstheme="minorHAnsi"/>
                <w:b/>
              </w:rPr>
              <w:t>pH scale</w:t>
            </w:r>
          </w:p>
        </w:tc>
        <w:tc>
          <w:tcPr>
            <w:tcW w:w="2790" w:type="dxa"/>
            <w:tcBorders>
              <w:bottom w:val="nil"/>
            </w:tcBorders>
            <w:shd w:val="clear" w:color="auto" w:fill="FDE9D9" w:themeFill="accent6" w:themeFillTint="33"/>
            <w:vAlign w:val="center"/>
          </w:tcPr>
          <w:p w14:paraId="7B56D276" w14:textId="7DAE37E5" w:rsidR="00427ABA" w:rsidRPr="00AC1978" w:rsidRDefault="002C1F3C" w:rsidP="00F22645">
            <w:pPr>
              <w:jc w:val="center"/>
              <w:rPr>
                <w:rFonts w:cstheme="minorHAnsi"/>
                <w:b/>
              </w:rPr>
            </w:pPr>
            <w:r>
              <w:rPr>
                <w:rFonts w:cstheme="minorHAnsi"/>
                <w:b/>
              </w:rPr>
              <w:t>Comparing pH</w:t>
            </w:r>
          </w:p>
        </w:tc>
      </w:tr>
      <w:tr w:rsidR="002C1F3C" w14:paraId="342485FE" w14:textId="77777777" w:rsidTr="00F22645">
        <w:trPr>
          <w:trHeight w:hRule="exact" w:val="3515"/>
        </w:trPr>
        <w:tc>
          <w:tcPr>
            <w:tcW w:w="2789" w:type="dxa"/>
            <w:tcBorders>
              <w:top w:val="nil"/>
              <w:bottom w:val="nil"/>
            </w:tcBorders>
            <w:vAlign w:val="center"/>
          </w:tcPr>
          <w:p w14:paraId="21FF324E" w14:textId="4EF12BF0" w:rsidR="00427ABA" w:rsidRDefault="009D5FF2" w:rsidP="00F22645">
            <w:pPr>
              <w:jc w:val="center"/>
              <w:rPr>
                <w:b/>
                <w:color w:val="5F497A" w:themeColor="accent4" w:themeShade="BF"/>
                <w:sz w:val="24"/>
              </w:rPr>
            </w:pPr>
            <w:r>
              <w:rPr>
                <w:b/>
                <w:noProof/>
                <w:color w:val="5F497A" w:themeColor="accent4" w:themeShade="BF"/>
                <w:sz w:val="24"/>
                <w:lang w:eastAsia="en-GB"/>
              </w:rPr>
              <w:drawing>
                <wp:inline distT="0" distB="0" distL="0" distR="0" wp14:anchorId="152F7CEB" wp14:editId="6A006367">
                  <wp:extent cx="1526400" cy="2174400"/>
                  <wp:effectExtent l="19050" t="19050" r="17145" b="16510"/>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FCAE97.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6400" cy="2174400"/>
                          </a:xfrm>
                          <a:prstGeom prst="rect">
                            <a:avLst/>
                          </a:prstGeom>
                          <a:ln>
                            <a:solidFill>
                              <a:schemeClr val="tx1"/>
                            </a:solidFill>
                          </a:ln>
                        </pic:spPr>
                      </pic:pic>
                    </a:graphicData>
                  </a:graphic>
                </wp:inline>
              </w:drawing>
            </w:r>
          </w:p>
        </w:tc>
        <w:tc>
          <w:tcPr>
            <w:tcW w:w="2789" w:type="dxa"/>
            <w:tcBorders>
              <w:top w:val="nil"/>
              <w:bottom w:val="nil"/>
            </w:tcBorders>
            <w:vAlign w:val="center"/>
          </w:tcPr>
          <w:p w14:paraId="56399BF9" w14:textId="1D11620B" w:rsidR="00427ABA" w:rsidRDefault="00C067BC" w:rsidP="00F22645">
            <w:pPr>
              <w:jc w:val="center"/>
              <w:rPr>
                <w:b/>
                <w:color w:val="5F497A" w:themeColor="accent4" w:themeShade="BF"/>
                <w:sz w:val="24"/>
              </w:rPr>
            </w:pPr>
            <w:r>
              <w:rPr>
                <w:b/>
                <w:noProof/>
                <w:color w:val="5F497A" w:themeColor="accent4" w:themeShade="BF"/>
                <w:sz w:val="24"/>
                <w:lang w:eastAsia="en-GB"/>
              </w:rPr>
              <w:drawing>
                <wp:inline distT="0" distB="0" distL="0" distR="0" wp14:anchorId="3EEAFD5D" wp14:editId="75C04C9D">
                  <wp:extent cx="1497600" cy="2178000"/>
                  <wp:effectExtent l="19050" t="19050" r="26670" b="13335"/>
                  <wp:docPr id="20" name="Picture 2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8FC38E2.tmp"/>
                          <pic:cNvPicPr/>
                        </pic:nvPicPr>
                        <pic:blipFill>
                          <a:blip r:embed="rId9">
                            <a:extLst>
                              <a:ext uri="{28A0092B-C50C-407E-A947-70E740481C1C}">
                                <a14:useLocalDpi xmlns:a14="http://schemas.microsoft.com/office/drawing/2010/main" val="0"/>
                              </a:ext>
                            </a:extLst>
                          </a:blip>
                          <a:stretch>
                            <a:fillRect/>
                          </a:stretch>
                        </pic:blipFill>
                        <pic:spPr>
                          <a:xfrm>
                            <a:off x="0" y="0"/>
                            <a:ext cx="1497600" cy="2178000"/>
                          </a:xfrm>
                          <a:prstGeom prst="rect">
                            <a:avLst/>
                          </a:prstGeom>
                          <a:ln>
                            <a:solidFill>
                              <a:schemeClr val="tx1"/>
                            </a:solidFill>
                          </a:ln>
                        </pic:spPr>
                      </pic:pic>
                    </a:graphicData>
                  </a:graphic>
                </wp:inline>
              </w:drawing>
            </w:r>
          </w:p>
        </w:tc>
        <w:tc>
          <w:tcPr>
            <w:tcW w:w="2790" w:type="dxa"/>
            <w:tcBorders>
              <w:top w:val="nil"/>
              <w:bottom w:val="nil"/>
            </w:tcBorders>
            <w:vAlign w:val="center"/>
          </w:tcPr>
          <w:p w14:paraId="7B217DCA" w14:textId="71DC87DB" w:rsidR="00427ABA" w:rsidRDefault="00397AD8" w:rsidP="00F22645">
            <w:pPr>
              <w:jc w:val="center"/>
              <w:rPr>
                <w:b/>
                <w:color w:val="5F497A" w:themeColor="accent4" w:themeShade="BF"/>
                <w:sz w:val="24"/>
              </w:rPr>
            </w:pPr>
            <w:r>
              <w:rPr>
                <w:b/>
                <w:noProof/>
                <w:color w:val="5F497A" w:themeColor="accent4" w:themeShade="BF"/>
                <w:sz w:val="24"/>
                <w:lang w:eastAsia="en-GB"/>
              </w:rPr>
              <w:drawing>
                <wp:inline distT="0" distB="0" distL="0" distR="0" wp14:anchorId="3454D7F7" wp14:editId="1E0E4BC0">
                  <wp:extent cx="1537200" cy="2160000"/>
                  <wp:effectExtent l="19050" t="19050" r="25400" b="12065"/>
                  <wp:docPr id="22" name="Picture 2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8FCC1FD.tmp"/>
                          <pic:cNvPicPr/>
                        </pic:nvPicPr>
                        <pic:blipFill>
                          <a:blip r:embed="rId10">
                            <a:extLst>
                              <a:ext uri="{28A0092B-C50C-407E-A947-70E740481C1C}">
                                <a14:useLocalDpi xmlns:a14="http://schemas.microsoft.com/office/drawing/2010/main" val="0"/>
                              </a:ext>
                            </a:extLst>
                          </a:blip>
                          <a:stretch>
                            <a:fillRect/>
                          </a:stretch>
                        </pic:blipFill>
                        <pic:spPr>
                          <a:xfrm>
                            <a:off x="0" y="0"/>
                            <a:ext cx="1537200" cy="2160000"/>
                          </a:xfrm>
                          <a:prstGeom prst="rect">
                            <a:avLst/>
                          </a:prstGeom>
                          <a:ln>
                            <a:solidFill>
                              <a:schemeClr val="tx1"/>
                            </a:solidFill>
                          </a:ln>
                        </pic:spPr>
                      </pic:pic>
                    </a:graphicData>
                  </a:graphic>
                </wp:inline>
              </w:drawing>
            </w:r>
          </w:p>
        </w:tc>
        <w:tc>
          <w:tcPr>
            <w:tcW w:w="2790" w:type="dxa"/>
            <w:tcBorders>
              <w:top w:val="nil"/>
              <w:bottom w:val="nil"/>
            </w:tcBorders>
            <w:vAlign w:val="center"/>
          </w:tcPr>
          <w:p w14:paraId="4EE3A285" w14:textId="3630DDD5" w:rsidR="00427ABA" w:rsidRDefault="00DC33CE" w:rsidP="00F22645">
            <w:pPr>
              <w:jc w:val="center"/>
              <w:rPr>
                <w:b/>
                <w:color w:val="5F497A" w:themeColor="accent4" w:themeShade="BF"/>
                <w:sz w:val="24"/>
              </w:rPr>
            </w:pPr>
            <w:r>
              <w:rPr>
                <w:b/>
                <w:noProof/>
                <w:color w:val="5F497A" w:themeColor="accent4" w:themeShade="BF"/>
                <w:sz w:val="24"/>
                <w:lang w:eastAsia="en-GB"/>
              </w:rPr>
              <w:drawing>
                <wp:inline distT="0" distB="0" distL="0" distR="0" wp14:anchorId="0BBAF6A8" wp14:editId="7C961CC4">
                  <wp:extent cx="1504800" cy="2149200"/>
                  <wp:effectExtent l="19050" t="19050" r="19685" b="22860"/>
                  <wp:docPr id="23" name="Picture 2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8FCA363.tmp"/>
                          <pic:cNvPicPr/>
                        </pic:nvPicPr>
                        <pic:blipFill>
                          <a:blip r:embed="rId11">
                            <a:extLst>
                              <a:ext uri="{28A0092B-C50C-407E-A947-70E740481C1C}">
                                <a14:useLocalDpi xmlns:a14="http://schemas.microsoft.com/office/drawing/2010/main" val="0"/>
                              </a:ext>
                            </a:extLst>
                          </a:blip>
                          <a:stretch>
                            <a:fillRect/>
                          </a:stretch>
                        </pic:blipFill>
                        <pic:spPr>
                          <a:xfrm>
                            <a:off x="0" y="0"/>
                            <a:ext cx="1504800" cy="2149200"/>
                          </a:xfrm>
                          <a:prstGeom prst="rect">
                            <a:avLst/>
                          </a:prstGeom>
                          <a:ln>
                            <a:solidFill>
                              <a:schemeClr val="tx1"/>
                            </a:solidFill>
                          </a:ln>
                        </pic:spPr>
                      </pic:pic>
                    </a:graphicData>
                  </a:graphic>
                </wp:inline>
              </w:drawing>
            </w:r>
          </w:p>
        </w:tc>
        <w:tc>
          <w:tcPr>
            <w:tcW w:w="2790" w:type="dxa"/>
            <w:tcBorders>
              <w:top w:val="nil"/>
              <w:bottom w:val="nil"/>
            </w:tcBorders>
            <w:vAlign w:val="center"/>
          </w:tcPr>
          <w:p w14:paraId="0DDEB724" w14:textId="20F5B3F4" w:rsidR="00427ABA" w:rsidRDefault="002C1F3C" w:rsidP="00F22645">
            <w:pPr>
              <w:jc w:val="center"/>
              <w:rPr>
                <w:b/>
                <w:color w:val="5F497A" w:themeColor="accent4" w:themeShade="BF"/>
                <w:sz w:val="24"/>
              </w:rPr>
            </w:pPr>
            <w:r>
              <w:rPr>
                <w:b/>
                <w:noProof/>
                <w:color w:val="5F497A" w:themeColor="accent4" w:themeShade="BF"/>
                <w:sz w:val="24"/>
                <w:lang w:eastAsia="en-GB"/>
              </w:rPr>
              <w:drawing>
                <wp:inline distT="0" distB="0" distL="0" distR="0" wp14:anchorId="0D05626C" wp14:editId="6E097D6A">
                  <wp:extent cx="1544400" cy="2163600"/>
                  <wp:effectExtent l="19050" t="19050" r="17780" b="27305"/>
                  <wp:docPr id="25" name="Picture 2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8FCB1F9.tmp"/>
                          <pic:cNvPicPr/>
                        </pic:nvPicPr>
                        <pic:blipFill>
                          <a:blip r:embed="rId12">
                            <a:extLst>
                              <a:ext uri="{28A0092B-C50C-407E-A947-70E740481C1C}">
                                <a14:useLocalDpi xmlns:a14="http://schemas.microsoft.com/office/drawing/2010/main" val="0"/>
                              </a:ext>
                            </a:extLst>
                          </a:blip>
                          <a:stretch>
                            <a:fillRect/>
                          </a:stretch>
                        </pic:blipFill>
                        <pic:spPr>
                          <a:xfrm>
                            <a:off x="0" y="0"/>
                            <a:ext cx="1544400" cy="2163600"/>
                          </a:xfrm>
                          <a:prstGeom prst="rect">
                            <a:avLst/>
                          </a:prstGeom>
                          <a:ln>
                            <a:solidFill>
                              <a:schemeClr val="tx1"/>
                            </a:solidFill>
                          </a:ln>
                        </pic:spPr>
                      </pic:pic>
                    </a:graphicData>
                  </a:graphic>
                </wp:inline>
              </w:drawing>
            </w:r>
          </w:p>
        </w:tc>
      </w:tr>
      <w:tr w:rsidR="00DC33CE" w14:paraId="4662F528" w14:textId="77777777" w:rsidTr="00994912">
        <w:trPr>
          <w:trHeight w:hRule="exact" w:val="454"/>
        </w:trPr>
        <w:tc>
          <w:tcPr>
            <w:tcW w:w="2789" w:type="dxa"/>
            <w:tcBorders>
              <w:top w:val="nil"/>
              <w:bottom w:val="single" w:sz="4" w:space="0" w:color="auto"/>
            </w:tcBorders>
            <w:shd w:val="clear" w:color="auto" w:fill="FDE9D9" w:themeFill="accent6" w:themeFillTint="33"/>
            <w:vAlign w:val="center"/>
          </w:tcPr>
          <w:p w14:paraId="783537AA" w14:textId="0F044603" w:rsidR="00427ABA" w:rsidRPr="00EA6AA1" w:rsidRDefault="00C067BC" w:rsidP="00F22645">
            <w:pPr>
              <w:spacing w:after="120" w:line="276" w:lineRule="auto"/>
              <w:jc w:val="center"/>
            </w:pPr>
            <w:r>
              <w:t>Talking heads</w:t>
            </w:r>
          </w:p>
        </w:tc>
        <w:tc>
          <w:tcPr>
            <w:tcW w:w="2789" w:type="dxa"/>
            <w:tcBorders>
              <w:top w:val="nil"/>
              <w:bottom w:val="single" w:sz="4" w:space="0" w:color="auto"/>
            </w:tcBorders>
            <w:shd w:val="clear" w:color="auto" w:fill="FDE9D9" w:themeFill="accent6" w:themeFillTint="33"/>
            <w:vAlign w:val="center"/>
          </w:tcPr>
          <w:p w14:paraId="2CA55F28" w14:textId="07728DB7" w:rsidR="00427ABA" w:rsidRPr="00EA6AA1" w:rsidRDefault="00326F49" w:rsidP="00F22645">
            <w:pPr>
              <w:spacing w:after="120" w:line="276" w:lineRule="auto"/>
              <w:jc w:val="center"/>
            </w:pPr>
            <w:r>
              <w:t>Confidence grid</w:t>
            </w:r>
          </w:p>
        </w:tc>
        <w:tc>
          <w:tcPr>
            <w:tcW w:w="2790" w:type="dxa"/>
            <w:tcBorders>
              <w:top w:val="nil"/>
              <w:bottom w:val="single" w:sz="4" w:space="0" w:color="auto"/>
            </w:tcBorders>
            <w:shd w:val="clear" w:color="auto" w:fill="FDE9D9" w:themeFill="accent6" w:themeFillTint="33"/>
            <w:vAlign w:val="center"/>
          </w:tcPr>
          <w:p w14:paraId="5F4058AC" w14:textId="2247BD09" w:rsidR="00427ABA" w:rsidRPr="00EA6AA1" w:rsidRDefault="00397AD8" w:rsidP="00F22645">
            <w:pPr>
              <w:spacing w:after="120" w:line="276" w:lineRule="auto"/>
              <w:jc w:val="center"/>
            </w:pPr>
            <w:r>
              <w:t>Talking heads</w:t>
            </w:r>
          </w:p>
        </w:tc>
        <w:tc>
          <w:tcPr>
            <w:tcW w:w="2790" w:type="dxa"/>
            <w:tcBorders>
              <w:top w:val="nil"/>
              <w:bottom w:val="single" w:sz="4" w:space="0" w:color="auto"/>
            </w:tcBorders>
            <w:shd w:val="clear" w:color="auto" w:fill="FDE9D9" w:themeFill="accent6" w:themeFillTint="33"/>
            <w:vAlign w:val="center"/>
          </w:tcPr>
          <w:p w14:paraId="4296A1D7" w14:textId="2298E07B" w:rsidR="00427ABA" w:rsidRPr="00EA6AA1" w:rsidRDefault="00DC33CE" w:rsidP="00F22645">
            <w:pPr>
              <w:spacing w:after="120" w:line="276" w:lineRule="auto"/>
              <w:jc w:val="center"/>
            </w:pPr>
            <w:r>
              <w:t>Talking heads</w:t>
            </w:r>
          </w:p>
        </w:tc>
        <w:tc>
          <w:tcPr>
            <w:tcW w:w="2790" w:type="dxa"/>
            <w:tcBorders>
              <w:top w:val="nil"/>
              <w:bottom w:val="single" w:sz="4" w:space="0" w:color="auto"/>
            </w:tcBorders>
            <w:shd w:val="clear" w:color="auto" w:fill="FDE9D9" w:themeFill="accent6" w:themeFillTint="33"/>
            <w:vAlign w:val="center"/>
          </w:tcPr>
          <w:p w14:paraId="27CB8967" w14:textId="43C4A73E" w:rsidR="00427ABA" w:rsidRPr="00EA6AA1" w:rsidRDefault="002C1F3C" w:rsidP="00F22645">
            <w:pPr>
              <w:spacing w:after="120" w:line="276" w:lineRule="auto"/>
              <w:jc w:val="center"/>
            </w:pPr>
            <w:r>
              <w:t>Simple multiple choice</w:t>
            </w:r>
          </w:p>
        </w:tc>
      </w:tr>
      <w:tr w:rsidR="00DC33CE" w:rsidRPr="00D2452D" w14:paraId="773798F2" w14:textId="77777777" w:rsidTr="00994912">
        <w:trPr>
          <w:trHeight w:hRule="exact" w:val="340"/>
        </w:trPr>
        <w:tc>
          <w:tcPr>
            <w:tcW w:w="2789" w:type="dxa"/>
            <w:tcBorders>
              <w:bottom w:val="nil"/>
            </w:tcBorders>
            <w:shd w:val="clear" w:color="auto" w:fill="FABF8F" w:themeFill="accent6" w:themeFillTint="99"/>
            <w:vAlign w:val="center"/>
          </w:tcPr>
          <w:p w14:paraId="5D63D6F9" w14:textId="2E1C7B12" w:rsidR="00427ABA" w:rsidRPr="00B84FEE" w:rsidRDefault="00DC33CE" w:rsidP="00F22645">
            <w:pPr>
              <w:spacing w:line="276" w:lineRule="auto"/>
              <w:jc w:val="center"/>
              <w:rPr>
                <w:b/>
              </w:rPr>
            </w:pPr>
            <w:r w:rsidRPr="00C602E1">
              <w:rPr>
                <w:b/>
              </w:rPr>
              <w:t>Drain cleaner</w:t>
            </w:r>
          </w:p>
        </w:tc>
        <w:tc>
          <w:tcPr>
            <w:tcW w:w="2789" w:type="dxa"/>
            <w:tcBorders>
              <w:bottom w:val="nil"/>
            </w:tcBorders>
            <w:shd w:val="clear" w:color="auto" w:fill="FABF8F" w:themeFill="accent6" w:themeFillTint="99"/>
            <w:vAlign w:val="center"/>
          </w:tcPr>
          <w:p w14:paraId="5A3AE752" w14:textId="44287AB2" w:rsidR="00427ABA" w:rsidRPr="00AC1978" w:rsidRDefault="00DC33CE" w:rsidP="00F22645">
            <w:pPr>
              <w:jc w:val="center"/>
              <w:rPr>
                <w:rFonts w:cstheme="minorHAnsi"/>
                <w:b/>
              </w:rPr>
            </w:pPr>
            <w:r>
              <w:rPr>
                <w:rFonts w:cstheme="minorHAnsi"/>
                <w:b/>
              </w:rPr>
              <w:t>Which pH?</w:t>
            </w:r>
          </w:p>
        </w:tc>
        <w:tc>
          <w:tcPr>
            <w:tcW w:w="2790" w:type="dxa"/>
            <w:tcBorders>
              <w:bottom w:val="nil"/>
            </w:tcBorders>
            <w:shd w:val="clear" w:color="auto" w:fill="FABF8F" w:themeFill="accent6" w:themeFillTint="99"/>
            <w:vAlign w:val="center"/>
          </w:tcPr>
          <w:p w14:paraId="20C91EF7" w14:textId="6F320B7E" w:rsidR="00427ABA" w:rsidRPr="00D2452D" w:rsidRDefault="00AE1A2E" w:rsidP="00F22645">
            <w:pPr>
              <w:jc w:val="center"/>
              <w:rPr>
                <w:rFonts w:cstheme="minorHAnsi"/>
                <w:b/>
              </w:rPr>
            </w:pPr>
            <w:r>
              <w:rPr>
                <w:rFonts w:cstheme="minorHAnsi"/>
                <w:b/>
              </w:rPr>
              <w:t>Unusual scales</w:t>
            </w:r>
          </w:p>
        </w:tc>
        <w:tc>
          <w:tcPr>
            <w:tcW w:w="2790" w:type="dxa"/>
            <w:tcBorders>
              <w:bottom w:val="nil"/>
              <w:right w:val="nil"/>
            </w:tcBorders>
            <w:shd w:val="clear" w:color="auto" w:fill="auto"/>
            <w:vAlign w:val="center"/>
          </w:tcPr>
          <w:p w14:paraId="5EB5ABF7" w14:textId="77777777" w:rsidR="00427ABA" w:rsidRPr="00D2452D" w:rsidRDefault="00427ABA" w:rsidP="00F22645">
            <w:pPr>
              <w:jc w:val="center"/>
              <w:rPr>
                <w:rFonts w:cstheme="minorHAnsi"/>
                <w:b/>
              </w:rPr>
            </w:pPr>
          </w:p>
        </w:tc>
        <w:tc>
          <w:tcPr>
            <w:tcW w:w="2790" w:type="dxa"/>
            <w:tcBorders>
              <w:left w:val="nil"/>
              <w:bottom w:val="nil"/>
              <w:right w:val="nil"/>
            </w:tcBorders>
            <w:shd w:val="clear" w:color="auto" w:fill="auto"/>
            <w:vAlign w:val="center"/>
          </w:tcPr>
          <w:p w14:paraId="7A931272" w14:textId="77777777" w:rsidR="00427ABA" w:rsidRPr="00D2452D" w:rsidRDefault="00427ABA" w:rsidP="00F22645">
            <w:pPr>
              <w:jc w:val="center"/>
              <w:rPr>
                <w:rFonts w:cstheme="minorHAnsi"/>
                <w:b/>
              </w:rPr>
            </w:pPr>
          </w:p>
        </w:tc>
      </w:tr>
      <w:tr w:rsidR="002C1F3C" w14:paraId="243E8E1D" w14:textId="77777777" w:rsidTr="00994912">
        <w:trPr>
          <w:trHeight w:hRule="exact" w:val="3515"/>
        </w:trPr>
        <w:tc>
          <w:tcPr>
            <w:tcW w:w="2789" w:type="dxa"/>
            <w:tcBorders>
              <w:top w:val="nil"/>
              <w:bottom w:val="nil"/>
            </w:tcBorders>
            <w:vAlign w:val="center"/>
          </w:tcPr>
          <w:p w14:paraId="2AF36DBB" w14:textId="09586CBF" w:rsidR="00427ABA" w:rsidRPr="00FC1013" w:rsidRDefault="00C602E1" w:rsidP="00F22645">
            <w:pPr>
              <w:jc w:val="center"/>
            </w:pPr>
            <w:r>
              <w:rPr>
                <w:noProof/>
                <w:lang w:eastAsia="en-GB"/>
              </w:rPr>
              <w:drawing>
                <wp:inline distT="0" distB="0" distL="0" distR="0" wp14:anchorId="20508007" wp14:editId="4B29CA91">
                  <wp:extent cx="1530000" cy="2174400"/>
                  <wp:effectExtent l="19050" t="19050" r="13335" b="16510"/>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9C49FF7.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00" cy="2174400"/>
                          </a:xfrm>
                          <a:prstGeom prst="rect">
                            <a:avLst/>
                          </a:prstGeom>
                          <a:ln>
                            <a:solidFill>
                              <a:schemeClr val="tx1"/>
                            </a:solidFill>
                          </a:ln>
                        </pic:spPr>
                      </pic:pic>
                    </a:graphicData>
                  </a:graphic>
                </wp:inline>
              </w:drawing>
            </w:r>
          </w:p>
        </w:tc>
        <w:tc>
          <w:tcPr>
            <w:tcW w:w="2789" w:type="dxa"/>
            <w:tcBorders>
              <w:top w:val="nil"/>
              <w:bottom w:val="nil"/>
            </w:tcBorders>
            <w:vAlign w:val="center"/>
          </w:tcPr>
          <w:p w14:paraId="57C5757A" w14:textId="4B018F0A" w:rsidR="00427ABA" w:rsidRPr="00FC1013" w:rsidRDefault="00DC33CE" w:rsidP="00F22645">
            <w:pPr>
              <w:jc w:val="center"/>
            </w:pPr>
            <w:r>
              <w:rPr>
                <w:noProof/>
                <w:lang w:eastAsia="en-GB"/>
              </w:rPr>
              <w:drawing>
                <wp:inline distT="0" distB="0" distL="0" distR="0" wp14:anchorId="15D950AC" wp14:editId="2A93E7CA">
                  <wp:extent cx="1533600" cy="2174400"/>
                  <wp:effectExtent l="19050" t="19050" r="9525" b="16510"/>
                  <wp:docPr id="24" name="Picture 24"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8FC4407.tmp"/>
                          <pic:cNvPicPr/>
                        </pic:nvPicPr>
                        <pic:blipFill>
                          <a:blip r:embed="rId14">
                            <a:extLst>
                              <a:ext uri="{28A0092B-C50C-407E-A947-70E740481C1C}">
                                <a14:useLocalDpi xmlns:a14="http://schemas.microsoft.com/office/drawing/2010/main" val="0"/>
                              </a:ext>
                            </a:extLst>
                          </a:blip>
                          <a:stretch>
                            <a:fillRect/>
                          </a:stretch>
                        </pic:blipFill>
                        <pic:spPr>
                          <a:xfrm>
                            <a:off x="0" y="0"/>
                            <a:ext cx="1533600" cy="2174400"/>
                          </a:xfrm>
                          <a:prstGeom prst="rect">
                            <a:avLst/>
                          </a:prstGeom>
                          <a:ln>
                            <a:solidFill>
                              <a:schemeClr val="tx1"/>
                            </a:solidFill>
                          </a:ln>
                        </pic:spPr>
                      </pic:pic>
                    </a:graphicData>
                  </a:graphic>
                </wp:inline>
              </w:drawing>
            </w:r>
          </w:p>
        </w:tc>
        <w:tc>
          <w:tcPr>
            <w:tcW w:w="2790" w:type="dxa"/>
            <w:tcBorders>
              <w:top w:val="nil"/>
              <w:bottom w:val="nil"/>
            </w:tcBorders>
            <w:vAlign w:val="center"/>
          </w:tcPr>
          <w:p w14:paraId="4D389B4B" w14:textId="40F6F08C" w:rsidR="00427ABA" w:rsidRPr="00FC1013" w:rsidRDefault="00AE1A2E" w:rsidP="00F22645">
            <w:pPr>
              <w:jc w:val="center"/>
            </w:pPr>
            <w:r>
              <w:rPr>
                <w:noProof/>
                <w:lang w:eastAsia="en-GB"/>
              </w:rPr>
              <w:drawing>
                <wp:inline distT="0" distB="0" distL="0" distR="0" wp14:anchorId="5C76F603" wp14:editId="1FAE5AE6">
                  <wp:extent cx="1522800" cy="2170800"/>
                  <wp:effectExtent l="19050" t="19050" r="20320" b="20320"/>
                  <wp:docPr id="26" name="Picture 2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FCF150.tmp"/>
                          <pic:cNvPicPr/>
                        </pic:nvPicPr>
                        <pic:blipFill>
                          <a:blip r:embed="rId15">
                            <a:extLst>
                              <a:ext uri="{28A0092B-C50C-407E-A947-70E740481C1C}">
                                <a14:useLocalDpi xmlns:a14="http://schemas.microsoft.com/office/drawing/2010/main" val="0"/>
                              </a:ext>
                            </a:extLst>
                          </a:blip>
                          <a:stretch>
                            <a:fillRect/>
                          </a:stretch>
                        </pic:blipFill>
                        <pic:spPr>
                          <a:xfrm>
                            <a:off x="0" y="0"/>
                            <a:ext cx="1522800" cy="2170800"/>
                          </a:xfrm>
                          <a:prstGeom prst="rect">
                            <a:avLst/>
                          </a:prstGeom>
                          <a:ln>
                            <a:solidFill>
                              <a:schemeClr val="tx1"/>
                            </a:solidFill>
                          </a:ln>
                        </pic:spPr>
                      </pic:pic>
                    </a:graphicData>
                  </a:graphic>
                </wp:inline>
              </w:drawing>
            </w:r>
          </w:p>
        </w:tc>
        <w:tc>
          <w:tcPr>
            <w:tcW w:w="2790" w:type="dxa"/>
            <w:tcBorders>
              <w:top w:val="nil"/>
              <w:bottom w:val="nil"/>
              <w:right w:val="nil"/>
            </w:tcBorders>
            <w:shd w:val="clear" w:color="auto" w:fill="auto"/>
            <w:vAlign w:val="center"/>
          </w:tcPr>
          <w:p w14:paraId="0FAA5B26" w14:textId="77777777" w:rsidR="00427ABA" w:rsidRPr="00FC1013" w:rsidRDefault="00427ABA" w:rsidP="00F22645">
            <w:pPr>
              <w:jc w:val="center"/>
            </w:pPr>
          </w:p>
        </w:tc>
        <w:tc>
          <w:tcPr>
            <w:tcW w:w="2790" w:type="dxa"/>
            <w:tcBorders>
              <w:top w:val="nil"/>
              <w:left w:val="nil"/>
              <w:bottom w:val="nil"/>
              <w:right w:val="nil"/>
            </w:tcBorders>
            <w:shd w:val="clear" w:color="auto" w:fill="auto"/>
            <w:vAlign w:val="center"/>
          </w:tcPr>
          <w:p w14:paraId="15777E8C" w14:textId="77777777" w:rsidR="00427ABA" w:rsidRPr="00FC1013" w:rsidRDefault="00427ABA" w:rsidP="00F22645">
            <w:pPr>
              <w:jc w:val="center"/>
            </w:pPr>
            <w:bookmarkStart w:id="0" w:name="_GoBack"/>
            <w:bookmarkEnd w:id="0"/>
          </w:p>
        </w:tc>
      </w:tr>
      <w:tr w:rsidR="00DC33CE" w14:paraId="510279C7" w14:textId="77777777" w:rsidTr="00994912">
        <w:trPr>
          <w:trHeight w:hRule="exact" w:val="454"/>
        </w:trPr>
        <w:tc>
          <w:tcPr>
            <w:tcW w:w="2789" w:type="dxa"/>
            <w:tcBorders>
              <w:top w:val="nil"/>
            </w:tcBorders>
            <w:shd w:val="clear" w:color="auto" w:fill="FABF8F" w:themeFill="accent6" w:themeFillTint="99"/>
            <w:vAlign w:val="center"/>
          </w:tcPr>
          <w:p w14:paraId="0EDEAC6E" w14:textId="497076EC" w:rsidR="00427ABA" w:rsidRPr="00FC1013" w:rsidRDefault="00DC33CE" w:rsidP="00F22645">
            <w:pPr>
              <w:spacing w:after="120" w:line="276" w:lineRule="auto"/>
              <w:jc w:val="center"/>
            </w:pPr>
            <w:r>
              <w:t>Talking heads</w:t>
            </w:r>
          </w:p>
        </w:tc>
        <w:tc>
          <w:tcPr>
            <w:tcW w:w="2789" w:type="dxa"/>
            <w:tcBorders>
              <w:top w:val="nil"/>
            </w:tcBorders>
            <w:shd w:val="clear" w:color="auto" w:fill="FABF8F" w:themeFill="accent6" w:themeFillTint="99"/>
            <w:vAlign w:val="center"/>
          </w:tcPr>
          <w:p w14:paraId="0F89ACCA" w14:textId="5896564D" w:rsidR="00427ABA" w:rsidRPr="00FC1013" w:rsidRDefault="00DC33CE" w:rsidP="00F22645">
            <w:pPr>
              <w:spacing w:after="120" w:line="276" w:lineRule="auto"/>
              <w:jc w:val="center"/>
            </w:pPr>
            <w:r>
              <w:t>Application and practice</w:t>
            </w:r>
          </w:p>
        </w:tc>
        <w:tc>
          <w:tcPr>
            <w:tcW w:w="2790" w:type="dxa"/>
            <w:tcBorders>
              <w:top w:val="nil"/>
            </w:tcBorders>
            <w:shd w:val="clear" w:color="auto" w:fill="FABF8F" w:themeFill="accent6" w:themeFillTint="99"/>
            <w:vAlign w:val="center"/>
          </w:tcPr>
          <w:p w14:paraId="2FB67708" w14:textId="3BE1DEB6" w:rsidR="00427ABA" w:rsidRPr="00FC1013" w:rsidRDefault="00AE1A2E" w:rsidP="00F22645">
            <w:pPr>
              <w:spacing w:after="120" w:line="276" w:lineRule="auto"/>
              <w:jc w:val="center"/>
            </w:pPr>
            <w:r>
              <w:t>Clarifying- worked example</w:t>
            </w:r>
          </w:p>
        </w:tc>
        <w:tc>
          <w:tcPr>
            <w:tcW w:w="2790" w:type="dxa"/>
            <w:tcBorders>
              <w:top w:val="nil"/>
              <w:bottom w:val="nil"/>
              <w:right w:val="nil"/>
            </w:tcBorders>
            <w:shd w:val="clear" w:color="auto" w:fill="auto"/>
            <w:vAlign w:val="center"/>
          </w:tcPr>
          <w:p w14:paraId="060149D9" w14:textId="77777777" w:rsidR="00427ABA" w:rsidRPr="00FC1013" w:rsidRDefault="00427ABA" w:rsidP="00F22645">
            <w:pPr>
              <w:spacing w:after="120" w:line="276" w:lineRule="auto"/>
              <w:jc w:val="center"/>
            </w:pPr>
          </w:p>
        </w:tc>
        <w:tc>
          <w:tcPr>
            <w:tcW w:w="2790" w:type="dxa"/>
            <w:tcBorders>
              <w:top w:val="nil"/>
              <w:left w:val="nil"/>
              <w:bottom w:val="nil"/>
              <w:right w:val="nil"/>
            </w:tcBorders>
            <w:shd w:val="clear" w:color="auto" w:fill="auto"/>
            <w:vAlign w:val="center"/>
          </w:tcPr>
          <w:p w14:paraId="7A7AB86F" w14:textId="77777777" w:rsidR="00427ABA" w:rsidRPr="00FC1013" w:rsidRDefault="00427ABA" w:rsidP="00F22645">
            <w:pPr>
              <w:spacing w:after="120" w:line="276" w:lineRule="auto"/>
              <w:jc w:val="center"/>
            </w:pPr>
          </w:p>
        </w:tc>
      </w:tr>
    </w:tbl>
    <w:p w14:paraId="7511B272" w14:textId="569C0F30" w:rsidR="00DF096A" w:rsidRPr="00F928E4" w:rsidRDefault="00DF096A" w:rsidP="00DF096A">
      <w:pPr>
        <w:spacing w:after="200" w:line="276" w:lineRule="auto"/>
      </w:pPr>
      <w:r>
        <w:br w:type="page"/>
      </w:r>
    </w:p>
    <w:p w14:paraId="0FEDF9FF"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5D66CAE7" w14:textId="247C95DE" w:rsidR="007A04C1" w:rsidRDefault="007A04C1" w:rsidP="007A04C1">
      <w:pPr>
        <w:spacing w:after="180"/>
      </w:pPr>
      <w:bookmarkStart w:id="1" w:name="_Hlk10809869"/>
      <w:r>
        <w:t xml:space="preserve">Acids and alkalis are both types of aqueous solution with specific chemical properties. They are indistinguishable by observation as they form colourless solutions. The colour change of </w:t>
      </w:r>
      <w:r w:rsidR="0022524B">
        <w:t>litmus indicator may be used</w:t>
      </w:r>
      <w:r>
        <w:t xml:space="preserve"> to find out whether a solution is acidic or alkaline. </w:t>
      </w:r>
    </w:p>
    <w:p w14:paraId="4B82F8A1" w14:textId="77777777" w:rsidR="007A04C1" w:rsidRDefault="007A04C1" w:rsidP="007A04C1">
      <w:pPr>
        <w:spacing w:after="180"/>
      </w:pPr>
      <w:r>
        <w:t xml:space="preserve">The pH scale indicates how acid or alkaline a solution is. </w:t>
      </w:r>
    </w:p>
    <w:bookmarkEnd w:id="1"/>
    <w:p w14:paraId="0475732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3CB58B06" w14:textId="60BC0A5B" w:rsidR="008B046F" w:rsidRPr="008B046F" w:rsidRDefault="008B046F" w:rsidP="00C329A4">
      <w:pPr>
        <w:spacing w:after="180"/>
      </w:pPr>
      <w:r>
        <w:t xml:space="preserve">A variety of research </w:t>
      </w:r>
      <w:r w:rsidR="00F51DA3">
        <w:t>reveals</w:t>
      </w:r>
      <w:r>
        <w:t xml:space="preserve"> student misunderstandings about the pH scale, including that it is as measure of acidity</w:t>
      </w:r>
      <w:r w:rsidR="00520495">
        <w:t xml:space="preserve"> only</w:t>
      </w:r>
      <w:r>
        <w:t xml:space="preserve"> </w:t>
      </w:r>
      <w:r>
        <w:fldChar w:fldCharType="begin"/>
      </w:r>
      <w:r>
        <w:instrText xml:space="preserve"> ADDIN EN.CITE &lt;EndNote&gt;&lt;Cite&gt;&lt;Author&gt;Cros&lt;/Author&gt;&lt;Year&gt;1986&lt;/Year&gt;&lt;IDText&gt;Conceptions of first-year university students of the constituents of matter and the motions of acids and bases&lt;/IDText&gt;&lt;DisplayText&gt;(Cros et al., 1986)&lt;/DisplayText&gt;&lt;record&gt;&lt;titles&gt;&lt;title&gt;Conceptions of first-year university students of the constituents of matter and the motions of acids and bases&lt;/title&gt;&lt;secondary-title&gt;European Journal of Science Education&lt;/secondary-title&gt;&lt;/titles&gt;&lt;pages&gt;305-313&lt;/pages&gt;&lt;number&gt;3&lt;/number&gt;&lt;contributors&gt;&lt;authors&gt;&lt;author&gt;Cros, Dani éle&lt;/author&gt;&lt;author&gt;Maurin, Maurice&lt;/author&gt;&lt;author&gt;Amouroux, Roger&lt;/author&gt;&lt;author&gt;Chastrette, Maurice&lt;/author&gt;&lt;author&gt;Leber, Jacques&lt;/author&gt;&lt;author&gt;Fayol, Michel&lt;/author&gt;&lt;/authors&gt;&lt;/contributors&gt;&lt;added-date format="utc"&gt;1558597699&lt;/added-date&gt;&lt;ref-type name="Journal Article"&gt;17&lt;/ref-type&gt;&lt;dates&gt;&lt;year&gt;1986&lt;/year&gt;&lt;/dates&gt;&lt;rec-number&gt;58&lt;/rec-number&gt;&lt;last-updated-date format="utc"&gt;1558597967&lt;/last-updated-date&gt;&lt;volume&gt;8&lt;/volume&gt;&lt;/record&gt;&lt;/Cite&gt;&lt;/EndNote&gt;</w:instrText>
      </w:r>
      <w:r>
        <w:fldChar w:fldCharType="separate"/>
      </w:r>
      <w:r>
        <w:rPr>
          <w:noProof/>
        </w:rPr>
        <w:t>(Cros et al., 1986)</w:t>
      </w:r>
      <w:r>
        <w:fldChar w:fldCharType="end"/>
      </w:r>
      <w:r>
        <w:t xml:space="preserve"> </w:t>
      </w:r>
      <w:r w:rsidR="0042727C">
        <w:t xml:space="preserve">and that it is linear (pH 1 being two times and not </w:t>
      </w:r>
      <w:r w:rsidR="00F51DA3">
        <w:t xml:space="preserve">ten </w:t>
      </w:r>
      <w:r w:rsidR="0042727C">
        <w:t>times as acidic as pH2)</w:t>
      </w:r>
      <w:r w:rsidR="0042727C" w:rsidRPr="0042727C">
        <w:t xml:space="preserve"> </w:t>
      </w:r>
      <w:r w:rsidR="0042727C">
        <w:fldChar w:fldCharType="begin"/>
      </w:r>
      <w:r w:rsidR="0042727C">
        <w:instrText xml:space="preserve"> ADDIN EN.CITE &lt;EndNote&gt;&lt;Cite&gt;&lt;Author&gt;Sheppard&lt;/Author&gt;&lt;Year&gt;2006&lt;/Year&gt;&lt;IDText&gt;High school students&amp;apos; understanding of titrations and related acid-base phenomena&lt;/IDText&gt;&lt;DisplayText&gt;(Sheppard, 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rsidR="0042727C">
        <w:fldChar w:fldCharType="separate"/>
      </w:r>
      <w:r w:rsidR="0042727C">
        <w:rPr>
          <w:noProof/>
        </w:rPr>
        <w:t>(Sheppard, 2006)</w:t>
      </w:r>
      <w:r w:rsidR="0042727C">
        <w:fldChar w:fldCharType="end"/>
      </w:r>
      <w:r>
        <w:t>. Lack of familiarity with alkalis was another problem area for some students</w:t>
      </w:r>
      <w:r w:rsidR="00520495">
        <w:t xml:space="preserve"> with </w:t>
      </w:r>
      <w:r w:rsidRPr="008B046F">
        <w:t xml:space="preserve">Cros et al </w:t>
      </w:r>
      <w:r>
        <w:fldChar w:fldCharType="begin"/>
      </w:r>
      <w:r w:rsidRPr="008B046F">
        <w:instrText xml:space="preserve"> ADDIN EN.CITE &lt;EndNote&gt;&lt;Cite ExcludeAuth="1"&gt;&lt;Author&gt;Cros&lt;/Author&gt;&lt;Year&gt;1986&lt;/Year&gt;&lt;IDText&gt;Conceptions of first-year university students of the constituents of matter and the motions of acids and bases&lt;/IDText&gt;&lt;DisplayText&gt;(1986)&lt;/DisplayText&gt;&lt;record&gt;&lt;titles&gt;&lt;title&gt;Conceptions of first-year university students of the constituents of matter and the motions of acids and bases&lt;/title&gt;&lt;secondary-title&gt;European Journal of Science Education&lt;/secondary-title&gt;&lt;/titles&gt;&lt;pages&gt;305-313&lt;/pages&gt;&lt;number&gt;3&lt;/number&gt;&lt;contributors&gt;&lt;authors&gt;&lt;author&gt;Cros, Dani éle&lt;/author&gt;&lt;author&gt;Maurin, Maurice&lt;/author&gt;&lt;author&gt;Amouroux, Roger&lt;/author&gt;&lt;author&gt;Chastrette, Maurice&lt;/author&gt;&lt;author&gt;Leber, Jacques&lt;/author&gt;&lt;author&gt;Fayol, Michel&lt;/author&gt;&lt;/authors&gt;&lt;/contributors&gt;&lt;added-date format="utc"&gt;1558597699&lt;/added-date&gt;&lt;ref-type name="Journal Article"&gt;17&lt;/ref-type&gt;&lt;dates&gt;&lt;year&gt;1986&lt;/year&gt;&lt;/dates&gt;&lt;rec-number&gt;58&lt;/rec-number&gt;&lt;last-updated-date format="utc"&gt;1558597967&lt;/last-updated-date&gt;&lt;volume&gt;8&lt;/volume&gt;&lt;/record&gt;&lt;/Cite&gt;&lt;/EndNote&gt;</w:instrText>
      </w:r>
      <w:r>
        <w:fldChar w:fldCharType="separate"/>
      </w:r>
      <w:r w:rsidRPr="008B046F">
        <w:rPr>
          <w:noProof/>
        </w:rPr>
        <w:t>(1986)</w:t>
      </w:r>
      <w:r>
        <w:fldChar w:fldCharType="end"/>
      </w:r>
      <w:r>
        <w:t xml:space="preserve"> </w:t>
      </w:r>
      <w:r w:rsidR="00520495">
        <w:t>finding</w:t>
      </w:r>
      <w:r>
        <w:t xml:space="preserve"> that even in the first year of university students could name more acids than alkalis.</w:t>
      </w:r>
    </w:p>
    <w:p w14:paraId="4EB8E7F9" w14:textId="7A37595E" w:rsidR="008B046F" w:rsidRDefault="00942904" w:rsidP="008B046F">
      <w:pPr>
        <w:spacing w:after="180"/>
      </w:pPr>
      <w:r>
        <w:t xml:space="preserve">Driver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(1994)</w:t>
      </w:r>
      <w:r>
        <w:fldChar w:fldCharType="end"/>
      </w:r>
      <w:r>
        <w:t xml:space="preserve"> reports</w:t>
      </w:r>
      <w:r w:rsidR="00012FEF">
        <w:t xml:space="preserve"> research that found that</w:t>
      </w:r>
      <w:r>
        <w:t xml:space="preserve"> initially students’ perceptions of acids often arise from their own sensory experiences or what they hear or read in the media. </w:t>
      </w:r>
      <w:r w:rsidR="00AB18BB">
        <w:t xml:space="preserve">The opening of the progression </w:t>
      </w:r>
      <w:r>
        <w:t>therefore aims to find out more about</w:t>
      </w:r>
      <w:r w:rsidR="00AB18BB">
        <w:t xml:space="preserve"> students’ </w:t>
      </w:r>
      <w:r w:rsidR="00F51DA3">
        <w:t xml:space="preserve">existing </w:t>
      </w:r>
      <w:r w:rsidR="00AB18BB">
        <w:t xml:space="preserve">familiarity with acids and alkalis. </w:t>
      </w:r>
    </w:p>
    <w:p w14:paraId="0AE78B45" w14:textId="25B83EB5" w:rsidR="00942904" w:rsidRDefault="00520495" w:rsidP="00C329A4">
      <w:pPr>
        <w:spacing w:after="180"/>
      </w:pPr>
      <w:r>
        <w:t>A major</w:t>
      </w:r>
      <w:r w:rsidR="00314996">
        <w:t xml:space="preserve"> student</w:t>
      </w:r>
      <w:r>
        <w:t xml:space="preserve"> </w:t>
      </w:r>
      <w:r w:rsidR="00942904">
        <w:t>conception found</w:t>
      </w:r>
      <w:r w:rsidR="00314996">
        <w:t xml:space="preserve"> by Hand and Treagust </w:t>
      </w:r>
      <w:r w:rsidR="00314996">
        <w:fldChar w:fldCharType="begin"/>
      </w:r>
      <w:r w:rsidR="0042727C">
        <w:instrText xml:space="preserve"> ADDIN EN.CITE &lt;EndNote&gt;&lt;Cite ExcludeAuth="1"&gt;&lt;Author&gt;Hand&lt;/Author&gt;&lt;Year&gt;1989&lt;/Year&gt;&lt;IDText&gt;Application of a conceptual conflict teaching strategy to enhance student learning of acids and bases.&lt;/IDText&gt;&lt;DisplayText&gt;(1989)&lt;/DisplayText&gt;&lt;record&gt;&lt;titles&gt;&lt;title&gt;Application of a conceptual conflict teaching strategy to enhance student learning of acids and bases.&lt;/title&gt;&lt;secondary-title&gt;Research in Science Education&lt;/secondary-title&gt;&lt;/titles&gt;&lt;pages&gt;133-144&lt;/pages&gt;&lt;contributors&gt;&lt;authors&gt;&lt;author&gt;Hand, B.&lt;/author&gt;&lt;author&gt;Treagust, D.F.&lt;/author&gt;&lt;/authors&gt;&lt;/contributors&gt;&lt;added-date format="utc"&gt;1557829133&lt;/added-date&gt;&lt;ref-type name="Journal Article"&gt;17&lt;/ref-type&gt;&lt;dates&gt;&lt;year&gt;1989&lt;/year&gt;&lt;/dates&gt;&lt;rec-number&gt;51&lt;/rec-number&gt;&lt;last-updated-date format="utc"&gt;1557829204&lt;/last-updated-date&gt;&lt;volume&gt;19&lt;/volume&gt;&lt;/record&gt;&lt;/Cite&gt;&lt;/EndNote&gt;</w:instrText>
      </w:r>
      <w:r w:rsidR="00314996">
        <w:fldChar w:fldCharType="separate"/>
      </w:r>
      <w:r w:rsidR="0042727C">
        <w:rPr>
          <w:noProof/>
        </w:rPr>
        <w:t>(1989)</w:t>
      </w:r>
      <w:r w:rsidR="00314996">
        <w:fldChar w:fldCharType="end"/>
      </w:r>
      <w:r>
        <w:t xml:space="preserve"> was that ‘acids eat materials away’. This may explain another widely held idea, that the only way to test whether a solution is acidic is to find out if it will eat something away. For this reason</w:t>
      </w:r>
      <w:r w:rsidR="00942904">
        <w:t>,</w:t>
      </w:r>
      <w:r>
        <w:t xml:space="preserve"> the use of litmus indicator features from the outset</w:t>
      </w:r>
      <w:r w:rsidR="0042727C">
        <w:t xml:space="preserve"> </w:t>
      </w:r>
      <w:r w:rsidR="00942904">
        <w:t>in the progression. This is followed by a check for common misunderstandings relating to indicators such as</w:t>
      </w:r>
      <w:r w:rsidR="00F51DA3">
        <w:t xml:space="preserve"> ‘all indicators change colour at pH 7’ and</w:t>
      </w:r>
      <w:r w:rsidR="00942904">
        <w:t xml:space="preserve"> </w:t>
      </w:r>
      <w:r w:rsidR="00F51DA3">
        <w:t>‘</w:t>
      </w:r>
      <w:r w:rsidR="00942904">
        <w:t xml:space="preserve">the colour </w:t>
      </w:r>
      <w:r w:rsidR="00F51DA3">
        <w:t xml:space="preserve">comes </w:t>
      </w:r>
      <w:r w:rsidR="00942904">
        <w:t xml:space="preserve">from </w:t>
      </w:r>
      <w:r w:rsidR="00F51DA3">
        <w:t>the acid or alkali and not the indicator’.</w:t>
      </w:r>
      <w:r w:rsidR="00942904">
        <w:t xml:space="preserve"> </w:t>
      </w:r>
      <w:r w:rsidR="00942904">
        <w:fldChar w:fldCharType="begin"/>
      </w:r>
      <w:r w:rsidR="00942904">
        <w:instrText xml:space="preserve"> ADDIN EN.CITE &lt;EndNote&gt;&lt;Cite&gt;&lt;Author&gt;Nakhleh&lt;/Author&gt;&lt;Year&gt;1994&lt;/Year&gt;&lt;IDText&gt;Influence of levels of information as presented by different technologies on students&amp;apos; understanding of acid, base and pH concepts&lt;/IDText&gt;&lt;DisplayText&gt;(Nakhleh and Krajcik, 1994)&lt;/DisplayText&gt;&lt;record&gt;&lt;titles&gt;&lt;title&gt;Influence of levels of information as presented by different technologies on students&amp;apos; understanding of acid, base and pH concepts&lt;/title&gt;&lt;secondary-title&gt;Journal of Research in Science Teaching&lt;/secondary-title&gt;&lt;/titles&gt;&lt;pages&gt;1077-1096&lt;/pages&gt;&lt;number&gt;10&lt;/number&gt;&lt;contributors&gt;&lt;authors&gt;&lt;author&gt;Nakhleh, M.B.&lt;/author&gt;&lt;author&gt;Krajcik, J.S.&lt;/author&gt;&lt;/authors&gt;&lt;/contributors&gt;&lt;added-date format="utc"&gt;1558598715&lt;/added-date&gt;&lt;ref-type name="Journal Article"&gt;17&lt;/ref-type&gt;&lt;dates&gt;&lt;year&gt;1994&lt;/year&gt;&lt;/dates&gt;&lt;rec-number&gt;60&lt;/rec-number&gt;&lt;last-updated-date format="utc"&gt;1558599181&lt;/last-updated-date&gt;&lt;volume&gt;31&lt;/volume&gt;&lt;/record&gt;&lt;/Cite&gt;&lt;/EndNote&gt;</w:instrText>
      </w:r>
      <w:r w:rsidR="00942904">
        <w:fldChar w:fldCharType="separate"/>
      </w:r>
      <w:r w:rsidR="00942904">
        <w:rPr>
          <w:noProof/>
        </w:rPr>
        <w:t>(Nakhleh and Krajcik, 1994)</w:t>
      </w:r>
      <w:r w:rsidR="00942904">
        <w:fldChar w:fldCharType="end"/>
      </w:r>
      <w:r w:rsidR="00942904">
        <w:t>.</w:t>
      </w:r>
    </w:p>
    <w:p w14:paraId="3FBA55D7" w14:textId="02586419" w:rsidR="00C329A4" w:rsidRDefault="0042727C" w:rsidP="00C329A4">
      <w:pPr>
        <w:spacing w:after="180"/>
      </w:pPr>
      <w:r>
        <w:t xml:space="preserve">The progression ends </w:t>
      </w:r>
      <w:r w:rsidR="00942904">
        <w:t xml:space="preserve">by </w:t>
      </w:r>
      <w:r>
        <w:t>checking</w:t>
      </w:r>
      <w:r w:rsidR="00942904">
        <w:t xml:space="preserve"> both qualitative and quantitative</w:t>
      </w:r>
      <w:r>
        <w:t xml:space="preserve"> understanding of the pH scale in terms of the relative acidity and alkalinity of different pH numbers</w:t>
      </w:r>
      <w:r w:rsidR="00942904">
        <w:t>.</w:t>
      </w:r>
    </w:p>
    <w:p w14:paraId="6A7BED66"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6DBC6045" w14:textId="4C40F0B4" w:rsidR="002E4AA1" w:rsidRDefault="002E4AA1" w:rsidP="002E4AA1">
      <w:pPr>
        <w:spacing w:after="180"/>
      </w:pPr>
      <w:r>
        <w:t xml:space="preserve">The challenge in early teaching about the pH scale is that ideas relating to hydrogen ion concentration, strong and weak acids and logarithmic scales are not introduced until much later so the topic must be simplified. </w:t>
      </w:r>
      <w:r w:rsidR="00942904">
        <w:t>Some</w:t>
      </w:r>
      <w:r>
        <w:t xml:space="preserve"> misunderstandings revealed by the research may be linked with student recollection of their earl</w:t>
      </w:r>
      <w:r w:rsidR="00221BA4">
        <w:t xml:space="preserve">y experiences of </w:t>
      </w:r>
      <w:r>
        <w:t xml:space="preserve">the topic so care must be taken to minimise the introduction of later misconceptions. </w:t>
      </w:r>
    </w:p>
    <w:p w14:paraId="2F4F4928" w14:textId="7946796B" w:rsidR="00FB1FF6" w:rsidRDefault="002E4AA1" w:rsidP="00FB1FF6">
      <w:pPr>
        <w:spacing w:after="180"/>
      </w:pPr>
      <w:r>
        <w:t xml:space="preserve">This </w:t>
      </w:r>
      <w:r w:rsidR="00221BA4">
        <w:t>key concept</w:t>
      </w:r>
      <w:r>
        <w:t xml:space="preserve"> suggests possible uses of language to help with this. For example</w:t>
      </w:r>
      <w:r w:rsidR="00221BA4">
        <w:t>,</w:t>
      </w:r>
      <w:r>
        <w:t xml:space="preserve"> pH is described as being more acidic than pH 2 (not as being a stronger acid than pH 2). The use of litmus indicator to distinguish acids from alkalis is made clear rather than a generic use of the word indicator</w:t>
      </w:r>
      <w:r w:rsidR="00221BA4">
        <w:t xml:space="preserve"> because indicators that students may meet later do not necessarily change colour at pH 7.</w:t>
      </w:r>
    </w:p>
    <w:p w14:paraId="1FACEE57" w14:textId="25A2F1FD" w:rsidR="00221BA4" w:rsidRDefault="00221BA4" w:rsidP="00FB1FF6">
      <w:pPr>
        <w:spacing w:after="180"/>
      </w:pPr>
      <w:r>
        <w:t xml:space="preserve">Although the idea of logarithms is unlikely to be introduced in mathematics until a much older age students may still be made aware that the pH scale is not linear and that pH1 is actually ten times as acidic as pH2. </w:t>
      </w:r>
      <w:r w:rsidR="00942904">
        <w:t>The response activity ‘Unusual scales’ may be used to support this.</w:t>
      </w:r>
    </w:p>
    <w:p w14:paraId="0FB65AFA" w14:textId="77777777" w:rsidR="00FB1FF6" w:rsidRPr="00CB1740" w:rsidRDefault="00FB1FF6" w:rsidP="00FB1FF6">
      <w:pPr>
        <w:spacing w:after="180"/>
        <w:rPr>
          <w:b/>
          <w:color w:val="E36C0A" w:themeColor="accent6" w:themeShade="BF"/>
          <w:sz w:val="24"/>
          <w:lang w:val="fr-FR"/>
        </w:rPr>
      </w:pPr>
      <w:r w:rsidRPr="00CB1740">
        <w:rPr>
          <w:b/>
          <w:color w:val="E36C0A" w:themeColor="accent6" w:themeShade="BF"/>
          <w:sz w:val="24"/>
          <w:lang w:val="fr-FR"/>
        </w:rPr>
        <w:t>References</w:t>
      </w:r>
    </w:p>
    <w:p w14:paraId="384C0211" w14:textId="77777777" w:rsidR="00942904" w:rsidRPr="00942904" w:rsidRDefault="00AB18BB" w:rsidP="00942904">
      <w:pPr>
        <w:pStyle w:val="EndNoteBibliography"/>
      </w:pPr>
      <w:r>
        <w:fldChar w:fldCharType="begin"/>
      </w:r>
      <w:r w:rsidRPr="00221BA4">
        <w:rPr>
          <w:lang w:val="fr-FR"/>
        </w:rPr>
        <w:instrText xml:space="preserve"> ADDIN EN.REFLIST </w:instrText>
      </w:r>
      <w:r>
        <w:fldChar w:fldCharType="separate"/>
      </w:r>
      <w:r w:rsidR="00942904" w:rsidRPr="00CB1740">
        <w:rPr>
          <w:lang w:val="fr-FR"/>
        </w:rPr>
        <w:t xml:space="preserve">Cros, D. é., et al. </w:t>
      </w:r>
      <w:r w:rsidR="00942904" w:rsidRPr="00942904">
        <w:t xml:space="preserve">(1986). Conceptions of first-year university students of the constituents of matter and the motions of acids and bases. </w:t>
      </w:r>
      <w:r w:rsidR="00942904" w:rsidRPr="00942904">
        <w:rPr>
          <w:i/>
        </w:rPr>
        <w:t>European Journal of Science Education,</w:t>
      </w:r>
      <w:r w:rsidR="00942904" w:rsidRPr="00942904">
        <w:t xml:space="preserve"> 8(3)</w:t>
      </w:r>
      <w:r w:rsidR="00942904" w:rsidRPr="00942904">
        <w:rPr>
          <w:b/>
        </w:rPr>
        <w:t>,</w:t>
      </w:r>
      <w:r w:rsidR="00942904" w:rsidRPr="00942904">
        <w:t xml:space="preserve"> 305-313.</w:t>
      </w:r>
    </w:p>
    <w:p w14:paraId="026A4DEC" w14:textId="77777777" w:rsidR="00942904" w:rsidRPr="00942904" w:rsidRDefault="00942904" w:rsidP="00942904">
      <w:pPr>
        <w:pStyle w:val="EndNoteBibliography"/>
      </w:pPr>
      <w:r w:rsidRPr="00942904">
        <w:t xml:space="preserve">Driver, R., et al. (1994). </w:t>
      </w:r>
      <w:r w:rsidRPr="00942904">
        <w:rPr>
          <w:i/>
        </w:rPr>
        <w:t xml:space="preserve">Making Sense of Secondary Science: Research into Children's Ideas, </w:t>
      </w:r>
      <w:r w:rsidRPr="00942904">
        <w:t>London, UK: Routledge.</w:t>
      </w:r>
    </w:p>
    <w:p w14:paraId="725AA00A" w14:textId="77777777" w:rsidR="00942904" w:rsidRPr="00942904" w:rsidRDefault="00942904" w:rsidP="00942904">
      <w:pPr>
        <w:pStyle w:val="EndNoteBibliography"/>
      </w:pPr>
      <w:r w:rsidRPr="00942904">
        <w:t xml:space="preserve">Hand, B. and Treagust, D. F. (1989). Application of a conceptual conflict teaching strategy to enhance student learning of acids and bases. </w:t>
      </w:r>
      <w:r w:rsidRPr="00942904">
        <w:rPr>
          <w:i/>
        </w:rPr>
        <w:t>Research in Science Education,</w:t>
      </w:r>
      <w:r w:rsidRPr="00942904">
        <w:t xml:space="preserve"> 19</w:t>
      </w:r>
      <w:r w:rsidRPr="00942904">
        <w:rPr>
          <w:b/>
        </w:rPr>
        <w:t>,</w:t>
      </w:r>
      <w:r w:rsidRPr="00942904">
        <w:t xml:space="preserve"> 133-144.</w:t>
      </w:r>
    </w:p>
    <w:p w14:paraId="1D516C31" w14:textId="77777777" w:rsidR="00942904" w:rsidRPr="00942904" w:rsidRDefault="00942904" w:rsidP="00942904">
      <w:pPr>
        <w:pStyle w:val="EndNoteBibliography"/>
      </w:pPr>
      <w:r w:rsidRPr="00942904">
        <w:t xml:space="preserve">Nakhleh, M. B. and Krajcik, J. S. (1994). Influence of levels of information as presented by different technologies on students' understanding of acid, base and pH concepts. </w:t>
      </w:r>
      <w:r w:rsidRPr="00942904">
        <w:rPr>
          <w:i/>
        </w:rPr>
        <w:t>Journal of Research in Science Teaching,</w:t>
      </w:r>
      <w:r w:rsidRPr="00942904">
        <w:t xml:space="preserve"> 31(10)</w:t>
      </w:r>
      <w:r w:rsidRPr="00942904">
        <w:rPr>
          <w:b/>
        </w:rPr>
        <w:t>,</w:t>
      </w:r>
      <w:r w:rsidRPr="00942904">
        <w:t xml:space="preserve"> 1077-1096.</w:t>
      </w:r>
    </w:p>
    <w:p w14:paraId="019A85CC" w14:textId="77777777" w:rsidR="00942904" w:rsidRPr="00942904" w:rsidRDefault="00942904" w:rsidP="00942904">
      <w:pPr>
        <w:pStyle w:val="EndNoteBibliography"/>
      </w:pPr>
      <w:r w:rsidRPr="00942904">
        <w:t xml:space="preserve">Sheppard, K. (2006). High school students' understanding of titrations and related acid-base phenomena. </w:t>
      </w:r>
      <w:r w:rsidRPr="00942904">
        <w:rPr>
          <w:i/>
        </w:rPr>
        <w:t>Chemistry Education Research and Practice,</w:t>
      </w:r>
      <w:r w:rsidRPr="00942904">
        <w:t xml:space="preserve"> 7(1)</w:t>
      </w:r>
      <w:r w:rsidRPr="00942904">
        <w:rPr>
          <w:b/>
        </w:rPr>
        <w:t>,</w:t>
      </w:r>
      <w:r w:rsidRPr="00942904">
        <w:t xml:space="preserve"> 32-45.</w:t>
      </w:r>
    </w:p>
    <w:p w14:paraId="61CCDB52" w14:textId="2545CB71" w:rsidR="00D43788" w:rsidRDefault="00AB18BB" w:rsidP="00AE5FB7">
      <w:pPr>
        <w:spacing w:after="200" w:line="276" w:lineRule="auto"/>
      </w:pPr>
      <w:r>
        <w:fldChar w:fldCharType="end"/>
      </w:r>
    </w:p>
    <w:sectPr w:rsidR="00D43788" w:rsidSect="00F34FD0">
      <w:headerReference w:type="default" r:id="rId16"/>
      <w:footerReference w:type="default" r:id="rId17"/>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E9CC5" w14:textId="77777777" w:rsidR="00633E93" w:rsidRDefault="00633E93" w:rsidP="000B473B">
      <w:r>
        <w:separator/>
      </w:r>
    </w:p>
  </w:endnote>
  <w:endnote w:type="continuationSeparator" w:id="0">
    <w:p w14:paraId="29B5B321" w14:textId="77777777" w:rsidR="00633E93" w:rsidRDefault="00633E9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AB1B6" w14:textId="5F01DE19"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6F736034" wp14:editId="383E8FBF">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3FBB1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94912">
      <w:rPr>
        <w:noProof/>
      </w:rPr>
      <w:t>5</w:t>
    </w:r>
    <w:r>
      <w:rPr>
        <w:noProof/>
      </w:rPr>
      <w:fldChar w:fldCharType="end"/>
    </w:r>
  </w:p>
  <w:p w14:paraId="03405D60"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574ADF93"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EB3BD" w14:textId="77777777" w:rsidR="00633E93" w:rsidRDefault="00633E93" w:rsidP="000B473B">
      <w:r>
        <w:separator/>
      </w:r>
    </w:p>
  </w:footnote>
  <w:footnote w:type="continuationSeparator" w:id="0">
    <w:p w14:paraId="04151E91" w14:textId="77777777" w:rsidR="00633E93" w:rsidRDefault="00633E9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C67AC"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65A75156" wp14:editId="5EE83F96">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0EDC3430" wp14:editId="30CACEFC">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B788F8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fr-FR" w:vendorID="64" w:dllVersion="131078" w:nlCheck="1" w:checkStyle="0"/>
  <w:activeWritingStyle w:appName="MSWord" w:lang="en-GB" w:vendorID="64" w:dllVersion="131078" w:nlCheck="1" w:checkStyle="1"/>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07A9F"/>
    <w:rsid w:val="000026EA"/>
    <w:rsid w:val="00012FEF"/>
    <w:rsid w:val="00015578"/>
    <w:rsid w:val="00024731"/>
    <w:rsid w:val="00026DEC"/>
    <w:rsid w:val="00030635"/>
    <w:rsid w:val="0003079C"/>
    <w:rsid w:val="00036EBA"/>
    <w:rsid w:val="00043B06"/>
    <w:rsid w:val="000505CA"/>
    <w:rsid w:val="0005709C"/>
    <w:rsid w:val="0008244F"/>
    <w:rsid w:val="000947E2"/>
    <w:rsid w:val="00095E04"/>
    <w:rsid w:val="000A4D1F"/>
    <w:rsid w:val="000A61E2"/>
    <w:rsid w:val="000B473B"/>
    <w:rsid w:val="000D0E89"/>
    <w:rsid w:val="000D2978"/>
    <w:rsid w:val="000E2689"/>
    <w:rsid w:val="000E2D4E"/>
    <w:rsid w:val="000F5E42"/>
    <w:rsid w:val="00104331"/>
    <w:rsid w:val="00137415"/>
    <w:rsid w:val="001413D2"/>
    <w:rsid w:val="00142613"/>
    <w:rsid w:val="00144DA7"/>
    <w:rsid w:val="00161D3F"/>
    <w:rsid w:val="001915D4"/>
    <w:rsid w:val="001A1FED"/>
    <w:rsid w:val="001A40E2"/>
    <w:rsid w:val="001B2603"/>
    <w:rsid w:val="001C4805"/>
    <w:rsid w:val="001F2B4D"/>
    <w:rsid w:val="002178AC"/>
    <w:rsid w:val="00221BA4"/>
    <w:rsid w:val="00223388"/>
    <w:rsid w:val="0022442F"/>
    <w:rsid w:val="00224B69"/>
    <w:rsid w:val="0022524B"/>
    <w:rsid w:val="0022547C"/>
    <w:rsid w:val="00233BFE"/>
    <w:rsid w:val="0025410A"/>
    <w:rsid w:val="0028012F"/>
    <w:rsid w:val="00280B49"/>
    <w:rsid w:val="00287876"/>
    <w:rsid w:val="0029248B"/>
    <w:rsid w:val="00292C53"/>
    <w:rsid w:val="00294E22"/>
    <w:rsid w:val="00296E30"/>
    <w:rsid w:val="002C194B"/>
    <w:rsid w:val="002C1F3C"/>
    <w:rsid w:val="002C36ED"/>
    <w:rsid w:val="002C59BA"/>
    <w:rsid w:val="002E4AA1"/>
    <w:rsid w:val="002F08DF"/>
    <w:rsid w:val="002F3535"/>
    <w:rsid w:val="00301AA9"/>
    <w:rsid w:val="00305544"/>
    <w:rsid w:val="00306DB7"/>
    <w:rsid w:val="003117F6"/>
    <w:rsid w:val="00314996"/>
    <w:rsid w:val="00326F49"/>
    <w:rsid w:val="003512FB"/>
    <w:rsid w:val="003533B8"/>
    <w:rsid w:val="003535C5"/>
    <w:rsid w:val="003752BE"/>
    <w:rsid w:val="00377662"/>
    <w:rsid w:val="003803BC"/>
    <w:rsid w:val="00397AD8"/>
    <w:rsid w:val="003A07C6"/>
    <w:rsid w:val="003A346A"/>
    <w:rsid w:val="003A5F19"/>
    <w:rsid w:val="003B13BC"/>
    <w:rsid w:val="003B2917"/>
    <w:rsid w:val="003B541B"/>
    <w:rsid w:val="003C7537"/>
    <w:rsid w:val="003E2B2F"/>
    <w:rsid w:val="003E6046"/>
    <w:rsid w:val="003F16F9"/>
    <w:rsid w:val="0042727C"/>
    <w:rsid w:val="00427ABA"/>
    <w:rsid w:val="00430C1F"/>
    <w:rsid w:val="00437318"/>
    <w:rsid w:val="00442595"/>
    <w:rsid w:val="0045323E"/>
    <w:rsid w:val="0047091F"/>
    <w:rsid w:val="004B0EE1"/>
    <w:rsid w:val="004D0D83"/>
    <w:rsid w:val="004E1DF1"/>
    <w:rsid w:val="004E5592"/>
    <w:rsid w:val="004F1DC7"/>
    <w:rsid w:val="004F3A89"/>
    <w:rsid w:val="0050055B"/>
    <w:rsid w:val="00520495"/>
    <w:rsid w:val="00524710"/>
    <w:rsid w:val="005519D4"/>
    <w:rsid w:val="00555342"/>
    <w:rsid w:val="005560E2"/>
    <w:rsid w:val="00575039"/>
    <w:rsid w:val="005760AB"/>
    <w:rsid w:val="005767D5"/>
    <w:rsid w:val="005A452E"/>
    <w:rsid w:val="005E2EE1"/>
    <w:rsid w:val="005E383D"/>
    <w:rsid w:val="005F115D"/>
    <w:rsid w:val="00620AFF"/>
    <w:rsid w:val="00633E93"/>
    <w:rsid w:val="006355D8"/>
    <w:rsid w:val="00642ECD"/>
    <w:rsid w:val="0065024C"/>
    <w:rsid w:val="006502A0"/>
    <w:rsid w:val="006650BC"/>
    <w:rsid w:val="0066698D"/>
    <w:rsid w:val="006772F5"/>
    <w:rsid w:val="006B0615"/>
    <w:rsid w:val="006C2DD9"/>
    <w:rsid w:val="006D166B"/>
    <w:rsid w:val="006E616D"/>
    <w:rsid w:val="006E73AB"/>
    <w:rsid w:val="006F01D8"/>
    <w:rsid w:val="006F2CAB"/>
    <w:rsid w:val="006F3279"/>
    <w:rsid w:val="00704AEE"/>
    <w:rsid w:val="007100E4"/>
    <w:rsid w:val="00722F9A"/>
    <w:rsid w:val="00754539"/>
    <w:rsid w:val="00757297"/>
    <w:rsid w:val="00760E08"/>
    <w:rsid w:val="007814D6"/>
    <w:rsid w:val="00795CB4"/>
    <w:rsid w:val="007A04C1"/>
    <w:rsid w:val="007A1269"/>
    <w:rsid w:val="007A3C86"/>
    <w:rsid w:val="007A683E"/>
    <w:rsid w:val="007A748B"/>
    <w:rsid w:val="007C3B28"/>
    <w:rsid w:val="007D1D65"/>
    <w:rsid w:val="007E0A9E"/>
    <w:rsid w:val="007E5309"/>
    <w:rsid w:val="00800DE1"/>
    <w:rsid w:val="00802843"/>
    <w:rsid w:val="00807A9F"/>
    <w:rsid w:val="00813F47"/>
    <w:rsid w:val="00821188"/>
    <w:rsid w:val="00821C5C"/>
    <w:rsid w:val="008450D6"/>
    <w:rsid w:val="008544D9"/>
    <w:rsid w:val="00856FCA"/>
    <w:rsid w:val="00867006"/>
    <w:rsid w:val="00872EB4"/>
    <w:rsid w:val="00873B8C"/>
    <w:rsid w:val="008A405F"/>
    <w:rsid w:val="008B046F"/>
    <w:rsid w:val="008B28A5"/>
    <w:rsid w:val="008C7F34"/>
    <w:rsid w:val="008E032D"/>
    <w:rsid w:val="008E13E0"/>
    <w:rsid w:val="008E580C"/>
    <w:rsid w:val="0090047A"/>
    <w:rsid w:val="00913AD8"/>
    <w:rsid w:val="00917940"/>
    <w:rsid w:val="00925026"/>
    <w:rsid w:val="00931264"/>
    <w:rsid w:val="00942904"/>
    <w:rsid w:val="00942A4B"/>
    <w:rsid w:val="00954E80"/>
    <w:rsid w:val="00961D59"/>
    <w:rsid w:val="00994912"/>
    <w:rsid w:val="009A6941"/>
    <w:rsid w:val="009B2D55"/>
    <w:rsid w:val="009C0343"/>
    <w:rsid w:val="009D5FF2"/>
    <w:rsid w:val="009E0D11"/>
    <w:rsid w:val="00A24A16"/>
    <w:rsid w:val="00A31736"/>
    <w:rsid w:val="00A37D14"/>
    <w:rsid w:val="00A6168B"/>
    <w:rsid w:val="00A62028"/>
    <w:rsid w:val="00AA6236"/>
    <w:rsid w:val="00AB18BB"/>
    <w:rsid w:val="00AB6AE7"/>
    <w:rsid w:val="00AB6CA4"/>
    <w:rsid w:val="00AD21F5"/>
    <w:rsid w:val="00AD5043"/>
    <w:rsid w:val="00AE1A2E"/>
    <w:rsid w:val="00AE3956"/>
    <w:rsid w:val="00AE5FB7"/>
    <w:rsid w:val="00AF0E74"/>
    <w:rsid w:val="00AF7DB9"/>
    <w:rsid w:val="00B03E00"/>
    <w:rsid w:val="00B06225"/>
    <w:rsid w:val="00B10DE6"/>
    <w:rsid w:val="00B23C7A"/>
    <w:rsid w:val="00B23DEB"/>
    <w:rsid w:val="00B33FEF"/>
    <w:rsid w:val="00B346B5"/>
    <w:rsid w:val="00B37C53"/>
    <w:rsid w:val="00B412B0"/>
    <w:rsid w:val="00B42E62"/>
    <w:rsid w:val="00B46FF9"/>
    <w:rsid w:val="00B75483"/>
    <w:rsid w:val="00BA3E35"/>
    <w:rsid w:val="00BA5A78"/>
    <w:rsid w:val="00BA7952"/>
    <w:rsid w:val="00BB3EA6"/>
    <w:rsid w:val="00BD3160"/>
    <w:rsid w:val="00BE27BE"/>
    <w:rsid w:val="00BF0BBF"/>
    <w:rsid w:val="00BF6C8A"/>
    <w:rsid w:val="00C05571"/>
    <w:rsid w:val="00C06521"/>
    <w:rsid w:val="00C067BC"/>
    <w:rsid w:val="00C15989"/>
    <w:rsid w:val="00C17716"/>
    <w:rsid w:val="00C246CE"/>
    <w:rsid w:val="00C329A4"/>
    <w:rsid w:val="00C504BE"/>
    <w:rsid w:val="00C5553B"/>
    <w:rsid w:val="00C57FA2"/>
    <w:rsid w:val="00C602E1"/>
    <w:rsid w:val="00C63844"/>
    <w:rsid w:val="00C7020B"/>
    <w:rsid w:val="00C72918"/>
    <w:rsid w:val="00C83637"/>
    <w:rsid w:val="00C8765D"/>
    <w:rsid w:val="00C9265A"/>
    <w:rsid w:val="00CB1740"/>
    <w:rsid w:val="00CC2E4D"/>
    <w:rsid w:val="00CC78A5"/>
    <w:rsid w:val="00CC7B16"/>
    <w:rsid w:val="00CE15FE"/>
    <w:rsid w:val="00CE7273"/>
    <w:rsid w:val="00D02E15"/>
    <w:rsid w:val="00D14F44"/>
    <w:rsid w:val="00D278E8"/>
    <w:rsid w:val="00D421C8"/>
    <w:rsid w:val="00D43788"/>
    <w:rsid w:val="00D44604"/>
    <w:rsid w:val="00D44B06"/>
    <w:rsid w:val="00D479B3"/>
    <w:rsid w:val="00D51657"/>
    <w:rsid w:val="00D52283"/>
    <w:rsid w:val="00D524E5"/>
    <w:rsid w:val="00D72FEF"/>
    <w:rsid w:val="00D755FA"/>
    <w:rsid w:val="00D76EBD"/>
    <w:rsid w:val="00DB2434"/>
    <w:rsid w:val="00DB7449"/>
    <w:rsid w:val="00DB7471"/>
    <w:rsid w:val="00DC33CE"/>
    <w:rsid w:val="00DC4A4E"/>
    <w:rsid w:val="00DD1874"/>
    <w:rsid w:val="00DD63BD"/>
    <w:rsid w:val="00DF096A"/>
    <w:rsid w:val="00E172C6"/>
    <w:rsid w:val="00E22B55"/>
    <w:rsid w:val="00E24309"/>
    <w:rsid w:val="00E31116"/>
    <w:rsid w:val="00E31C91"/>
    <w:rsid w:val="00E53D82"/>
    <w:rsid w:val="00E54437"/>
    <w:rsid w:val="00E753A9"/>
    <w:rsid w:val="00E85A74"/>
    <w:rsid w:val="00EE6B97"/>
    <w:rsid w:val="00EF081E"/>
    <w:rsid w:val="00EF761F"/>
    <w:rsid w:val="00F12C3B"/>
    <w:rsid w:val="00F26884"/>
    <w:rsid w:val="00F34FD0"/>
    <w:rsid w:val="00F40370"/>
    <w:rsid w:val="00F51DA3"/>
    <w:rsid w:val="00F520EB"/>
    <w:rsid w:val="00F604E7"/>
    <w:rsid w:val="00F66FF6"/>
    <w:rsid w:val="00F74824"/>
    <w:rsid w:val="00F75F0D"/>
    <w:rsid w:val="00F82443"/>
    <w:rsid w:val="00F8355F"/>
    <w:rsid w:val="00F90D64"/>
    <w:rsid w:val="00F928E4"/>
    <w:rsid w:val="00F95543"/>
    <w:rsid w:val="00F95F3E"/>
    <w:rsid w:val="00FA051C"/>
    <w:rsid w:val="00FA14FE"/>
    <w:rsid w:val="00FA3196"/>
    <w:rsid w:val="00FA7F59"/>
    <w:rsid w:val="00FB1FF6"/>
    <w:rsid w:val="00FB6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C03F5"/>
  <w15:docId w15:val="{AA742527-96DA-4671-8F55-CC8A60BE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B18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B18BB"/>
    <w:rPr>
      <w:rFonts w:ascii="Calibri" w:hAnsi="Calibri" w:cs="Calibri"/>
      <w:noProof/>
      <w:lang w:val="en-US"/>
    </w:rPr>
  </w:style>
  <w:style w:type="paragraph" w:customStyle="1" w:styleId="EndNoteBibliography">
    <w:name w:val="EndNote Bibliography"/>
    <w:basedOn w:val="Normal"/>
    <w:link w:val="EndNoteBibliographyChar"/>
    <w:rsid w:val="00AB18BB"/>
    <w:rPr>
      <w:rFonts w:ascii="Calibri" w:hAnsi="Calibri" w:cs="Calibri"/>
      <w:noProof/>
      <w:lang w:val="en-US"/>
    </w:rPr>
  </w:style>
  <w:style w:type="character" w:customStyle="1" w:styleId="EndNoteBibliographyChar">
    <w:name w:val="EndNote Bibliography Char"/>
    <w:basedOn w:val="DefaultParagraphFont"/>
    <w:link w:val="EndNoteBibliography"/>
    <w:rsid w:val="00AB18B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557</TotalTime>
  <Pages>5</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Peter Fairhurst</cp:lastModifiedBy>
  <cp:revision>13</cp:revision>
  <cp:lastPrinted>2019-06-04T13:34:00Z</cp:lastPrinted>
  <dcterms:created xsi:type="dcterms:W3CDTF">2019-04-16T15:27:00Z</dcterms:created>
  <dcterms:modified xsi:type="dcterms:W3CDTF">2019-07-03T13:11:00Z</dcterms:modified>
</cp:coreProperties>
</file>