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1A1F6A" w:rsidP="007B18B8">
      <w:pPr>
        <w:spacing w:after="180"/>
        <w:rPr>
          <w:b/>
          <w:sz w:val="44"/>
          <w:szCs w:val="44"/>
        </w:rPr>
      </w:pPr>
      <w:r>
        <w:rPr>
          <w:b/>
          <w:sz w:val="44"/>
          <w:szCs w:val="44"/>
        </w:rPr>
        <w:t>Cold spoons</w:t>
      </w:r>
    </w:p>
    <w:p w:rsidR="007B18B8" w:rsidRDefault="007B18B8" w:rsidP="007B18B8">
      <w:pPr>
        <w:spacing w:after="180"/>
      </w:pPr>
    </w:p>
    <w:p w:rsidR="001A1F6A" w:rsidRPr="001A1F6A" w:rsidRDefault="001A1F6A" w:rsidP="001A1F6A">
      <w:pPr>
        <w:spacing w:line="276" w:lineRule="auto"/>
      </w:pPr>
      <w:r w:rsidRPr="001A1F6A">
        <w:rPr>
          <w:lang w:val="en-US"/>
        </w:rPr>
        <w:t>These two spoons have been dipped into some very cold water.</w:t>
      </w:r>
    </w:p>
    <w:p w:rsidR="001A1F6A" w:rsidRPr="001A1F6A" w:rsidRDefault="001A1F6A" w:rsidP="001A1F6A">
      <w:pPr>
        <w:spacing w:line="276" w:lineRule="auto"/>
      </w:pPr>
      <w:r w:rsidRPr="001A1F6A">
        <w:rPr>
          <w:lang w:val="en-US"/>
        </w:rPr>
        <w:t>They have been left in the water for a long time.</w:t>
      </w:r>
    </w:p>
    <w:p w:rsidR="007B18B8" w:rsidRPr="00201AC2" w:rsidRDefault="00295E18" w:rsidP="00992A97">
      <w:pPr>
        <w:spacing w:after="240"/>
        <w:jc w:val="center"/>
        <w:rPr>
          <w:szCs w:val="18"/>
        </w:rPr>
      </w:pPr>
      <w:r>
        <w:rPr>
          <w:noProof/>
          <w:szCs w:val="18"/>
          <w:lang w:eastAsia="en-GB"/>
        </w:rPr>
        <w:drawing>
          <wp:anchor distT="0" distB="0" distL="114300" distR="114300" simplePos="0" relativeHeight="251658240" behindDoc="0" locked="0" layoutInCell="1" allowOverlap="1">
            <wp:simplePos x="0" y="0"/>
            <wp:positionH relativeFrom="margin">
              <wp:align>center</wp:align>
            </wp:positionH>
            <wp:positionV relativeFrom="paragraph">
              <wp:posOffset>312016</wp:posOffset>
            </wp:positionV>
            <wp:extent cx="1745673" cy="2430637"/>
            <wp:effectExtent l="0" t="0" r="6985"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5673" cy="2430637"/>
                    </a:xfrm>
                    <a:prstGeom prst="rect">
                      <a:avLst/>
                    </a:prstGeom>
                    <a:noFill/>
                  </pic:spPr>
                </pic:pic>
              </a:graphicData>
            </a:graphic>
            <wp14:sizeRelH relativeFrom="margin">
              <wp14:pctWidth>0</wp14:pctWidth>
            </wp14:sizeRelH>
            <wp14:sizeRelV relativeFrom="margin">
              <wp14:pctHeight>0</wp14:pctHeight>
            </wp14:sizeRelV>
          </wp:anchor>
        </w:drawing>
      </w:r>
    </w:p>
    <w:p w:rsidR="001A1F6A" w:rsidRDefault="001A1F6A" w:rsidP="00992A97">
      <w:pPr>
        <w:spacing w:before="480" w:after="120" w:line="276" w:lineRule="auto"/>
        <w:rPr>
          <w:sz w:val="28"/>
          <w:szCs w:val="18"/>
          <w:lang w:val="en-US"/>
        </w:rPr>
      </w:pPr>
    </w:p>
    <w:p w:rsidR="001A1F6A" w:rsidRDefault="001A1F6A" w:rsidP="00992A97">
      <w:pPr>
        <w:spacing w:before="480" w:after="120" w:line="276" w:lineRule="auto"/>
        <w:rPr>
          <w:sz w:val="28"/>
          <w:szCs w:val="18"/>
          <w:lang w:val="en-US"/>
        </w:rPr>
      </w:pPr>
    </w:p>
    <w:p w:rsidR="001A1F6A" w:rsidRDefault="001A1F6A" w:rsidP="00992A97">
      <w:pPr>
        <w:spacing w:before="480" w:after="120" w:line="276" w:lineRule="auto"/>
        <w:rPr>
          <w:sz w:val="28"/>
          <w:szCs w:val="18"/>
          <w:lang w:val="en-US"/>
        </w:rPr>
      </w:pPr>
    </w:p>
    <w:p w:rsidR="00295E18" w:rsidRDefault="00295E18" w:rsidP="00992A97">
      <w:pPr>
        <w:spacing w:before="480" w:after="120" w:line="276" w:lineRule="auto"/>
        <w:rPr>
          <w:sz w:val="28"/>
          <w:szCs w:val="18"/>
          <w:lang w:val="en-US"/>
        </w:rPr>
      </w:pPr>
    </w:p>
    <w:p w:rsidR="00295E18" w:rsidRDefault="00295E18" w:rsidP="00992A97">
      <w:pPr>
        <w:spacing w:before="480" w:after="120" w:line="276" w:lineRule="auto"/>
        <w:rPr>
          <w:sz w:val="28"/>
          <w:szCs w:val="18"/>
          <w:lang w:val="en-US"/>
        </w:rPr>
      </w:pPr>
    </w:p>
    <w:p w:rsidR="00295E18" w:rsidRPr="00AB479E" w:rsidRDefault="00295E18" w:rsidP="00295E18">
      <w:pPr>
        <w:spacing w:line="276" w:lineRule="auto"/>
        <w:rPr>
          <w:sz w:val="28"/>
          <w:szCs w:val="18"/>
        </w:rPr>
      </w:pPr>
      <w:r w:rsidRPr="00AB479E">
        <w:rPr>
          <w:sz w:val="28"/>
          <w:szCs w:val="18"/>
          <w:lang w:val="en-US"/>
        </w:rPr>
        <w:t xml:space="preserve">These </w:t>
      </w:r>
      <w:r>
        <w:rPr>
          <w:sz w:val="28"/>
          <w:szCs w:val="18"/>
          <w:lang w:val="en-US"/>
        </w:rPr>
        <w:t>statements are about the spoons</w:t>
      </w:r>
      <w:r w:rsidRPr="00AB479E">
        <w:rPr>
          <w:sz w:val="28"/>
          <w:szCs w:val="18"/>
          <w:lang w:val="en-US"/>
        </w:rPr>
        <w:t>.</w:t>
      </w:r>
    </w:p>
    <w:p w:rsidR="00295E18" w:rsidRPr="00AB479E" w:rsidRDefault="00295E18" w:rsidP="00295E18">
      <w:pPr>
        <w:spacing w:after="240"/>
        <w:rPr>
          <w:i/>
        </w:rPr>
      </w:pPr>
      <w:r w:rsidRPr="00AB479E">
        <w:t>For each statement about them, tick (</w:t>
      </w:r>
      <w:r w:rsidRPr="00AB479E">
        <w:sym w:font="Wingdings" w:char="F0FC"/>
      </w:r>
      <w:r w:rsidRPr="00AB479E">
        <w:t xml:space="preserve">) </w:t>
      </w:r>
      <w:r w:rsidRPr="00AB479E">
        <w:rPr>
          <w:b/>
        </w:rPr>
        <w:t>one</w:t>
      </w:r>
      <w:r w:rsidRPr="00AB479E">
        <w:t xml:space="preserve"> column to show what you think</w:t>
      </w:r>
      <w:r w:rsidRPr="00AB479E">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295E18" w:rsidRPr="00AE07E9" w:rsidTr="00C32231">
        <w:trPr>
          <w:cantSplit/>
          <w:trHeight w:hRule="exact" w:val="938"/>
          <w:jc w:val="center"/>
        </w:trPr>
        <w:tc>
          <w:tcPr>
            <w:tcW w:w="4952" w:type="dxa"/>
            <w:gridSpan w:val="2"/>
            <w:tcBorders>
              <w:bottom w:val="single" w:sz="8" w:space="0" w:color="000000"/>
            </w:tcBorders>
            <w:vAlign w:val="center"/>
          </w:tcPr>
          <w:p w:rsidR="00295E18" w:rsidRPr="002B6D6B" w:rsidRDefault="00295E18" w:rsidP="00C32231">
            <w:pPr>
              <w:tabs>
                <w:tab w:val="right" w:leader="dot" w:pos="8680"/>
              </w:tabs>
              <w:jc w:val="center"/>
              <w:rPr>
                <w:rFonts w:eastAsia="Times New Roman" w:cs="Times New Roman"/>
                <w:lang w:eastAsia="en-GB"/>
              </w:rPr>
            </w:pPr>
          </w:p>
        </w:tc>
        <w:tc>
          <w:tcPr>
            <w:tcW w:w="1063" w:type="dxa"/>
            <w:vAlign w:val="center"/>
          </w:tcPr>
          <w:p w:rsidR="00295E18" w:rsidRPr="00197AB2" w:rsidRDefault="00295E18" w:rsidP="00C32231">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295E18" w:rsidRPr="00197AB2" w:rsidRDefault="00295E18" w:rsidP="00C32231">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295E18" w:rsidRPr="00197AB2" w:rsidRDefault="00295E18" w:rsidP="00C32231">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295E18" w:rsidRPr="00197AB2" w:rsidRDefault="00295E18" w:rsidP="00C32231">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295E18" w:rsidRPr="00AE07E9" w:rsidTr="00C32231">
        <w:trPr>
          <w:cantSplit/>
          <w:trHeight w:val="791"/>
          <w:jc w:val="center"/>
        </w:trPr>
        <w:tc>
          <w:tcPr>
            <w:tcW w:w="557" w:type="dxa"/>
            <w:tcBorders>
              <w:right w:val="nil"/>
            </w:tcBorders>
            <w:vAlign w:val="center"/>
          </w:tcPr>
          <w:p w:rsidR="00295E18" w:rsidRPr="00AE07E9" w:rsidRDefault="00295E18" w:rsidP="00C32231">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295E18" w:rsidRPr="00AB479E" w:rsidRDefault="00295E18" w:rsidP="00C32231">
            <w:pPr>
              <w:tabs>
                <w:tab w:val="right" w:leader="dot" w:pos="8680"/>
              </w:tabs>
              <w:rPr>
                <w:rFonts w:eastAsia="Times New Roman" w:cs="Times New Roman"/>
                <w:lang w:eastAsia="en-GB"/>
              </w:rPr>
            </w:pPr>
            <w:r>
              <w:rPr>
                <w:rFonts w:eastAsia="Times New Roman" w:cs="Times New Roman"/>
                <w:lang w:eastAsia="en-GB"/>
              </w:rPr>
              <w:t>The metal spoon feels colder.</w:t>
            </w:r>
          </w:p>
        </w:tc>
        <w:tc>
          <w:tcPr>
            <w:tcW w:w="1063" w:type="dxa"/>
          </w:tcPr>
          <w:p w:rsidR="00295E18" w:rsidRPr="00197AB2" w:rsidRDefault="00295E18" w:rsidP="00C32231">
            <w:pPr>
              <w:tabs>
                <w:tab w:val="right" w:leader="dot" w:pos="8680"/>
              </w:tabs>
              <w:rPr>
                <w:rFonts w:eastAsia="Times New Roman" w:cs="Times New Roman"/>
                <w:sz w:val="18"/>
                <w:szCs w:val="18"/>
                <w:lang w:eastAsia="en-GB"/>
              </w:rPr>
            </w:pPr>
          </w:p>
        </w:tc>
        <w:tc>
          <w:tcPr>
            <w:tcW w:w="1063" w:type="dxa"/>
          </w:tcPr>
          <w:p w:rsidR="00295E18" w:rsidRPr="00197AB2" w:rsidRDefault="00295E18" w:rsidP="00C32231">
            <w:pPr>
              <w:tabs>
                <w:tab w:val="right" w:leader="dot" w:pos="8680"/>
              </w:tabs>
              <w:rPr>
                <w:rFonts w:eastAsia="Times New Roman" w:cs="Times New Roman"/>
                <w:sz w:val="18"/>
                <w:szCs w:val="18"/>
                <w:lang w:eastAsia="en-GB"/>
              </w:rPr>
            </w:pPr>
          </w:p>
        </w:tc>
        <w:tc>
          <w:tcPr>
            <w:tcW w:w="1063" w:type="dxa"/>
          </w:tcPr>
          <w:p w:rsidR="00295E18" w:rsidRPr="00197AB2" w:rsidRDefault="00295E18" w:rsidP="00C32231">
            <w:pPr>
              <w:tabs>
                <w:tab w:val="right" w:leader="dot" w:pos="8680"/>
              </w:tabs>
              <w:rPr>
                <w:rFonts w:eastAsia="Times New Roman" w:cs="Times New Roman"/>
                <w:sz w:val="18"/>
                <w:szCs w:val="18"/>
                <w:lang w:eastAsia="en-GB"/>
              </w:rPr>
            </w:pPr>
          </w:p>
        </w:tc>
        <w:tc>
          <w:tcPr>
            <w:tcW w:w="1063" w:type="dxa"/>
          </w:tcPr>
          <w:p w:rsidR="00295E18" w:rsidRPr="00197AB2" w:rsidRDefault="00295E18" w:rsidP="00C32231">
            <w:pPr>
              <w:tabs>
                <w:tab w:val="right" w:leader="dot" w:pos="8680"/>
              </w:tabs>
              <w:rPr>
                <w:rFonts w:eastAsia="Times New Roman" w:cs="Times New Roman"/>
                <w:sz w:val="18"/>
                <w:szCs w:val="18"/>
                <w:lang w:eastAsia="en-GB"/>
              </w:rPr>
            </w:pPr>
          </w:p>
        </w:tc>
      </w:tr>
      <w:tr w:rsidR="00295E18" w:rsidRPr="00AE07E9" w:rsidTr="00C32231">
        <w:trPr>
          <w:cantSplit/>
          <w:trHeight w:val="791"/>
          <w:jc w:val="center"/>
        </w:trPr>
        <w:tc>
          <w:tcPr>
            <w:tcW w:w="557" w:type="dxa"/>
            <w:tcBorders>
              <w:right w:val="nil"/>
            </w:tcBorders>
            <w:vAlign w:val="center"/>
          </w:tcPr>
          <w:p w:rsidR="00295E18" w:rsidRDefault="00295E18" w:rsidP="00C32231">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295E18" w:rsidRPr="00AB479E" w:rsidRDefault="00295E18" w:rsidP="00C32231">
            <w:pPr>
              <w:tabs>
                <w:tab w:val="right" w:leader="dot" w:pos="8680"/>
              </w:tabs>
              <w:rPr>
                <w:rFonts w:eastAsia="Times New Roman" w:cs="Times New Roman"/>
                <w:lang w:eastAsia="en-GB"/>
              </w:rPr>
            </w:pPr>
            <w:r>
              <w:rPr>
                <w:rFonts w:eastAsia="Times New Roman" w:cs="Times New Roman"/>
                <w:lang w:eastAsia="en-GB"/>
              </w:rPr>
              <w:t>The plastic spoon has a higher temperature.</w:t>
            </w:r>
          </w:p>
        </w:tc>
        <w:tc>
          <w:tcPr>
            <w:tcW w:w="1063" w:type="dxa"/>
          </w:tcPr>
          <w:p w:rsidR="00295E18" w:rsidRPr="00197AB2" w:rsidRDefault="00295E18" w:rsidP="00C32231">
            <w:pPr>
              <w:tabs>
                <w:tab w:val="right" w:leader="dot" w:pos="8680"/>
              </w:tabs>
              <w:rPr>
                <w:rFonts w:eastAsia="Times New Roman" w:cs="Times New Roman"/>
                <w:sz w:val="18"/>
                <w:szCs w:val="18"/>
                <w:lang w:eastAsia="en-GB"/>
              </w:rPr>
            </w:pPr>
          </w:p>
        </w:tc>
        <w:tc>
          <w:tcPr>
            <w:tcW w:w="1063" w:type="dxa"/>
          </w:tcPr>
          <w:p w:rsidR="00295E18" w:rsidRPr="00197AB2" w:rsidRDefault="00295E18" w:rsidP="00C32231">
            <w:pPr>
              <w:tabs>
                <w:tab w:val="right" w:leader="dot" w:pos="8680"/>
              </w:tabs>
              <w:rPr>
                <w:rFonts w:eastAsia="Times New Roman" w:cs="Times New Roman"/>
                <w:sz w:val="18"/>
                <w:szCs w:val="18"/>
                <w:lang w:eastAsia="en-GB"/>
              </w:rPr>
            </w:pPr>
          </w:p>
        </w:tc>
        <w:tc>
          <w:tcPr>
            <w:tcW w:w="1063" w:type="dxa"/>
          </w:tcPr>
          <w:p w:rsidR="00295E18" w:rsidRPr="00197AB2" w:rsidRDefault="00295E18" w:rsidP="00C32231">
            <w:pPr>
              <w:tabs>
                <w:tab w:val="right" w:leader="dot" w:pos="8680"/>
              </w:tabs>
              <w:rPr>
                <w:rFonts w:eastAsia="Times New Roman" w:cs="Times New Roman"/>
                <w:sz w:val="18"/>
                <w:szCs w:val="18"/>
                <w:lang w:eastAsia="en-GB"/>
              </w:rPr>
            </w:pPr>
          </w:p>
        </w:tc>
        <w:tc>
          <w:tcPr>
            <w:tcW w:w="1063" w:type="dxa"/>
          </w:tcPr>
          <w:p w:rsidR="00295E18" w:rsidRPr="00197AB2" w:rsidRDefault="00295E18" w:rsidP="00C32231">
            <w:pPr>
              <w:tabs>
                <w:tab w:val="right" w:leader="dot" w:pos="8680"/>
              </w:tabs>
              <w:rPr>
                <w:rFonts w:eastAsia="Times New Roman" w:cs="Times New Roman"/>
                <w:sz w:val="18"/>
                <w:szCs w:val="18"/>
                <w:lang w:eastAsia="en-GB"/>
              </w:rPr>
            </w:pPr>
          </w:p>
        </w:tc>
      </w:tr>
    </w:tbl>
    <w:p w:rsidR="001A1F6A" w:rsidRPr="00201AC2" w:rsidRDefault="001A1F6A" w:rsidP="006F3279">
      <w:pPr>
        <w:spacing w:after="240"/>
        <w:rPr>
          <w:szCs w:val="18"/>
        </w:rPr>
        <w:sectPr w:rsidR="001A1F6A"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92A97" w:rsidRPr="006F3279" w:rsidRDefault="00992A97" w:rsidP="00992A9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PMA3.1</w:t>
      </w:r>
      <w:r w:rsidRPr="00CA4B46">
        <w:rPr>
          <w:i/>
          <w:sz w:val="18"/>
          <w:szCs w:val="18"/>
        </w:rPr>
        <w:t xml:space="preserve">: </w:t>
      </w:r>
      <w:r>
        <w:rPr>
          <w:i/>
          <w:sz w:val="18"/>
          <w:szCs w:val="18"/>
        </w:rPr>
        <w:t>Transfer of energy by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1A1F6A" w:rsidP="006F3279">
            <w:pPr>
              <w:spacing w:after="60"/>
              <w:ind w:left="1304"/>
              <w:rPr>
                <w:b/>
                <w:sz w:val="40"/>
                <w:szCs w:val="40"/>
              </w:rPr>
            </w:pPr>
            <w:r>
              <w:rPr>
                <w:b/>
                <w:sz w:val="40"/>
                <w:szCs w:val="40"/>
              </w:rPr>
              <w:t>Cold spoons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92A97" w:rsidTr="003F16F9">
        <w:trPr>
          <w:trHeight w:val="340"/>
        </w:trPr>
        <w:tc>
          <w:tcPr>
            <w:tcW w:w="2196" w:type="dxa"/>
          </w:tcPr>
          <w:p w:rsidR="00992A97" w:rsidRDefault="00992A97" w:rsidP="00992A97">
            <w:pPr>
              <w:spacing w:before="60" w:after="60"/>
            </w:pPr>
            <w:r>
              <w:t>Learning focus:</w:t>
            </w:r>
          </w:p>
        </w:tc>
        <w:tc>
          <w:tcPr>
            <w:tcW w:w="6820" w:type="dxa"/>
          </w:tcPr>
          <w:p w:rsidR="00992A97" w:rsidRDefault="00992A97" w:rsidP="00992A97">
            <w:pPr>
              <w:spacing w:before="60" w:after="60"/>
            </w:pPr>
            <w:r w:rsidRPr="00CF513F">
              <w:t>Energy is transferred through a solid away fro</w:t>
            </w:r>
            <w:r w:rsidR="00CA44E1">
              <w:t>m regions of higher temperature</w:t>
            </w:r>
            <w:r w:rsidRPr="00CF513F">
              <w:t xml:space="preserve"> as its particles are caused to vibrate more vigorously.</w:t>
            </w:r>
          </w:p>
        </w:tc>
      </w:tr>
      <w:tr w:rsidR="00992A97" w:rsidTr="003F16F9">
        <w:trPr>
          <w:trHeight w:val="340"/>
        </w:trPr>
        <w:tc>
          <w:tcPr>
            <w:tcW w:w="2196" w:type="dxa"/>
          </w:tcPr>
          <w:p w:rsidR="00992A97" w:rsidRDefault="00992A97" w:rsidP="00992A97">
            <w:pPr>
              <w:spacing w:before="60" w:after="60"/>
            </w:pPr>
            <w:r>
              <w:t>Observable learning outcome:</w:t>
            </w:r>
          </w:p>
        </w:tc>
        <w:tc>
          <w:tcPr>
            <w:tcW w:w="6820" w:type="dxa"/>
          </w:tcPr>
          <w:p w:rsidR="00992A97" w:rsidRPr="00A50C9C" w:rsidRDefault="00992A97" w:rsidP="00992A97">
            <w:pPr>
              <w:spacing w:before="60" w:after="60"/>
              <w:rPr>
                <w:b/>
              </w:rPr>
            </w:pPr>
            <w:r w:rsidRPr="00E16AD3">
              <w:t>Explain why different objects in thermal equilibrium feel hotter or cooler to touch.</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D6690" w:rsidP="007B18B8">
            <w:pPr>
              <w:spacing w:before="60" w:after="60"/>
            </w:pPr>
            <w:r>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92A97" w:rsidP="001A1F6A">
            <w:pPr>
              <w:spacing w:before="60" w:after="60"/>
            </w:pPr>
            <w:r>
              <w:t>Thermal equilibrium, temperature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877DD" w:rsidRDefault="004877DD" w:rsidP="004877DD">
      <w:pPr>
        <w:spacing w:after="180"/>
        <w:rPr>
          <w:noProof/>
        </w:rPr>
      </w:pPr>
      <w:r>
        <w:rPr>
          <w:noProof/>
        </w:rPr>
        <w:t xml:space="preserve">It is common for students to </w:t>
      </w:r>
      <w:r w:rsidRPr="0000601B">
        <w:rPr>
          <w:i/>
          <w:noProof/>
        </w:rPr>
        <w:t>not accept</w:t>
      </w:r>
      <w:r>
        <w:rPr>
          <w:noProof/>
        </w:rPr>
        <w:t xml:space="preserve"> that different objects are at the same temperature as each other if they are left in contact with the same surroundings for a long time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 Hatzikraniotis et al., 2010)&lt;/DisplayText&gt;&lt;record&gt;&lt;titles&gt;&lt;title&gt;An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(1)&lt;/volume&gt;&lt;/record&gt;&lt;/Cite&gt;&lt;Cite&gt;&lt;Author&gt;Hatzikraniotis&lt;/Author&gt;&lt;Year&gt;2010&lt;/Year&gt;&lt;IDText&gt;Students&amp;apos; design of experiments: an inquiry module on the conduction of heat&lt;/IDText&gt;&lt;record&gt;&lt;titles&gt;&lt;title&gt;Students&amp;apos;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rPr>
          <w:noProof/>
        </w:rPr>
        <w:fldChar w:fldCharType="separate"/>
      </w:r>
      <w:r>
        <w:rPr>
          <w:noProof/>
        </w:rPr>
        <w:t>(Thomaz et al., 1995; Hatzikraniotis et al., 2010)</w:t>
      </w:r>
      <w:r>
        <w:rPr>
          <w:noProof/>
        </w:rPr>
        <w:fldChar w:fldCharType="end"/>
      </w:r>
      <w:r>
        <w:rPr>
          <w:noProof/>
        </w:rPr>
        <w:t xml:space="preserve">. Hatzikraniotis et al. </w:t>
      </w:r>
      <w:r>
        <w:fldChar w:fldCharType="begin"/>
      </w:r>
      <w:r>
        <w:instrText xml:space="preserve"> ADDIN EN.CITE &lt;EndNote&gt;&lt;Cite ExcludeAuth="1"&gt;&lt;Author&gt;Hatzikraniotis&lt;/Author&gt;&lt;Year&gt;2010&lt;/Year&gt;&lt;IDText&gt;Students&amp;apos; design of experiments: an inquiry module on the conduction of heat&lt;/IDText&gt;&lt;DisplayText&gt;(2010)&lt;/DisplayText&gt;&lt;record&gt;&lt;titles&gt;&lt;title&gt;Students&amp;apos;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fldChar w:fldCharType="separate"/>
      </w:r>
      <w:r>
        <w:rPr>
          <w:noProof/>
        </w:rPr>
        <w:t>(2010)</w:t>
      </w:r>
      <w:r>
        <w:fldChar w:fldCharType="end"/>
      </w:r>
      <w:r>
        <w:t xml:space="preserve"> found that just over 40% of 13- to 14-year-olds (n=24) did not understand that objects in thermal equilibrium</w:t>
      </w:r>
      <w:r w:rsidR="006217D7">
        <w:t xml:space="preserve"> all have</w:t>
      </w:r>
      <w:r>
        <w:t xml:space="preserve"> the same temperature. </w:t>
      </w:r>
      <w:r>
        <w:rPr>
          <w:noProof/>
        </w:rPr>
        <w:t xml:space="preserve">Understanding the concept of thermal equilibrium is central to understanding other heat and temperature concepts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(1)&lt;/volume&gt;&lt;/record&gt;&lt;/Cite&gt;&lt;Cite&gt;&lt;Author&gt;Thomaz&lt;/Author&gt;&lt;Year&gt;1995&lt;/Year&gt;&lt;IDText&gt;An attempt to overcome alternative conceptions related to heat and temperature&lt;/IDText&gt;&lt;record&gt;&lt;titles&gt;&lt;title&gt;An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rPr>
          <w:noProof/>
        </w:rPr>
        <w:fldChar w:fldCharType="separate"/>
      </w:r>
      <w:r>
        <w:rPr>
          <w:noProof/>
        </w:rPr>
        <w:t>(Thomaz et al., 1995)</w:t>
      </w:r>
      <w:r>
        <w:rPr>
          <w:noProof/>
        </w:rPr>
        <w:fldChar w:fldCharType="end"/>
      </w:r>
      <w:r>
        <w:rPr>
          <w:noProof/>
        </w:rPr>
        <w:t xml:space="preserve">. </w:t>
      </w:r>
    </w:p>
    <w:p w:rsidR="004877DD" w:rsidRDefault="004877DD" w:rsidP="004877DD">
      <w:pPr>
        <w:spacing w:after="180"/>
      </w:pPr>
      <w:r>
        <w:t>Students may</w:t>
      </w:r>
      <w:r w:rsidRPr="00D26D61">
        <w:t xml:space="preserve"> link their perceived temperature of an object to whether it feels warm or cold to the touch, for example that metal is colder than plastic when both are at room temperature</w:t>
      </w:r>
      <w:r>
        <w:t xml:space="preserve"> </w:t>
      </w:r>
      <w:r>
        <w:fldChar w:fldCharType="begin"/>
      </w:r>
      <w:r>
        <w:instrText xml:space="preserve"> ADDIN EN.CITE &lt;EndNote&gt;&lt;Cite&gt;&lt;Author&gt;Engel Clough&lt;/Author&gt;&lt;Year&gt;1985&lt;/Year&gt;&lt;IDText&gt;Secondary students&amp;apos; conceptions of the conduction of heat: bringing together scientific and personal views&lt;/IDText&gt;&lt;DisplayText&gt;(Engel Clough and Driver, 1985; Thomaz et al., 1995)&lt;/DisplayText&gt;&lt;record&gt;&lt;titles&gt;&lt;title&gt;Secondary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format="utc"&gt;1592478611&lt;/last-updated-date&gt;&lt;volume&gt;20&lt;/volume&gt;&lt;/record&gt;&lt;/Cite&gt;&lt;Cite&gt;&lt;Author&gt;Thomaz&lt;/Author&gt;&lt;Year&gt;1995&lt;/Year&gt;&lt;IDText&gt;An attempt to overcome alternative conceptions related to heat and temperature&lt;/IDText&gt;&lt;record&gt;&lt;titles&gt;&lt;title&gt;An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fldChar w:fldCharType="separate"/>
      </w:r>
      <w:r>
        <w:rPr>
          <w:noProof/>
        </w:rPr>
        <w:t>(Engel Clough and Driver, 1985; Thomaz et al., 1995)</w:t>
      </w:r>
      <w:r>
        <w:fldChar w:fldCharType="end"/>
      </w:r>
      <w:r w:rsidRPr="00D26D61">
        <w:t>.</w:t>
      </w:r>
      <w:r>
        <w:t xml:space="preserve"> In a study of 12- to 16-year-olds (n=84), Engel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just 6% were able to explain correctly why metal spoons felt colder to the touch than plastic spoons at the same temperature. 25% said it was because metals let ‘heat’ in or out more easily and 5% that they attracted or absorbed coldness. </w:t>
      </w:r>
      <w:r>
        <w:rPr>
          <w:noProof/>
        </w:rPr>
        <w:t>Pathare and Pradhan</w:t>
      </w:r>
      <w:r>
        <w:t xml:space="preserve"> </w:t>
      </w:r>
      <w:r>
        <w:fldChar w:fldCharType="begin"/>
      </w:r>
      <w:r>
        <w:instrText xml:space="preserve"> ADDIN EN.CITE &lt;EndNote&gt;&lt;Cite ExcludeAuth="1"&gt;&lt;Author&gt;Pathare&lt;/Author&gt;&lt;Year&gt;2010&lt;/Year&gt;&lt;IDText&gt;Students&amp;apos; misconceptions about heat transfer mechanisms and elementary kinetic theory&lt;/IDText&gt;&lt;DisplayText&gt;(2010)&lt;/DisplayText&gt;&lt;record&gt;&lt;titles&gt;&lt;title&gt;Students&amp;apos; misconceptions about heat transfer mechanisms and elementary kinetic theory&lt;/title&gt;&lt;secondary-title&gt;Physics Education&lt;/secondary-title&gt;&lt;/titles&gt;&lt;pages&gt;629-634&lt;/pages&gt;&lt;contributors&gt;&lt;authors&gt;&lt;author&gt;Pathare, S. R&lt;/author&gt;&lt;author&gt;Pradhan, H. C&lt;/author&gt;&lt;/authors&gt;&lt;/contributors&gt;&lt;added-date format="utc"&gt;1573484398&lt;/added-date&gt;&lt;ref-type name="Journal Article"&gt;17&lt;/ref-type&gt;&lt;dates&gt;&lt;year&gt;2010&lt;/year&gt;&lt;/dates&gt;&lt;rec-number&gt;179&lt;/rec-number&gt;&lt;last-updated-date format="utc"&gt;1573485004&lt;/last-updated-date&gt;&lt;volume&gt;45&lt;/volume&gt;&lt;/record&gt;&lt;/Cite&gt;&lt;/EndNote&gt;</w:instrText>
      </w:r>
      <w:r>
        <w:fldChar w:fldCharType="separate"/>
      </w:r>
      <w:r>
        <w:rPr>
          <w:noProof/>
        </w:rPr>
        <w:t>(2010)</w:t>
      </w:r>
      <w:r>
        <w:fldChar w:fldCharType="end"/>
      </w:r>
      <w:r>
        <w:t xml:space="preserve"> found that this idea persisted even amongst a few undergraduate physics students.</w:t>
      </w:r>
    </w:p>
    <w:p w:rsidR="004877DD" w:rsidRDefault="004877DD" w:rsidP="004877DD">
      <w:pPr>
        <w:spacing w:after="180"/>
      </w:pPr>
      <w:r>
        <w:t xml:space="preserve">When asked to explain why the metal parts of handlebars felt colder than plastic parts in cold, frosty weather, Engle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that 23% of 12- to 16-year-olds (n=84) explained this using the misunderstanding that metals attract or absorb cold more easily. ‘</w:t>
      </w:r>
      <w:r w:rsidRPr="002D6DEE">
        <w:t>The direction of conduction of heat in relation to the human body appears to influence thinking; quite simply students find it difficult to think of conduction of heat when they feel cold</w:t>
      </w:r>
      <w:r>
        <w:t xml:space="preserve">’ </w:t>
      </w:r>
      <w:r>
        <w:fldChar w:fldCharType="begin"/>
      </w:r>
      <w:r>
        <w:instrText xml:space="preserve"> ADDIN EN.CITE &lt;EndNote&gt;&lt;Cite&gt;&lt;Author&gt;Engel Clough&lt;/Author&gt;&lt;Year&gt;1985&lt;/Year&gt;&lt;IDText&gt;Secondary students&amp;apos; conceptions of the conduction of heat: bringing together scientific and personal views&lt;/IDText&gt;&lt;DisplayText&gt;(Engel Clough and Driver, 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(Engel Clough and Driver, 1985)</w:t>
      </w:r>
      <w:r>
        <w:fldChar w:fldCharType="end"/>
      </w:r>
      <w:r>
        <w:t>.</w:t>
      </w:r>
    </w:p>
    <w:p w:rsidR="004877DD" w:rsidRDefault="004877DD" w:rsidP="004877DD">
      <w:pPr>
        <w:spacing w:after="180"/>
      </w:pPr>
      <w:r>
        <w:rPr>
          <w:noProof/>
        </w:rPr>
        <w:t>McLure, Won and Treagust</w:t>
      </w:r>
      <w:r>
        <w:t xml:space="preserve"> </w:t>
      </w:r>
      <w:r>
        <w:fldChar w:fldCharType="begin"/>
      </w:r>
      <w:r>
        <w:instrText xml:space="preserve"> ADDIN EN.CITE &lt;EndNote&gt;&lt;Cite ExcludeAuth="1"&gt;&lt;Author&gt;McLure&lt;/Author&gt;&lt;Year&gt;2020&lt;/Year&gt;&lt;IDText&gt;Teaching thermal physics to year 9 students: The Thinking Frames Approach&lt;/IDText&gt;&lt;DisplayText&gt;(2020)&lt;/DisplayText&gt;&lt;record&gt;&lt;titles&gt;&lt;title&gt;Teaching thermal physics to year 9 students: The Thinking Frames Approach&lt;/title&gt;&lt;secondary-title&gt;Physics Education&lt;/secondary-title&gt;&lt;tertiary-title&gt;School of Education&lt;/tertiary-title&gt;&lt;/titles&gt;&lt;pages&gt;11&lt;/pages&gt;&lt;contributors&gt;&lt;authors&gt;&lt;author&gt;McLure, F&lt;/author&gt;&lt;author&gt;Won, M&lt;/author&gt;&lt;author&gt;Treagust, D, F&lt;/author&gt;&lt;/authors&gt;&lt;/contributors&gt;&lt;added-date format="utc"&gt;1592903093&lt;/added-date&gt;&lt;ref-type name="Journal Article"&gt;17&lt;/ref-type&gt;&lt;dates&gt;&lt;year&gt;2020&lt;/year&gt;&lt;/dates&gt;&lt;rec-number&gt;287&lt;/rec-number&gt;&lt;last-updated-date format="utc"&gt;1592903445&lt;/last-updated-date&gt;&lt;volume&gt;53&lt;/volume&gt;&lt;/record&gt;&lt;/Cite&gt;&lt;/EndNote&gt;</w:instrText>
      </w:r>
      <w:r>
        <w:fldChar w:fldCharType="separate"/>
      </w:r>
      <w:r>
        <w:rPr>
          <w:noProof/>
        </w:rPr>
        <w:t>(2020)</w:t>
      </w:r>
      <w:r>
        <w:fldChar w:fldCharType="end"/>
      </w:r>
      <w:r>
        <w:t xml:space="preserve"> found that a thinking frames approach to understanding the concept of why conduction away from the body caused object to feel cold was particularly successful, and significantly improved students understanding both immediately and in the longer term. The thinking frames approach used predict, explain; observe, explain activities to engage students in focussed small group discussions, in order to support the construction of a scientific understanding.</w:t>
      </w:r>
    </w:p>
    <w:p w:rsidR="004877DD" w:rsidRDefault="004877DD">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CD6690" w:rsidRPr="00816065" w:rsidRDefault="00CD6690" w:rsidP="00CD6690">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CD6690" w:rsidRPr="00816065" w:rsidRDefault="00CD6690" w:rsidP="00CD6690">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CD6690" w:rsidRPr="00816065" w:rsidRDefault="00CD6690" w:rsidP="00CD6690">
      <w:pPr>
        <w:spacing w:after="180"/>
        <w:rPr>
          <w:rFonts w:cstheme="minorHAnsi"/>
          <w:i/>
        </w:rPr>
      </w:pPr>
      <w:r w:rsidRPr="00816065">
        <w:rPr>
          <w:rFonts w:cstheme="minorHAnsi"/>
          <w:i/>
        </w:rPr>
        <w:t>Differentiation</w:t>
      </w:r>
    </w:p>
    <w:p w:rsidR="00CD6690" w:rsidRDefault="00CD6690" w:rsidP="00CD6690">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295E18" w:rsidRDefault="00295E18" w:rsidP="00ED0B65">
      <w:pPr>
        <w:spacing w:after="180"/>
        <w:ind w:left="426" w:hanging="426"/>
      </w:pPr>
      <w:r w:rsidRPr="00295E18">
        <w:t xml:space="preserve">Statement </w:t>
      </w:r>
      <w:r>
        <w:t>A is right and statement B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6217D7" w:rsidRDefault="00295E18" w:rsidP="001649E2">
      <w:pPr>
        <w:spacing w:before="180" w:after="180"/>
      </w:pPr>
      <w:r>
        <w:t>A</w:t>
      </w:r>
      <w:r w:rsidR="00597555">
        <w:t xml:space="preserve">nswer </w:t>
      </w:r>
      <w:r>
        <w:t>A</w:t>
      </w:r>
      <w:r w:rsidR="00597555">
        <w:t xml:space="preserve"> is correct because </w:t>
      </w:r>
      <w:r w:rsidR="00316C77">
        <w:t xml:space="preserve">when the hand heats </w:t>
      </w:r>
      <w:r w:rsidR="00597555">
        <w:t>the metal</w:t>
      </w:r>
      <w:r w:rsidR="00316C77">
        <w:t xml:space="preserve">, </w:t>
      </w:r>
      <w:r w:rsidR="006217D7">
        <w:t>the metal’s good thermal conductivity allows energy to transfer quickly from the hand. Metal ions made to vibrate more quickly by the hand very quickly transfer vibrations on to metal ions throughout the spoon. The vigour of the vibrations of the metal ions in contact with the hand do not increase enough to raise their temperature sufficiently to feel warm to the touch.</w:t>
      </w:r>
    </w:p>
    <w:p w:rsidR="008E3C9B" w:rsidRDefault="00316C77" w:rsidP="001649E2">
      <w:pPr>
        <w:spacing w:before="180" w:after="180"/>
      </w:pPr>
      <w:r>
        <w:t xml:space="preserve">The lower thermal conductivity of the plastic </w:t>
      </w:r>
      <w:r w:rsidR="00ED0B65">
        <w:t>spoon</w:t>
      </w:r>
      <w:r>
        <w:t xml:space="preserve"> mean</w:t>
      </w:r>
      <w:r w:rsidR="00ED0B65">
        <w:t>s</w:t>
      </w:r>
      <w:r>
        <w:t xml:space="preserve"> the heating from the hand can increase the temperature much more locally so, at the point of contact, the plastic feel</w:t>
      </w:r>
      <w:r w:rsidR="00ED0B65">
        <w:t>s</w:t>
      </w:r>
      <w:r>
        <w:t xml:space="preserve"> warm. The rest of the plastic </w:t>
      </w:r>
      <w:r w:rsidR="00ED0B65">
        <w:t>spoon is</w:t>
      </w:r>
      <w:r>
        <w:t xml:space="preserve"> at the same temperature as the metal </w:t>
      </w:r>
      <w:r w:rsidR="00ED0B65">
        <w:t>spoon</w:t>
      </w:r>
      <w:r>
        <w:t xml:space="preserve">, so answer </w:t>
      </w:r>
      <w:r w:rsidR="00295E18">
        <w:t>B</w:t>
      </w:r>
      <w:r>
        <w:t xml:space="preserve"> is </w:t>
      </w:r>
      <w:r w:rsidR="00295E18">
        <w:t>wrong.</w:t>
      </w:r>
    </w:p>
    <w:p w:rsidR="00FA0325" w:rsidRDefault="00A01222" w:rsidP="00A01222">
      <w:pPr>
        <w:spacing w:after="180"/>
      </w:pPr>
      <w:r w:rsidRPr="004F039C">
        <w:t xml:space="preserve">If students have </w:t>
      </w:r>
      <w:r w:rsidR="004B1C32">
        <w:t>misunderstanding</w:t>
      </w:r>
      <w:r w:rsidRPr="004F039C">
        <w:t xml:space="preserve">s about </w:t>
      </w:r>
      <w:r w:rsidR="00FA0325" w:rsidRPr="00FA0325">
        <w:t>why different objects in thermal equilibrium</w:t>
      </w:r>
      <w:r w:rsidR="00FA0325">
        <w:t xml:space="preserve"> feel hotter or cooler to touch</w:t>
      </w:r>
      <w:r w:rsidRPr="004F039C">
        <w:t xml:space="preserve">, </w:t>
      </w:r>
      <w:r w:rsidR="00FA0325">
        <w:t>it can help to discuss with students the temperature of their own hands and the temperature to the object that they are touching, in order to help them to think about the situation in a scientific way</w:t>
      </w:r>
      <w:r>
        <w:t>.</w:t>
      </w:r>
      <w:r w:rsidR="00FA0325">
        <w:t xml:space="preserve"> The temperature of the palm of a hand touching a cold </w:t>
      </w:r>
      <w:r w:rsidR="00295E18">
        <w:t>metal spoon</w:t>
      </w:r>
      <w:r w:rsidR="00FA0325">
        <w:t xml:space="preserve"> is likely to be around 30</w:t>
      </w:r>
      <w:r w:rsidR="00FA0325" w:rsidRPr="00FA0325">
        <w:rPr>
          <w:vertAlign w:val="superscript"/>
        </w:rPr>
        <w:t>o</w:t>
      </w:r>
      <w:r w:rsidR="00FA0325">
        <w:t xml:space="preserve">C, much warmer than the </w:t>
      </w:r>
      <w:r w:rsidR="00295E18">
        <w:t>spoon</w:t>
      </w:r>
      <w:r w:rsidR="00FA0325">
        <w:t>.</w:t>
      </w:r>
    </w:p>
    <w:p w:rsidR="00A01222" w:rsidRPr="00204DD4" w:rsidRDefault="00FA0325" w:rsidP="00A01222">
      <w:pPr>
        <w:spacing w:after="180"/>
      </w:pPr>
      <w:r>
        <w:t xml:space="preserve">Focused small group discussions can then support the social construction of a scientific understanding through dialogue. </w:t>
      </w:r>
      <w:r w:rsidR="00A01222" w:rsidRPr="00204DD4">
        <w:t xml:space="preserve">The following BEST ‘response </w:t>
      </w:r>
      <w:r w:rsidR="00F2483A" w:rsidRPr="00204DD4">
        <w:t>activitie</w:t>
      </w:r>
      <w:r w:rsidR="00A01222" w:rsidRPr="00204DD4">
        <w:t xml:space="preserve">s’ </w:t>
      </w:r>
      <w:r w:rsidRPr="00204DD4">
        <w:t>use th</w:t>
      </w:r>
      <w:r w:rsidR="00204DD4">
        <w:t>is</w:t>
      </w:r>
      <w:r w:rsidRPr="00204DD4">
        <w:t xml:space="preserve"> strategy </w:t>
      </w:r>
      <w:r w:rsidR="00204DD4">
        <w:t xml:space="preserve">in a way </w:t>
      </w:r>
      <w:r w:rsidRPr="00204DD4">
        <w:t xml:space="preserve">that </w:t>
      </w:r>
      <w:r w:rsidRPr="00204DD4">
        <w:rPr>
          <w:noProof/>
        </w:rPr>
        <w:t>McLure, Won and Treagust</w:t>
      </w:r>
      <w:r w:rsidRPr="00204DD4">
        <w:t xml:space="preserve"> </w:t>
      </w:r>
      <w:r w:rsidRPr="00204DD4">
        <w:fldChar w:fldCharType="begin"/>
      </w:r>
      <w:r w:rsidRPr="00204DD4">
        <w:instrText xml:space="preserve"> ADDIN EN.CITE &lt;EndNote&gt;&lt;Cite ExcludeAuth="1"&gt;&lt;Author&gt;McLure&lt;/Author&gt;&lt;Year&gt;2020&lt;/Year&gt;&lt;IDText&gt;Teaching thermal physics to year 9 students: The Thinking Frames Approach&lt;/IDText&gt;&lt;DisplayText&gt;(2020)&lt;/DisplayText&gt;&lt;record&gt;&lt;titles&gt;&lt;title&gt;Teaching thermal physics to year 9 students: The Thinking Frames Approach&lt;/title&gt;&lt;secondary-title&gt;Physics Education&lt;/secondary-title&gt;&lt;tertiary-title&gt;School of Education&lt;/tertiary-title&gt;&lt;/titles&gt;&lt;pages&gt;11&lt;/pages&gt;&lt;contributors&gt;&lt;authors&gt;&lt;author&gt;McLure, F&lt;/author&gt;&lt;author&gt;Won, M&lt;/author&gt;&lt;author&gt;Treagust, D, F&lt;/author&gt;&lt;/authors&gt;&lt;/contributors&gt;&lt;added-date format="utc"&gt;1592903093&lt;/added-date&gt;&lt;ref-type name="Journal Article"&gt;17&lt;/ref-type&gt;&lt;dates&gt;&lt;year&gt;2020&lt;/year&gt;&lt;/dates&gt;&lt;rec-number&gt;287&lt;/rec-number&gt;&lt;last-updated-date format="utc"&gt;1592903445&lt;/last-updated-date&gt;&lt;volume&gt;53&lt;/volume&gt;&lt;/record&gt;&lt;/Cite&gt;&lt;/EndNote&gt;</w:instrText>
      </w:r>
      <w:r w:rsidRPr="00204DD4">
        <w:fldChar w:fldCharType="separate"/>
      </w:r>
      <w:r w:rsidRPr="00204DD4">
        <w:rPr>
          <w:noProof/>
        </w:rPr>
        <w:t>(2020)</w:t>
      </w:r>
      <w:r w:rsidRPr="00204DD4">
        <w:fldChar w:fldCharType="end"/>
      </w:r>
      <w:r w:rsidRPr="00204DD4">
        <w:t xml:space="preserve"> found to be </w:t>
      </w:r>
      <w:r w:rsidR="00204DD4">
        <w:t xml:space="preserve">particularly </w:t>
      </w:r>
      <w:r w:rsidRPr="00204DD4">
        <w:t xml:space="preserve">successful in </w:t>
      </w:r>
      <w:r w:rsidR="00204DD4" w:rsidRPr="00204DD4">
        <w:t xml:space="preserve">helping students understand the concept of why conduction away from the body causes an object to feel </w:t>
      </w:r>
      <w:r w:rsidR="00204DD4">
        <w:t xml:space="preserve">cool. They </w:t>
      </w:r>
      <w:r w:rsidR="00A01222" w:rsidRPr="00204DD4">
        <w:t>could be used in follow-up to this diagnostic question:</w:t>
      </w:r>
    </w:p>
    <w:p w:rsidR="00A01222" w:rsidRDefault="00A01222" w:rsidP="00A01222">
      <w:pPr>
        <w:pStyle w:val="ListParagraph"/>
        <w:numPr>
          <w:ilvl w:val="0"/>
          <w:numId w:val="1"/>
        </w:numPr>
        <w:spacing w:after="180"/>
      </w:pPr>
      <w:r w:rsidRPr="00204DD4">
        <w:t xml:space="preserve">Response </w:t>
      </w:r>
      <w:r w:rsidR="00F2483A" w:rsidRPr="00204DD4">
        <w:t>activity</w:t>
      </w:r>
      <w:r w:rsidRPr="00204DD4">
        <w:t xml:space="preserve">: </w:t>
      </w:r>
      <w:r w:rsidR="00204DD4">
        <w:t>Thermal equilibrium</w:t>
      </w:r>
    </w:p>
    <w:p w:rsidR="00204DD4" w:rsidRPr="00204DD4" w:rsidRDefault="00204DD4" w:rsidP="00A01222">
      <w:pPr>
        <w:pStyle w:val="ListParagraph"/>
        <w:numPr>
          <w:ilvl w:val="0"/>
          <w:numId w:val="1"/>
        </w:numPr>
        <w:spacing w:after="180"/>
      </w:pPr>
      <w:r>
        <w:t>Response activity: Melting ice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204DD4">
        <w:t xml:space="preserve">UYSEG), </w:t>
      </w:r>
      <w:r w:rsidRPr="00204DD4">
        <w:t>from a</w:t>
      </w:r>
      <w:r w:rsidR="00295E18">
        <w:t xml:space="preserve"> question in a paper </w:t>
      </w:r>
      <w:r w:rsidRPr="00204DD4">
        <w:t>by</w:t>
      </w:r>
      <w:r w:rsidR="00ED0B65">
        <w:t xml:space="preserve"> </w:t>
      </w:r>
      <w:r w:rsidR="00ED0B65">
        <w:rPr>
          <w:noProof/>
        </w:rPr>
        <w:t xml:space="preserve">Thomaz et al. </w:t>
      </w:r>
      <w:r w:rsidR="00ED0B65">
        <w:fldChar w:fldCharType="begin"/>
      </w:r>
      <w:r w:rsidR="00ED0B65">
        <w:instrText xml:space="preserve"> ADDIN EN.CITE &lt;EndNote&gt;&lt;Cite ExcludeAuth="1"&gt;&lt;Author&gt;Thomaz&lt;/Author&gt;&lt;Year&gt;1995&lt;/Year&gt;&lt;IDText&gt;An attempt to overcome alternative conceptions related to heat and temperature&lt;/IDText&gt;&lt;DisplayText&gt;(1995)&lt;/DisplayText&gt;&lt;record&gt;&lt;titles&gt;&lt;title&gt;An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rsidR="00ED0B65">
        <w:fldChar w:fldCharType="separate"/>
      </w:r>
      <w:r w:rsidR="00ED0B65">
        <w:rPr>
          <w:noProof/>
        </w:rPr>
        <w:t>(1995)</w:t>
      </w:r>
      <w:r w:rsidR="00ED0B65">
        <w:fldChar w:fldCharType="end"/>
      </w:r>
      <w:r>
        <w:t>.</w:t>
      </w:r>
    </w:p>
    <w:p w:rsidR="00204DD4" w:rsidRPr="00204DD4" w:rsidRDefault="00ED0B65" w:rsidP="00204DD4">
      <w:pPr>
        <w:spacing w:after="180"/>
      </w:pPr>
      <w:r>
        <w:t>Images:</w:t>
      </w:r>
      <w:r w:rsidR="00204DD4" w:rsidRPr="00204DD4">
        <w:t xml:space="preserve"> </w:t>
      </w:r>
      <w:r>
        <w:t>by Peter Fairhurst (</w:t>
      </w:r>
      <w:r w:rsidRPr="00204DD4">
        <w:t>UYSEG)</w:t>
      </w:r>
      <w:r>
        <w:t>.</w:t>
      </w:r>
    </w:p>
    <w:p w:rsidR="006217D7" w:rsidRDefault="006217D7">
      <w:pPr>
        <w:spacing w:after="200" w:line="276" w:lineRule="auto"/>
        <w:rPr>
          <w:b/>
          <w:color w:val="5F497A" w:themeColor="accent4" w:themeShade="BF"/>
          <w:sz w:val="24"/>
        </w:rPr>
      </w:pPr>
      <w:r>
        <w:rPr>
          <w:b/>
          <w:color w:val="5F497A" w:themeColor="accent4" w:themeShade="BF"/>
          <w:sz w:val="24"/>
        </w:rPr>
        <w:br w:type="page"/>
      </w:r>
    </w:p>
    <w:p w:rsidR="00401017"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ED0B65" w:rsidRPr="00ED0B65" w:rsidRDefault="00401017" w:rsidP="00ED0B65">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ED0B65" w:rsidRPr="00ED0B65">
        <w:t xml:space="preserve">Engel Clough, E. and Driver, R. (1985). Secondary students' conceptions of the conduction of heat: bringing together scientific and personal views. </w:t>
      </w:r>
      <w:r w:rsidR="00ED0B65" w:rsidRPr="00ED0B65">
        <w:rPr>
          <w:i/>
        </w:rPr>
        <w:t>Physics Education,</w:t>
      </w:r>
      <w:r w:rsidR="00ED0B65" w:rsidRPr="00ED0B65">
        <w:t xml:space="preserve"> 20</w:t>
      </w:r>
      <w:r w:rsidR="00ED0B65" w:rsidRPr="00ED0B65">
        <w:rPr>
          <w:b/>
        </w:rPr>
        <w:t>,</w:t>
      </w:r>
      <w:r w:rsidR="00ED0B65" w:rsidRPr="00ED0B65">
        <w:t xml:space="preserve"> 176-182.</w:t>
      </w:r>
    </w:p>
    <w:p w:rsidR="00ED0B65" w:rsidRPr="00ED0B65" w:rsidRDefault="00ED0B65" w:rsidP="00ED0B65">
      <w:pPr>
        <w:pStyle w:val="EndNoteBibliography"/>
        <w:spacing w:after="120"/>
        <w:ind w:left="426" w:hanging="426"/>
      </w:pPr>
      <w:r w:rsidRPr="00ED0B65">
        <w:t xml:space="preserve">Hatzikraniotis, E., et al. (2010). Students' design of experiments: an inquiry module on the conduction of heat. </w:t>
      </w:r>
      <w:r w:rsidRPr="00ED0B65">
        <w:rPr>
          <w:i/>
        </w:rPr>
        <w:t>Physics Education,</w:t>
      </w:r>
      <w:r w:rsidRPr="00ED0B65">
        <w:t xml:space="preserve"> 45 (4)</w:t>
      </w:r>
      <w:r w:rsidRPr="00ED0B65">
        <w:rPr>
          <w:b/>
        </w:rPr>
        <w:t>,</w:t>
      </w:r>
      <w:r w:rsidRPr="00ED0B65">
        <w:t xml:space="preserve"> 335-344.</w:t>
      </w:r>
    </w:p>
    <w:p w:rsidR="00ED0B65" w:rsidRPr="00ED0B65" w:rsidRDefault="00ED0B65" w:rsidP="00ED0B65">
      <w:pPr>
        <w:pStyle w:val="EndNoteBibliography"/>
        <w:spacing w:after="120"/>
        <w:ind w:left="426" w:hanging="426"/>
      </w:pPr>
      <w:r w:rsidRPr="00ED0B65">
        <w:t>McLure,</w:t>
      </w:r>
      <w:r w:rsidR="006217D7">
        <w:t xml:space="preserve"> F., Won, M. and Treagust, D.</w:t>
      </w:r>
      <w:r w:rsidR="00510D3D">
        <w:t xml:space="preserve"> F.</w:t>
      </w:r>
      <w:r w:rsidRPr="00ED0B65">
        <w:t xml:space="preserve"> (2020). Teaching thermal physics to year 9 students: The Thinking Frames Approach. </w:t>
      </w:r>
      <w:r w:rsidRPr="00ED0B65">
        <w:rPr>
          <w:i/>
        </w:rPr>
        <w:t>Physics Education,</w:t>
      </w:r>
      <w:r w:rsidRPr="00ED0B65">
        <w:t xml:space="preserve"> 53</w:t>
      </w:r>
      <w:r w:rsidRPr="00ED0B65">
        <w:rPr>
          <w:b/>
        </w:rPr>
        <w:t>,</w:t>
      </w:r>
      <w:r w:rsidRPr="00ED0B65">
        <w:t xml:space="preserve"> 11.</w:t>
      </w:r>
    </w:p>
    <w:p w:rsidR="00ED0B65" w:rsidRPr="00ED0B65" w:rsidRDefault="00ED0B65" w:rsidP="00ED0B65">
      <w:pPr>
        <w:pStyle w:val="EndNoteBibliography"/>
        <w:spacing w:after="120"/>
        <w:ind w:left="426" w:hanging="426"/>
      </w:pPr>
      <w:r w:rsidRPr="00ED0B65">
        <w:t xml:space="preserve">Pathare, S. R. and Pradhan, H. C. (2010). Students' misconceptions about heat transfer mechanisms and elementary kinetic theory. </w:t>
      </w:r>
      <w:r w:rsidRPr="00ED0B65">
        <w:rPr>
          <w:i/>
        </w:rPr>
        <w:t>Physics Education,</w:t>
      </w:r>
      <w:r w:rsidRPr="00ED0B65">
        <w:t xml:space="preserve"> 45</w:t>
      </w:r>
      <w:r w:rsidRPr="00ED0B65">
        <w:rPr>
          <w:b/>
        </w:rPr>
        <w:t>,</w:t>
      </w:r>
      <w:r w:rsidRPr="00ED0B65">
        <w:t xml:space="preserve"> 629-634.</w:t>
      </w:r>
    </w:p>
    <w:p w:rsidR="00ED0B65" w:rsidRPr="00ED0B65" w:rsidRDefault="00ED0B65" w:rsidP="00ED0B65">
      <w:pPr>
        <w:pStyle w:val="EndNoteBibliography"/>
        <w:spacing w:after="120"/>
        <w:ind w:left="426" w:hanging="426"/>
      </w:pPr>
      <w:r w:rsidRPr="00ED0B65">
        <w:t xml:space="preserve">Thomaz, M. F., et al. (1995). An attempt to overcome alternative conceptions related to heat and temperature. </w:t>
      </w:r>
      <w:r w:rsidRPr="00ED0B65">
        <w:rPr>
          <w:i/>
        </w:rPr>
        <w:t>Physics Education,</w:t>
      </w:r>
      <w:r w:rsidRPr="00ED0B65">
        <w:t xml:space="preserve"> 30 (1)</w:t>
      </w:r>
      <w:r w:rsidRPr="00ED0B65">
        <w:rPr>
          <w:b/>
        </w:rPr>
        <w:t>,</w:t>
      </w:r>
      <w:r w:rsidRPr="00ED0B65">
        <w:t xml:space="preserve"> 19-26.</w:t>
      </w:r>
    </w:p>
    <w:p w:rsidR="00B46FF9" w:rsidRDefault="00401017" w:rsidP="00ED0B65">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A97" w:rsidRDefault="00992A97" w:rsidP="000B473B">
      <w:r>
        <w:separator/>
      </w:r>
    </w:p>
  </w:endnote>
  <w:endnote w:type="continuationSeparator" w:id="0">
    <w:p w:rsidR="00992A97" w:rsidRDefault="00992A9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11AB4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10D3D">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A97" w:rsidRDefault="00992A97" w:rsidP="000B473B">
      <w:r>
        <w:separator/>
      </w:r>
    </w:p>
  </w:footnote>
  <w:footnote w:type="continuationSeparator" w:id="0">
    <w:p w:rsidR="00992A97" w:rsidRDefault="00992A9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4AD37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FDFEA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92A97"/>
    <w:rsid w:val="00015578"/>
    <w:rsid w:val="00024731"/>
    <w:rsid w:val="00026DEC"/>
    <w:rsid w:val="000505CA"/>
    <w:rsid w:val="0007651D"/>
    <w:rsid w:val="0009089A"/>
    <w:rsid w:val="000947E2"/>
    <w:rsid w:val="00095E04"/>
    <w:rsid w:val="00096E36"/>
    <w:rsid w:val="000A0D12"/>
    <w:rsid w:val="000B473B"/>
    <w:rsid w:val="000D0E89"/>
    <w:rsid w:val="000E2689"/>
    <w:rsid w:val="00142613"/>
    <w:rsid w:val="00144DA7"/>
    <w:rsid w:val="0015356E"/>
    <w:rsid w:val="00161D3F"/>
    <w:rsid w:val="001649E2"/>
    <w:rsid w:val="001915D4"/>
    <w:rsid w:val="001A1F6A"/>
    <w:rsid w:val="001A1FED"/>
    <w:rsid w:val="001A40E2"/>
    <w:rsid w:val="001C4805"/>
    <w:rsid w:val="00201AC2"/>
    <w:rsid w:val="00204DD4"/>
    <w:rsid w:val="00214608"/>
    <w:rsid w:val="0021607B"/>
    <w:rsid w:val="002178AC"/>
    <w:rsid w:val="0022547C"/>
    <w:rsid w:val="0025410A"/>
    <w:rsid w:val="0027553E"/>
    <w:rsid w:val="00276CB3"/>
    <w:rsid w:val="0028012F"/>
    <w:rsid w:val="002828DF"/>
    <w:rsid w:val="00287876"/>
    <w:rsid w:val="00292C53"/>
    <w:rsid w:val="00294E22"/>
    <w:rsid w:val="00295E18"/>
    <w:rsid w:val="002B5D71"/>
    <w:rsid w:val="002C22EA"/>
    <w:rsid w:val="002C59BA"/>
    <w:rsid w:val="002C79AE"/>
    <w:rsid w:val="00301AA9"/>
    <w:rsid w:val="003117F6"/>
    <w:rsid w:val="00316C77"/>
    <w:rsid w:val="003334B8"/>
    <w:rsid w:val="003533B8"/>
    <w:rsid w:val="003752BE"/>
    <w:rsid w:val="003A346A"/>
    <w:rsid w:val="003B2917"/>
    <w:rsid w:val="003B541B"/>
    <w:rsid w:val="003E2B2F"/>
    <w:rsid w:val="003E6046"/>
    <w:rsid w:val="003F16F9"/>
    <w:rsid w:val="00401017"/>
    <w:rsid w:val="00430C1F"/>
    <w:rsid w:val="00442595"/>
    <w:rsid w:val="0045323E"/>
    <w:rsid w:val="004877DD"/>
    <w:rsid w:val="004B0EE1"/>
    <w:rsid w:val="004B1C32"/>
    <w:rsid w:val="004C5D20"/>
    <w:rsid w:val="004D0D83"/>
    <w:rsid w:val="004E1DF1"/>
    <w:rsid w:val="004E5592"/>
    <w:rsid w:val="0050055B"/>
    <w:rsid w:val="00510D3D"/>
    <w:rsid w:val="00524710"/>
    <w:rsid w:val="00535269"/>
    <w:rsid w:val="00555342"/>
    <w:rsid w:val="005560E2"/>
    <w:rsid w:val="00597555"/>
    <w:rsid w:val="005A452E"/>
    <w:rsid w:val="005A6EE7"/>
    <w:rsid w:val="005F1A7B"/>
    <w:rsid w:val="006217D7"/>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3C9B"/>
    <w:rsid w:val="008E580C"/>
    <w:rsid w:val="0090047A"/>
    <w:rsid w:val="00925026"/>
    <w:rsid w:val="00931264"/>
    <w:rsid w:val="00942A4B"/>
    <w:rsid w:val="00961D59"/>
    <w:rsid w:val="00992A97"/>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A44E1"/>
    <w:rsid w:val="00CC0C69"/>
    <w:rsid w:val="00CC2E4D"/>
    <w:rsid w:val="00CC78A5"/>
    <w:rsid w:val="00CC7B16"/>
    <w:rsid w:val="00CD6690"/>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D0B65"/>
    <w:rsid w:val="00ED6DCF"/>
    <w:rsid w:val="00EE6B97"/>
    <w:rsid w:val="00F12C3B"/>
    <w:rsid w:val="00F2483A"/>
    <w:rsid w:val="00F26884"/>
    <w:rsid w:val="00F72ECC"/>
    <w:rsid w:val="00F8355F"/>
    <w:rsid w:val="00FA0325"/>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48719C6-D150-4924-B413-DB370887F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0101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01017"/>
    <w:rPr>
      <w:rFonts w:ascii="Calibri" w:hAnsi="Calibri" w:cs="Calibri"/>
      <w:noProof/>
      <w:lang w:val="en-US"/>
    </w:rPr>
  </w:style>
  <w:style w:type="paragraph" w:customStyle="1" w:styleId="EndNoteBibliography">
    <w:name w:val="EndNote Bibliography"/>
    <w:basedOn w:val="Normal"/>
    <w:link w:val="EndNoteBibliographyChar"/>
    <w:rsid w:val="00401017"/>
    <w:rPr>
      <w:rFonts w:ascii="Calibri" w:hAnsi="Calibri" w:cs="Calibri"/>
      <w:noProof/>
      <w:lang w:val="en-US"/>
    </w:rPr>
  </w:style>
  <w:style w:type="character" w:customStyle="1" w:styleId="EndNoteBibliographyChar">
    <w:name w:val="EndNote Bibliography Char"/>
    <w:basedOn w:val="DefaultParagraphFont"/>
    <w:link w:val="EndNoteBibliography"/>
    <w:rsid w:val="0040101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79362">
      <w:bodyDiv w:val="1"/>
      <w:marLeft w:val="0"/>
      <w:marRight w:val="0"/>
      <w:marTop w:val="0"/>
      <w:marBottom w:val="0"/>
      <w:divBdr>
        <w:top w:val="none" w:sz="0" w:space="0" w:color="auto"/>
        <w:left w:val="none" w:sz="0" w:space="0" w:color="auto"/>
        <w:bottom w:val="none" w:sz="0" w:space="0" w:color="auto"/>
        <w:right w:val="none" w:sz="0" w:space="0" w:color="auto"/>
      </w:divBdr>
    </w:div>
    <w:div w:id="113061354">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63336762">
      <w:bodyDiv w:val="1"/>
      <w:marLeft w:val="0"/>
      <w:marRight w:val="0"/>
      <w:marTop w:val="0"/>
      <w:marBottom w:val="0"/>
      <w:divBdr>
        <w:top w:val="none" w:sz="0" w:space="0" w:color="auto"/>
        <w:left w:val="none" w:sz="0" w:space="0" w:color="auto"/>
        <w:bottom w:val="none" w:sz="0" w:space="0" w:color="auto"/>
        <w:right w:val="none" w:sz="0" w:space="0" w:color="auto"/>
      </w:divBdr>
    </w:div>
    <w:div w:id="721102666">
      <w:bodyDiv w:val="1"/>
      <w:marLeft w:val="0"/>
      <w:marRight w:val="0"/>
      <w:marTop w:val="0"/>
      <w:marBottom w:val="0"/>
      <w:divBdr>
        <w:top w:val="none" w:sz="0" w:space="0" w:color="auto"/>
        <w:left w:val="none" w:sz="0" w:space="0" w:color="auto"/>
        <w:bottom w:val="none" w:sz="0" w:space="0" w:color="auto"/>
        <w:right w:val="none" w:sz="0" w:space="0" w:color="auto"/>
      </w:divBdr>
    </w:div>
    <w:div w:id="752119615">
      <w:bodyDiv w:val="1"/>
      <w:marLeft w:val="0"/>
      <w:marRight w:val="0"/>
      <w:marTop w:val="0"/>
      <w:marBottom w:val="0"/>
      <w:divBdr>
        <w:top w:val="none" w:sz="0" w:space="0" w:color="auto"/>
        <w:left w:val="none" w:sz="0" w:space="0" w:color="auto"/>
        <w:bottom w:val="none" w:sz="0" w:space="0" w:color="auto"/>
        <w:right w:val="none" w:sz="0" w:space="0" w:color="auto"/>
      </w:divBdr>
    </w:div>
    <w:div w:id="883492616">
      <w:bodyDiv w:val="1"/>
      <w:marLeft w:val="0"/>
      <w:marRight w:val="0"/>
      <w:marTop w:val="0"/>
      <w:marBottom w:val="0"/>
      <w:divBdr>
        <w:top w:val="none" w:sz="0" w:space="0" w:color="auto"/>
        <w:left w:val="none" w:sz="0" w:space="0" w:color="auto"/>
        <w:bottom w:val="none" w:sz="0" w:space="0" w:color="auto"/>
        <w:right w:val="none" w:sz="0" w:space="0" w:color="auto"/>
      </w:divBdr>
    </w:div>
    <w:div w:id="903956710">
      <w:bodyDiv w:val="1"/>
      <w:marLeft w:val="0"/>
      <w:marRight w:val="0"/>
      <w:marTop w:val="0"/>
      <w:marBottom w:val="0"/>
      <w:divBdr>
        <w:top w:val="none" w:sz="0" w:space="0" w:color="auto"/>
        <w:left w:val="none" w:sz="0" w:space="0" w:color="auto"/>
        <w:bottom w:val="none" w:sz="0" w:space="0" w:color="auto"/>
        <w:right w:val="none" w:sz="0" w:space="0" w:color="auto"/>
      </w:divBdr>
    </w:div>
    <w:div w:id="1195117878">
      <w:bodyDiv w:val="1"/>
      <w:marLeft w:val="0"/>
      <w:marRight w:val="0"/>
      <w:marTop w:val="0"/>
      <w:marBottom w:val="0"/>
      <w:divBdr>
        <w:top w:val="none" w:sz="0" w:space="0" w:color="auto"/>
        <w:left w:val="none" w:sz="0" w:space="0" w:color="auto"/>
        <w:bottom w:val="none" w:sz="0" w:space="0" w:color="auto"/>
        <w:right w:val="none" w:sz="0" w:space="0" w:color="auto"/>
      </w:divBdr>
    </w:div>
    <w:div w:id="1336571898">
      <w:bodyDiv w:val="1"/>
      <w:marLeft w:val="0"/>
      <w:marRight w:val="0"/>
      <w:marTop w:val="0"/>
      <w:marBottom w:val="0"/>
      <w:divBdr>
        <w:top w:val="none" w:sz="0" w:space="0" w:color="auto"/>
        <w:left w:val="none" w:sz="0" w:space="0" w:color="auto"/>
        <w:bottom w:val="none" w:sz="0" w:space="0" w:color="auto"/>
        <w:right w:val="none" w:sz="0" w:space="0" w:color="auto"/>
      </w:divBdr>
    </w:div>
    <w:div w:id="1395197543">
      <w:bodyDiv w:val="1"/>
      <w:marLeft w:val="0"/>
      <w:marRight w:val="0"/>
      <w:marTop w:val="0"/>
      <w:marBottom w:val="0"/>
      <w:divBdr>
        <w:top w:val="none" w:sz="0" w:space="0" w:color="auto"/>
        <w:left w:val="none" w:sz="0" w:space="0" w:color="auto"/>
        <w:bottom w:val="none" w:sz="0" w:space="0" w:color="auto"/>
        <w:right w:val="none" w:sz="0" w:space="0" w:color="auto"/>
      </w:divBdr>
    </w:div>
    <w:div w:id="1492869315">
      <w:bodyDiv w:val="1"/>
      <w:marLeft w:val="0"/>
      <w:marRight w:val="0"/>
      <w:marTop w:val="0"/>
      <w:marBottom w:val="0"/>
      <w:divBdr>
        <w:top w:val="none" w:sz="0" w:space="0" w:color="auto"/>
        <w:left w:val="none" w:sz="0" w:space="0" w:color="auto"/>
        <w:bottom w:val="none" w:sz="0" w:space="0" w:color="auto"/>
        <w:right w:val="none" w:sz="0" w:space="0" w:color="auto"/>
      </w:divBdr>
    </w:div>
    <w:div w:id="1610548905">
      <w:bodyDiv w:val="1"/>
      <w:marLeft w:val="0"/>
      <w:marRight w:val="0"/>
      <w:marTop w:val="0"/>
      <w:marBottom w:val="0"/>
      <w:divBdr>
        <w:top w:val="none" w:sz="0" w:space="0" w:color="auto"/>
        <w:left w:val="none" w:sz="0" w:space="0" w:color="auto"/>
        <w:bottom w:val="none" w:sz="0" w:space="0" w:color="auto"/>
        <w:right w:val="none" w:sz="0" w:space="0" w:color="auto"/>
      </w:divBdr>
    </w:div>
    <w:div w:id="1830099924">
      <w:bodyDiv w:val="1"/>
      <w:marLeft w:val="0"/>
      <w:marRight w:val="0"/>
      <w:marTop w:val="0"/>
      <w:marBottom w:val="0"/>
      <w:divBdr>
        <w:top w:val="none" w:sz="0" w:space="0" w:color="auto"/>
        <w:left w:val="none" w:sz="0" w:space="0" w:color="auto"/>
        <w:bottom w:val="none" w:sz="0" w:space="0" w:color="auto"/>
        <w:right w:val="none" w:sz="0" w:space="0" w:color="auto"/>
      </w:divBdr>
    </w:div>
    <w:div w:id="1924877402">
      <w:bodyDiv w:val="1"/>
      <w:marLeft w:val="0"/>
      <w:marRight w:val="0"/>
      <w:marTop w:val="0"/>
      <w:marBottom w:val="0"/>
      <w:divBdr>
        <w:top w:val="none" w:sz="0" w:space="0" w:color="auto"/>
        <w:left w:val="none" w:sz="0" w:space="0" w:color="auto"/>
        <w:bottom w:val="none" w:sz="0" w:space="0" w:color="auto"/>
        <w:right w:val="none" w:sz="0" w:space="0" w:color="auto"/>
      </w:divBdr>
    </w:div>
    <w:div w:id="2042970817">
      <w:bodyDiv w:val="1"/>
      <w:marLeft w:val="0"/>
      <w:marRight w:val="0"/>
      <w:marTop w:val="0"/>
      <w:marBottom w:val="0"/>
      <w:divBdr>
        <w:top w:val="none" w:sz="0" w:space="0" w:color="auto"/>
        <w:left w:val="none" w:sz="0" w:space="0" w:color="auto"/>
        <w:bottom w:val="none" w:sz="0" w:space="0" w:color="auto"/>
        <w:right w:val="none" w:sz="0" w:space="0" w:color="auto"/>
      </w:divBdr>
    </w:div>
    <w:div w:id="209257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49</TotalTime>
  <Pages>4</Pages>
  <Words>2733</Words>
  <Characters>15581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2020-06-30T13:19:00Z</dcterms:created>
  <dcterms:modified xsi:type="dcterms:W3CDTF">2020-07-03T11:59:00Z</dcterms:modified>
</cp:coreProperties>
</file>