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C40CA" w:rsidP="00201AC2">
      <w:pPr>
        <w:spacing w:after="180"/>
        <w:rPr>
          <w:b/>
          <w:sz w:val="44"/>
          <w:szCs w:val="44"/>
        </w:rPr>
      </w:pPr>
      <w:r w:rsidRPr="00BC40CA">
        <w:rPr>
          <w:b/>
          <w:sz w:val="44"/>
          <w:szCs w:val="44"/>
        </w:rPr>
        <w:t>Muscle fuel</w:t>
      </w:r>
    </w:p>
    <w:p w:rsidR="00201AC2" w:rsidRDefault="00201AC2" w:rsidP="00F92B92"/>
    <w:p w:rsidR="00E72DEF" w:rsidRDefault="00F92B92" w:rsidP="00E72DEF">
      <w:pPr>
        <w:spacing w:after="180"/>
        <w:jc w:val="center"/>
      </w:pPr>
      <w:r>
        <w:rPr>
          <w:noProof/>
          <w:lang w:eastAsia="en-GB"/>
        </w:rPr>
        <w:drawing>
          <wp:inline distT="0" distB="0" distL="0" distR="0">
            <wp:extent cx="2695575" cy="21992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uscle fu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06658" cy="2208268"/>
                    </a:xfrm>
                    <a:prstGeom prst="rect">
                      <a:avLst/>
                    </a:prstGeom>
                  </pic:spPr>
                </pic:pic>
              </a:graphicData>
            </a:graphic>
          </wp:inline>
        </w:drawing>
      </w:r>
    </w:p>
    <w:p w:rsidR="00E72DEF" w:rsidRDefault="00E72DEF" w:rsidP="00E72DEF">
      <w:pPr>
        <w:spacing w:after="180"/>
      </w:pPr>
    </w:p>
    <w:p w:rsidR="00E72DEF" w:rsidRDefault="00E72DEF" w:rsidP="00E72DEF">
      <w:pPr>
        <w:spacing w:after="180"/>
      </w:pPr>
      <w:r>
        <w:t>Your teacher is going to add a few drops of ‘muscle fuel’ to a piece of fresh muscle.</w:t>
      </w:r>
    </w:p>
    <w:p w:rsidR="00E72DEF" w:rsidRDefault="00E72DEF" w:rsidP="00E72DEF">
      <w:pPr>
        <w:spacing w:after="180"/>
      </w:pPr>
      <w:r>
        <w:t>The ‘muscle fuel’ contains everything a muscle needs to work.</w:t>
      </w:r>
    </w:p>
    <w:p w:rsidR="00E72DEF" w:rsidRDefault="00E72DEF" w:rsidP="00E72DEF">
      <w:pPr>
        <w:spacing w:after="180"/>
      </w:pPr>
    </w:p>
    <w:p w:rsidR="00E72DEF" w:rsidRPr="00E172C6" w:rsidRDefault="00E72DEF" w:rsidP="00E72DEF">
      <w:pPr>
        <w:spacing w:after="180"/>
        <w:rPr>
          <w:b/>
        </w:rPr>
      </w:pPr>
      <w:r>
        <w:rPr>
          <w:b/>
        </w:rPr>
        <w:t>Predict</w:t>
      </w:r>
    </w:p>
    <w:p w:rsidR="00E72DEF" w:rsidRDefault="00E72DEF" w:rsidP="00E72DEF">
      <w:pPr>
        <w:spacing w:after="180"/>
      </w:pPr>
      <w:r>
        <w:t xml:space="preserve">What will happen to the piece of muscle when the ‘muscle fuel’ is added? </w:t>
      </w:r>
    </w:p>
    <w:p w:rsidR="00E72DEF" w:rsidRDefault="00E72DEF" w:rsidP="00E72DEF">
      <w:pPr>
        <w:spacing w:after="180"/>
      </w:pPr>
    </w:p>
    <w:p w:rsidR="00E72DEF" w:rsidRPr="00E172C6" w:rsidRDefault="00E72DEF" w:rsidP="00E72DEF">
      <w:pPr>
        <w:spacing w:after="180"/>
        <w:rPr>
          <w:b/>
        </w:rPr>
      </w:pPr>
      <w:r>
        <w:rPr>
          <w:b/>
        </w:rPr>
        <w:t>Explain</w:t>
      </w:r>
    </w:p>
    <w:p w:rsidR="00E72DEF" w:rsidRDefault="00E72DEF" w:rsidP="00E72DEF">
      <w:pPr>
        <w:spacing w:after="180"/>
      </w:pPr>
      <w:r>
        <w:t>Explain why you think this will happen.</w:t>
      </w:r>
    </w:p>
    <w:p w:rsidR="00E72DEF" w:rsidRDefault="00E72DEF" w:rsidP="00E72DEF">
      <w:pPr>
        <w:spacing w:after="180"/>
      </w:pPr>
    </w:p>
    <w:p w:rsidR="00E72DEF" w:rsidRDefault="00E72DEF" w:rsidP="00E72DEF"/>
    <w:tbl>
      <w:tblPr>
        <w:tblStyle w:val="TableGrid"/>
        <w:tblW w:w="0" w:type="auto"/>
        <w:tblLook w:val="04A0" w:firstRow="1" w:lastRow="0" w:firstColumn="1" w:lastColumn="0" w:noHBand="0" w:noVBand="1"/>
      </w:tblPr>
      <w:tblGrid>
        <w:gridCol w:w="9242"/>
      </w:tblGrid>
      <w:tr w:rsidR="00E72DEF" w:rsidTr="00DA3F80">
        <w:tc>
          <w:tcPr>
            <w:tcW w:w="9242" w:type="dxa"/>
          </w:tcPr>
          <w:p w:rsidR="00E72DEF" w:rsidRDefault="00E72DEF" w:rsidP="00E72DEF">
            <w:pPr>
              <w:spacing w:before="120" w:after="120"/>
            </w:pPr>
            <w:r>
              <w:t>Your teacher will now add a few drops of ‘muscle fuel’ to the piece of muscle.</w:t>
            </w:r>
          </w:p>
        </w:tc>
      </w:tr>
    </w:tbl>
    <w:p w:rsidR="00E72DEF" w:rsidRDefault="00E72DEF" w:rsidP="00E72DEF">
      <w:pPr>
        <w:spacing w:after="180"/>
      </w:pPr>
    </w:p>
    <w:p w:rsidR="00E72DEF" w:rsidRDefault="00E72DEF" w:rsidP="00E72DEF"/>
    <w:p w:rsidR="00E72DEF" w:rsidRPr="00E172C6" w:rsidRDefault="00E72DEF" w:rsidP="00E72DEF">
      <w:pPr>
        <w:spacing w:after="180"/>
        <w:rPr>
          <w:b/>
        </w:rPr>
      </w:pPr>
      <w:r>
        <w:rPr>
          <w:b/>
        </w:rPr>
        <w:t>Observe</w:t>
      </w:r>
    </w:p>
    <w:p w:rsidR="00E72DEF" w:rsidRDefault="00E72DEF" w:rsidP="00E72DEF">
      <w:pPr>
        <w:spacing w:after="180"/>
      </w:pPr>
      <w:r>
        <w:t>Watch what happens to the piece of muscle.</w:t>
      </w:r>
    </w:p>
    <w:p w:rsidR="00E72DEF" w:rsidRDefault="00E72DEF" w:rsidP="00E72DEF">
      <w:pPr>
        <w:spacing w:after="180"/>
      </w:pPr>
    </w:p>
    <w:p w:rsidR="00E72DEF" w:rsidRPr="00E172C6" w:rsidRDefault="00E72DEF" w:rsidP="00E72DEF">
      <w:pPr>
        <w:spacing w:after="180"/>
        <w:rPr>
          <w:b/>
        </w:rPr>
      </w:pPr>
      <w:r>
        <w:rPr>
          <w:b/>
        </w:rPr>
        <w:t>Explain</w:t>
      </w:r>
    </w:p>
    <w:p w:rsidR="00E72DEF" w:rsidRDefault="00E72DEF" w:rsidP="00E72DEF">
      <w:pPr>
        <w:spacing w:after="180"/>
      </w:pPr>
      <w:r>
        <w:t>Was your prediction correct?</w:t>
      </w:r>
    </w:p>
    <w:p w:rsidR="00E72DEF" w:rsidRDefault="00E72DEF" w:rsidP="00E72DEF">
      <w:pPr>
        <w:spacing w:after="180"/>
      </w:pPr>
      <w:r>
        <w:t>If not, how would you explain what you observed?</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0C5728" w:rsidP="00196B5F">
      <w:pPr>
        <w:spacing w:after="120"/>
        <w:rPr>
          <w:i/>
          <w:sz w:val="18"/>
          <w:szCs w:val="18"/>
        </w:rPr>
      </w:pPr>
      <w:r w:rsidRPr="000C5728">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BC40CA" w:rsidP="006F3279">
            <w:pPr>
              <w:spacing w:after="60"/>
              <w:ind w:left="1304"/>
              <w:rPr>
                <w:b/>
                <w:sz w:val="40"/>
                <w:szCs w:val="40"/>
              </w:rPr>
            </w:pPr>
            <w:r w:rsidRPr="00BC40CA">
              <w:rPr>
                <w:b/>
                <w:sz w:val="40"/>
                <w:szCs w:val="40"/>
              </w:rPr>
              <w:t>Muscle fuel</w:t>
            </w:r>
          </w:p>
        </w:tc>
      </w:tr>
    </w:tbl>
    <w:p w:rsidR="006F3279" w:rsidRDefault="006F3279" w:rsidP="00E72DEF">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C5728" w:rsidTr="003F16F9">
        <w:trPr>
          <w:trHeight w:val="340"/>
        </w:trPr>
        <w:tc>
          <w:tcPr>
            <w:tcW w:w="2196" w:type="dxa"/>
          </w:tcPr>
          <w:p w:rsidR="000C5728" w:rsidRDefault="000C5728" w:rsidP="000C5728">
            <w:pPr>
              <w:spacing w:before="60" w:after="60"/>
            </w:pPr>
            <w:r>
              <w:t>Learning focus:</w:t>
            </w:r>
          </w:p>
        </w:tc>
        <w:tc>
          <w:tcPr>
            <w:tcW w:w="6820" w:type="dxa"/>
          </w:tcPr>
          <w:p w:rsidR="000C5728" w:rsidRDefault="000C5728" w:rsidP="000C5728">
            <w:pPr>
              <w:spacing w:before="60" w:after="60"/>
            </w:pPr>
            <w:r w:rsidRPr="00802DF6">
              <w:t>Bones and muscles are tissues that work together with organs in organ systems to support the life processes of cells to keep organisms alive.</w:t>
            </w:r>
          </w:p>
        </w:tc>
      </w:tr>
      <w:tr w:rsidR="000C5728" w:rsidTr="003F16F9">
        <w:trPr>
          <w:trHeight w:val="340"/>
        </w:trPr>
        <w:tc>
          <w:tcPr>
            <w:tcW w:w="2196" w:type="dxa"/>
          </w:tcPr>
          <w:p w:rsidR="000C5728" w:rsidRDefault="000C5728" w:rsidP="000C5728">
            <w:pPr>
              <w:spacing w:before="60" w:after="60"/>
            </w:pPr>
            <w:r>
              <w:t>Observable learning outcome:</w:t>
            </w:r>
          </w:p>
        </w:tc>
        <w:tc>
          <w:tcPr>
            <w:tcW w:w="6820" w:type="dxa"/>
          </w:tcPr>
          <w:p w:rsidR="000C5728" w:rsidRPr="00A50C9C" w:rsidRDefault="004735AB" w:rsidP="000C5728">
            <w:pPr>
              <w:spacing w:before="60" w:after="60"/>
              <w:rPr>
                <w:b/>
              </w:rPr>
            </w:pPr>
            <w:r w:rsidRPr="004735AB">
              <w:t>Recognise that muscles, including antagonistic muscles, move bones by contracting.</w:t>
            </w:r>
          </w:p>
        </w:tc>
        <w:bookmarkStart w:id="0" w:name="_GoBack"/>
        <w:bookmarkEnd w:id="0"/>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0C5728" w:rsidP="0009089A">
            <w:pPr>
              <w:spacing w:before="60" w:after="60"/>
            </w:pPr>
            <w:r w:rsidRPr="000C5728">
              <w:t>Practical PEOE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C5728" w:rsidP="000C5728">
            <w:pPr>
              <w:spacing w:before="60" w:after="60"/>
            </w:pPr>
            <w:r>
              <w:t>muscle, tissue</w:t>
            </w:r>
          </w:p>
        </w:tc>
      </w:tr>
    </w:tbl>
    <w:p w:rsidR="00E172C6" w:rsidRDefault="00E172C6" w:rsidP="00E72DEF"/>
    <w:p w:rsidR="004032EA" w:rsidRPr="000C5728" w:rsidRDefault="00725106" w:rsidP="00E72DEF">
      <w:pPr>
        <w:spacing w:after="120"/>
      </w:pPr>
      <w:r w:rsidRPr="000C5728">
        <w:t>This activity can help develop students’ understanding</w:t>
      </w:r>
      <w:r w:rsidR="004032EA" w:rsidRPr="000C5728">
        <w:t xml:space="preserve"> </w:t>
      </w:r>
      <w:r w:rsidR="000C5728" w:rsidRPr="000C5728">
        <w:t xml:space="preserve">of how muscles move bones by contracting, and specifically </w:t>
      </w:r>
      <w:r w:rsidR="00E56304">
        <w:t xml:space="preserve">the idea </w:t>
      </w:r>
      <w:r w:rsidR="000C5728" w:rsidRPr="000C5728">
        <w:t xml:space="preserve">that muscles can only pull. It can be used in response to </w:t>
      </w:r>
      <w:r w:rsidR="004032EA" w:rsidRPr="000C5728">
        <w:t xml:space="preserve">the following diagnostic </w:t>
      </w:r>
      <w:r w:rsidR="005908A7" w:rsidRPr="000C5728">
        <w:t>question</w:t>
      </w:r>
      <w:r w:rsidR="000C5728" w:rsidRPr="000C5728">
        <w:t>s</w:t>
      </w:r>
      <w:r w:rsidR="004032EA" w:rsidRPr="000C5728">
        <w:t>:</w:t>
      </w:r>
    </w:p>
    <w:p w:rsidR="004032EA" w:rsidRPr="000C5728" w:rsidRDefault="004032EA" w:rsidP="00E72DEF">
      <w:pPr>
        <w:pStyle w:val="ListParagraph"/>
        <w:numPr>
          <w:ilvl w:val="0"/>
          <w:numId w:val="1"/>
        </w:numPr>
        <w:spacing w:after="120"/>
      </w:pPr>
      <w:r w:rsidRPr="000C5728">
        <w:t>Diagnostic</w:t>
      </w:r>
      <w:r w:rsidR="00E610E5" w:rsidRPr="000C5728">
        <w:t xml:space="preserve"> question</w:t>
      </w:r>
      <w:r w:rsidR="000C5728" w:rsidRPr="000C5728">
        <w:t>: Biceps and triceps</w:t>
      </w:r>
    </w:p>
    <w:p w:rsidR="00C05571" w:rsidRPr="00A82D25" w:rsidRDefault="00BB44B4" w:rsidP="00E72DEF">
      <w:pPr>
        <w:spacing w:after="120"/>
        <w:rPr>
          <w:b/>
          <w:color w:val="538135"/>
          <w:sz w:val="24"/>
        </w:rPr>
      </w:pPr>
      <w:r w:rsidRPr="00A82D25">
        <w:rPr>
          <w:b/>
          <w:color w:val="538135"/>
          <w:sz w:val="24"/>
        </w:rPr>
        <w:t>What does the research say</w:t>
      </w:r>
      <w:r w:rsidR="00C05571" w:rsidRPr="00A82D25">
        <w:rPr>
          <w:b/>
          <w:color w:val="538135"/>
          <w:sz w:val="24"/>
        </w:rPr>
        <w:t>?</w:t>
      </w:r>
    </w:p>
    <w:p w:rsidR="00E56304" w:rsidRDefault="00E56304" w:rsidP="00E72DEF">
      <w:pPr>
        <w:spacing w:after="120"/>
      </w:pPr>
      <w:r>
        <w:t xml:space="preserve">Several studies have found that children up to age 20 struggle to appreciate that individual bones are not isolated but are connected to make a functional skeleton </w:t>
      </w:r>
      <w:r>
        <w:fldChar w:fldCharType="begin"/>
      </w:r>
      <w:r>
        <w:instrText xml:space="preserve"> ADDIN EN.CITE &lt;EndNote&gt;&lt;Cite&gt;&lt;Author&gt;Guichard&lt;/Author&gt;&lt;Year&gt;1995&lt;/Year&gt;&lt;IDText&gt;Designing tools to develop the conception of learners&lt;/IDText&gt;&lt;DisplayText&gt;(Guichard, 1995; Tunnicliffe and Reiss, 1999)&lt;/DisplayText&gt;&lt;record&gt;&lt;keywords&gt;&lt;keyword&gt;g6,B&lt;/keyword&gt;&lt;/keywords&gt;&lt;titles&gt;&lt;title&gt;Designing tools to develop the conception of learners&lt;/title&gt;&lt;secondary-title&gt;International Journal of Science Education&lt;/secondary-title&gt;&lt;/titles&gt;&lt;pages&gt;243-253&lt;/pages&gt;&lt;number&gt;2&lt;/number&gt;&lt;contributors&gt;&lt;authors&gt;&lt;author&gt;Guichard, J.&lt;/author&gt;&lt;/authors&gt;&lt;/contributors&gt;&lt;added-date format="utc"&gt;1528984335&lt;/added-date&gt;&lt;ref-type name="Journal Article"&gt;17&lt;/ref-type&gt;&lt;dates&gt;&lt;year&gt;1995&lt;/year&gt;&lt;/dates&gt;&lt;rec-number&gt;2378&lt;/rec-number&gt;&lt;last-updated-date format="utc"&gt;1546703286&lt;/last-updated-date&gt;&lt;volume&gt;17&lt;/volume&gt;&lt;/record&gt;&lt;/Cite&gt;&lt;Cite&gt;&lt;Author&gt;Tunnicliffe&lt;/Author&gt;&lt;Year&gt;1999&lt;/Year&gt;&lt;IDText&gt;Students´ understanding about animal skeletons&lt;/IDText&gt;&lt;record&gt;&lt;keywords&gt;&lt;keyword&gt;g6,B&lt;/keyword&gt;&lt;/keywords&gt;&lt;titles&gt;&lt;title&gt;Students´ understanding about animal skeletons&lt;/title&gt;&lt;secondary-title&gt;International Journal of Science Education&lt;/secondary-title&gt;&lt;/titles&gt;&lt;pages&gt;1187-1200&lt;/pages&gt;&lt;number&gt;11&lt;/number&gt;&lt;contributors&gt;&lt;authors&gt;&lt;author&gt;Tunnicliffe, S. D.&lt;/author&gt;&lt;author&gt;Reiss, M. J.&lt;/author&gt;&lt;/authors&gt;&lt;/contributors&gt;&lt;added-date format="utc"&gt;1528984558&lt;/added-date&gt;&lt;ref-type name="Journal Article"&gt;17&lt;/ref-type&gt;&lt;dates&gt;&lt;year&gt;1999&lt;/year&gt;&lt;/dates&gt;&lt;rec-number&gt;6366&lt;/rec-number&gt;&lt;last-updated-date format="utc"&gt;1546703319&lt;/last-updated-date&gt;&lt;volume&gt;21&lt;/volume&gt;&lt;/record&gt;&lt;/Cite&gt;&lt;/EndNote&gt;</w:instrText>
      </w:r>
      <w:r>
        <w:fldChar w:fldCharType="separate"/>
      </w:r>
      <w:r>
        <w:rPr>
          <w:noProof/>
        </w:rPr>
        <w:t>(Guichard, 1995; Tunnicliffe and Reiss, 1999)</w:t>
      </w:r>
      <w:r>
        <w:fldChar w:fldCharType="end"/>
      </w:r>
      <w:r>
        <w:t xml:space="preserve">. While young children only recognise the supportive and protective (static) functions of the skeleton, older children understand that the skeleton is necessary for movement; however, only one fifth of the older children in one study could draw muscles correctly across a joint </w:t>
      </w:r>
      <w:r>
        <w:fldChar w:fldCharType="begin"/>
      </w:r>
      <w:r>
        <w:instrText xml:space="preserve"> ADDIN EN.CITE &lt;EndNote&gt;&lt;Cite&gt;&lt;Author&gt;Caravita&lt;/Author&gt;&lt;Year&gt;1988&lt;/Year&gt;&lt;IDText&gt;Investigating pupils&amp;apos; conceptualization in the biological domain: structure-function relationsships&lt;/IDText&gt;&lt;DisplayText&gt;(Caravita et al., 1988)&lt;/DisplayText&gt;&lt;record&gt;&lt;keywords&gt;&lt;keyword&gt;g6,B&lt;/keyword&gt;&lt;/keywords&gt;&lt;titles&gt;&lt;title&gt;Investigating pupils&amp;apos; conceptualization in the biological domain: structure-function relationsships&lt;/title&gt;&lt;secondary-title&gt;Students&amp;apos; conceptions of subject matter content. Proceedings of a symposium at the 2.Eur. Conf. for Research on Learning and Instruction, Tuebingen, Sept. 1987&lt;/secondary-title&gt;&lt;/titles&gt;&lt;pages&gt;1-19&lt;/pages&gt;&lt;contributors&gt;&lt;authors&gt;&lt;author&gt;Caravita, S.&lt;/author&gt;&lt;author&gt;Tonucci, F.&lt;/author&gt;&lt;author&gt;Consoli, V.&lt;/author&gt;&lt;author&gt;Rusca, G.&lt;/author&gt;&lt;/authors&gt;&lt;/contributors&gt;&lt;added-date format="utc"&gt;1528984260&lt;/added-date&gt;&lt;pub-location&gt;Kiel&lt;/pub-location&gt;&lt;ref-type name="Book Section"&gt;5&lt;/ref-type&gt;&lt;dates&gt;&lt;year&gt;1988&lt;/year&gt;&lt;/dates&gt;&lt;rec-number&gt;934&lt;/rec-number&gt;&lt;publisher&gt;IPN Reports-in-Brief&lt;/publisher&gt;&lt;last-updated-date format="utc"&gt;1546695303&lt;/last-updated-date&gt;&lt;contributors&gt;&lt;secondary-authors&gt;&lt;author&gt;Duit, R. , Saeljoe, R.&lt;/author&gt;&lt;/secondary-authors&gt;&lt;/contributors&gt;&lt;/record&gt;&lt;/Cite&gt;&lt;/EndNote&gt;</w:instrText>
      </w:r>
      <w:r>
        <w:fldChar w:fldCharType="separate"/>
      </w:r>
      <w:r>
        <w:rPr>
          <w:noProof/>
        </w:rPr>
        <w:t>(Caravita et al., 1988)</w:t>
      </w:r>
      <w:r>
        <w:fldChar w:fldCharType="end"/>
      </w:r>
      <w:r>
        <w:t>.</w:t>
      </w:r>
    </w:p>
    <w:p w:rsidR="00972187" w:rsidRDefault="00E56304" w:rsidP="00E72DEF">
      <w:pPr>
        <w:spacing w:after="120"/>
      </w:pPr>
      <w:r>
        <w:t xml:space="preserve">Use of real muscles and bones can help children to understand this more effectively, including the idea that muscles can only pull </w:t>
      </w:r>
      <w:r>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instrText xml:space="preserve"> ADDIN EN.CITE </w:instrText>
      </w:r>
      <w:r>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instrText xml:space="preserve"> ADDIN EN.CITE.DATA </w:instrText>
      </w:r>
      <w:r>
        <w:fldChar w:fldCharType="end"/>
      </w:r>
      <w:r>
        <w:fldChar w:fldCharType="separate"/>
      </w:r>
      <w:r>
        <w:rPr>
          <w:noProof/>
        </w:rPr>
        <w:t>(Haddad, 1995; Goodwyn and Salm, 2007; Fullick, 2011)</w:t>
      </w:r>
      <w:r>
        <w:fldChar w:fldCharType="end"/>
      </w:r>
      <w:r>
        <w:t>.</w:t>
      </w:r>
    </w:p>
    <w:p w:rsidR="007A748B" w:rsidRPr="00A82D25" w:rsidRDefault="007A748B" w:rsidP="00E72DEF">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E56304" w:rsidRDefault="00E56304" w:rsidP="00E72DEF">
      <w:pPr>
        <w:spacing w:after="12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rsidR="00E56304" w:rsidRDefault="00E56304" w:rsidP="00E72DEF">
      <w:pPr>
        <w:spacing w:after="120"/>
      </w:pPr>
      <w:r>
        <w:t xml:space="preserve">Begin by showing the class a strip of muscle fibre </w:t>
      </w:r>
      <w:r w:rsidR="00334CBF">
        <w:t xml:space="preserve">on a microscope slide or white tile, which has been </w:t>
      </w:r>
      <w:r>
        <w:t>cut from a piece of fresh meat such as beef or pork (be aware of religious sensitivities). Use of a visualiser may be helpful, so that all of the class can watch together. Tell the students that you will add a few drops of ‘muscle fuel’ to the strip</w:t>
      </w:r>
      <w:r w:rsidR="00196B5F">
        <w:t xml:space="preserve"> (but don’t add them just yet). T</w:t>
      </w:r>
      <w:r>
        <w:t>h</w:t>
      </w:r>
      <w:r w:rsidR="00196B5F">
        <w:t>e ‘muscle fuel’</w:t>
      </w:r>
      <w:r>
        <w:t xml:space="preserve"> is a solution of ATP (which will trigger muscle contraction) but describing it as ‘muscle fuel’ and saying that it contains everything a muscle needs to work (</w:t>
      </w:r>
      <w:r w:rsidRPr="00196B5F">
        <w:rPr>
          <w:b/>
        </w:rPr>
        <w:t>don’t</w:t>
      </w:r>
      <w:r>
        <w:t xml:space="preserve"> say ”contract”) will be more helpful for students at age 11-14.</w:t>
      </w:r>
    </w:p>
    <w:p w:rsidR="00E56304" w:rsidRDefault="00E56304" w:rsidP="00E72DEF">
      <w:pPr>
        <w:spacing w:after="120"/>
      </w:pPr>
      <w:r w:rsidRPr="00DA3B6C">
        <w:t xml:space="preserve">Students </w:t>
      </w:r>
      <w:r>
        <w:t xml:space="preserve">should then be allowed time to work in pairs or small groups to discuss </w:t>
      </w:r>
      <w:r w:rsidRPr="00E1670C">
        <w:rPr>
          <w:i/>
        </w:rPr>
        <w:t>what</w:t>
      </w:r>
      <w:r w:rsidRPr="00137023">
        <w:t xml:space="preserve"> </w:t>
      </w:r>
      <w:r>
        <w:t xml:space="preserve">they think will happen (prediction), and then to explain </w:t>
      </w:r>
      <w:r w:rsidRPr="00E1670C">
        <w:rPr>
          <w:i/>
        </w:rPr>
        <w:t>why</w:t>
      </w:r>
      <w:r>
        <w:t xml:space="preserve"> they think it will happen (explanation). It is through the discussions that students can check and develop their understanding. If students in any group cannot agree, you may be able to direct them with some careful questioning.</w:t>
      </w:r>
    </w:p>
    <w:p w:rsidR="00E56304" w:rsidRDefault="00E56304" w:rsidP="00E72DEF">
      <w:pPr>
        <w:spacing w:after="120"/>
      </w:pPr>
      <w:r>
        <w:t>You should now add a few drops of ATP solution to the strip of muscle, which should cause it to contract.</w:t>
      </w:r>
    </w:p>
    <w:p w:rsidR="00E56304" w:rsidRDefault="00E56304" w:rsidP="00E72DEF">
      <w:pPr>
        <w:spacing w:after="120"/>
      </w:pPr>
      <w:r>
        <w:lastRenderedPageBreak/>
        <w:t xml:space="preserve">After the practical each group should be given the opportunity to change, or improve their explanation in light of their observations. A good way to review your students’ thinking might be through a structured class discussion. You could ask several groups for their </w:t>
      </w:r>
      <w:r w:rsidRPr="0073341E">
        <w:t>explanations</w:t>
      </w:r>
      <w:r>
        <w:t xml:space="preserve"> and put these on the whiteboard. Then ask other groups to suggest which explanation is the best and why, the through careful questioning work up a clear ‘class explanation’.</w:t>
      </w:r>
    </w:p>
    <w:p w:rsidR="00E56304" w:rsidRDefault="00E56304" w:rsidP="00E72DEF">
      <w:pPr>
        <w:spacing w:after="120"/>
      </w:pPr>
      <w:r>
        <w:t>A useful follow up is for individual students to then write down explanations in their own words – without reference to the class explanation on the board (i.e. cover it up).</w:t>
      </w:r>
    </w:p>
    <w:p w:rsidR="004032EA" w:rsidRPr="00C54711" w:rsidRDefault="00E56304" w:rsidP="00E72DEF">
      <w:pPr>
        <w:spacing w:after="12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BB44B4" w:rsidRPr="00800549" w:rsidRDefault="004032EA" w:rsidP="00E72DEF">
      <w:pPr>
        <w:spacing w:after="120"/>
        <w:rPr>
          <w:sz w:val="24"/>
        </w:rPr>
      </w:pPr>
      <w:r w:rsidRPr="00A82D25">
        <w:rPr>
          <w:b/>
          <w:color w:val="538135"/>
          <w:sz w:val="24"/>
        </w:rPr>
        <w:t>Equipment</w:t>
      </w:r>
    </w:p>
    <w:p w:rsidR="004032EA" w:rsidRDefault="004032EA" w:rsidP="00E72DEF">
      <w:pPr>
        <w:spacing w:after="120"/>
      </w:pPr>
      <w:r w:rsidRPr="005B1739">
        <w:t>For</w:t>
      </w:r>
      <w:r w:rsidR="00E56304">
        <w:t xml:space="preserve"> demonstration to</w:t>
      </w:r>
      <w:r w:rsidRPr="005B1739">
        <w:t xml:space="preserve"> </w:t>
      </w:r>
      <w:r>
        <w:t>the class</w:t>
      </w:r>
      <w:r w:rsidRPr="005B1739">
        <w:t>:</w:t>
      </w:r>
    </w:p>
    <w:p w:rsidR="004032EA" w:rsidRDefault="00334CBF" w:rsidP="00E72DEF">
      <w:pPr>
        <w:pStyle w:val="ListParagraph"/>
        <w:numPr>
          <w:ilvl w:val="0"/>
          <w:numId w:val="1"/>
        </w:numPr>
        <w:spacing w:after="120"/>
      </w:pPr>
      <w:r>
        <w:t>one strip of muscle tissue, 1 mm wide and 20-30 mm long, cut from fresh beef or pork</w:t>
      </w:r>
    </w:p>
    <w:p w:rsidR="00334CBF" w:rsidRDefault="00334CBF" w:rsidP="00E72DEF">
      <w:pPr>
        <w:pStyle w:val="ListParagraph"/>
        <w:numPr>
          <w:ilvl w:val="0"/>
          <w:numId w:val="1"/>
        </w:numPr>
        <w:spacing w:after="120"/>
      </w:pPr>
      <w:r>
        <w:t>forceps</w:t>
      </w:r>
    </w:p>
    <w:p w:rsidR="00334CBF" w:rsidRDefault="00334CBF" w:rsidP="00E72DEF">
      <w:pPr>
        <w:pStyle w:val="ListParagraph"/>
        <w:numPr>
          <w:ilvl w:val="0"/>
          <w:numId w:val="1"/>
        </w:numPr>
        <w:spacing w:after="120"/>
      </w:pPr>
      <w:r>
        <w:t>microscope slide or white tile</w:t>
      </w:r>
    </w:p>
    <w:p w:rsidR="00334CBF" w:rsidRDefault="00334CBF" w:rsidP="00E72DEF">
      <w:pPr>
        <w:pStyle w:val="ListParagraph"/>
        <w:numPr>
          <w:ilvl w:val="0"/>
          <w:numId w:val="1"/>
        </w:numPr>
        <w:spacing w:after="120"/>
      </w:pPr>
      <w:r w:rsidRPr="00334CBF">
        <w:t>ATP solution in a 1 cm</w:t>
      </w:r>
      <w:r w:rsidRPr="00334CBF">
        <w:rPr>
          <w:vertAlign w:val="superscript"/>
        </w:rPr>
        <w:t>3</w:t>
      </w:r>
      <w:r w:rsidRPr="00334CBF">
        <w:t xml:space="preserve"> syringe </w:t>
      </w:r>
      <w:r>
        <w:t>(</w:t>
      </w:r>
      <w:r w:rsidRPr="00334CBF">
        <w:t xml:space="preserve">at the concentration </w:t>
      </w:r>
      <w:r>
        <w:t>provided by the supplier)</w:t>
      </w:r>
    </w:p>
    <w:p w:rsidR="00334CBF" w:rsidRDefault="00334CBF" w:rsidP="00E72DEF">
      <w:pPr>
        <w:pStyle w:val="ListParagraph"/>
        <w:numPr>
          <w:ilvl w:val="0"/>
          <w:numId w:val="1"/>
        </w:numPr>
        <w:spacing w:after="120"/>
      </w:pPr>
      <w:r>
        <w:t>kitchen towel</w:t>
      </w:r>
    </w:p>
    <w:p w:rsidR="00334CBF" w:rsidRDefault="00334CBF" w:rsidP="00E72DEF">
      <w:pPr>
        <w:pStyle w:val="ListParagraph"/>
        <w:numPr>
          <w:ilvl w:val="0"/>
          <w:numId w:val="1"/>
        </w:numPr>
        <w:spacing w:after="120"/>
      </w:pPr>
      <w:r>
        <w:t>disinfectant</w:t>
      </w:r>
    </w:p>
    <w:p w:rsidR="00334CBF" w:rsidRDefault="00334CBF" w:rsidP="00E72DEF">
      <w:pPr>
        <w:pStyle w:val="ListParagraph"/>
        <w:numPr>
          <w:ilvl w:val="0"/>
          <w:numId w:val="1"/>
        </w:numPr>
        <w:spacing w:after="120"/>
      </w:pPr>
      <w:r>
        <w:t>visualiser (optional)</w:t>
      </w:r>
    </w:p>
    <w:p w:rsidR="001B632F" w:rsidRPr="00F92B92" w:rsidRDefault="001B632F" w:rsidP="00E72DEF">
      <w:pPr>
        <w:spacing w:after="120"/>
      </w:pPr>
      <w:r w:rsidRPr="001B632F">
        <w:t xml:space="preserve">The meat needs to be very fresh and should be cut </w:t>
      </w:r>
      <w:r>
        <w:t>along the length of the muscle (</w:t>
      </w:r>
      <w:r w:rsidRPr="001B632F">
        <w:t>parallel to the fibres</w:t>
      </w:r>
      <w:r>
        <w:t>).</w:t>
      </w:r>
      <w:r w:rsidR="00F92B92">
        <w:t xml:space="preserve"> Be aware of religious sensitivities when using meat.</w:t>
      </w:r>
    </w:p>
    <w:p w:rsidR="001B632F" w:rsidRPr="000947E2" w:rsidRDefault="001B632F" w:rsidP="00E72DEF">
      <w:pPr>
        <w:spacing w:after="120"/>
      </w:pPr>
      <w:r w:rsidRPr="0028562D">
        <w:t xml:space="preserve">Wipe </w:t>
      </w:r>
      <w:r w:rsidR="00584371">
        <w:t>surfaces</w:t>
      </w:r>
      <w:r w:rsidRPr="0028562D">
        <w:t xml:space="preserve"> with disinfectant afterwards.</w:t>
      </w:r>
    </w:p>
    <w:p w:rsidR="00E172C6" w:rsidRPr="00A82D25" w:rsidRDefault="00BB44B4" w:rsidP="00E72DEF">
      <w:pPr>
        <w:spacing w:after="120"/>
        <w:rPr>
          <w:b/>
          <w:color w:val="538135"/>
          <w:sz w:val="24"/>
        </w:rPr>
      </w:pPr>
      <w:r w:rsidRPr="00A82D25">
        <w:rPr>
          <w:b/>
          <w:color w:val="538135"/>
          <w:sz w:val="24"/>
        </w:rPr>
        <w:t>Expected answers</w:t>
      </w:r>
    </w:p>
    <w:p w:rsidR="00BF6C8A" w:rsidRDefault="00F92B92" w:rsidP="00E72DEF">
      <w:pPr>
        <w:spacing w:after="120"/>
      </w:pPr>
      <w:r>
        <w:t>Students should predict that the piece of muscle will get shorter, because the ‘muscle fuel’ makes it contract. They may also suggest that it will relax and get longer again (return to its or</w:t>
      </w:r>
      <w:r w:rsidR="007375D2">
        <w:t>iginal length) when the fuel has</w:t>
      </w:r>
      <w:r>
        <w:t xml:space="preserve"> been used up.</w:t>
      </w:r>
    </w:p>
    <w:p w:rsidR="003117F6" w:rsidRPr="00A82D25" w:rsidRDefault="00CC78A5" w:rsidP="00E72DEF">
      <w:pPr>
        <w:spacing w:after="120"/>
        <w:rPr>
          <w:b/>
          <w:color w:val="538135"/>
          <w:sz w:val="24"/>
        </w:rPr>
      </w:pPr>
      <w:r w:rsidRPr="00A82D25">
        <w:rPr>
          <w:b/>
          <w:color w:val="538135"/>
          <w:sz w:val="24"/>
        </w:rPr>
        <w:t>Acknowledgments</w:t>
      </w:r>
    </w:p>
    <w:p w:rsidR="00D278E8" w:rsidRDefault="00D278E8" w:rsidP="00E72DEF">
      <w:pPr>
        <w:spacing w:after="120"/>
      </w:pPr>
      <w:r w:rsidRPr="00E72DEF">
        <w:t xml:space="preserve">Developed </w:t>
      </w:r>
      <w:r w:rsidR="0015356E" w:rsidRPr="00E72DEF">
        <w:t xml:space="preserve">by </w:t>
      </w:r>
      <w:r w:rsidR="00E72DEF" w:rsidRPr="00E72DEF">
        <w:t>Alistair Moore</w:t>
      </w:r>
      <w:r w:rsidR="0015356E" w:rsidRPr="00E72DEF">
        <w:t xml:space="preserve"> (UYSEG), </w:t>
      </w:r>
      <w:r w:rsidRPr="00E72DEF">
        <w:t xml:space="preserve">from an </w:t>
      </w:r>
      <w:r w:rsidR="00E72DEF" w:rsidRPr="00E72DEF">
        <w:t>activity originally developed for the Twenty First Century Science Project</w:t>
      </w:r>
      <w:r w:rsidRPr="00E72DEF">
        <w:t>.</w:t>
      </w:r>
    </w:p>
    <w:p w:rsidR="00CC78A5" w:rsidRPr="00196B5F" w:rsidRDefault="00D278E8" w:rsidP="00E72DEF">
      <w:pPr>
        <w:spacing w:after="120"/>
      </w:pPr>
      <w:r w:rsidRPr="00196B5F">
        <w:t xml:space="preserve">Images: </w:t>
      </w:r>
      <w:r w:rsidR="00E72DEF" w:rsidRPr="00196B5F">
        <w:t>adapted by UYSEG from pixabay.com/LillyCantabile (3314164)</w:t>
      </w:r>
    </w:p>
    <w:p w:rsidR="003117F6" w:rsidRPr="00A82D25" w:rsidRDefault="003117F6" w:rsidP="00E72DEF">
      <w:pPr>
        <w:spacing w:after="120"/>
        <w:rPr>
          <w:b/>
          <w:color w:val="538135"/>
          <w:sz w:val="24"/>
        </w:rPr>
      </w:pPr>
      <w:r w:rsidRPr="00A82D25">
        <w:rPr>
          <w:b/>
          <w:color w:val="538135"/>
          <w:sz w:val="24"/>
        </w:rPr>
        <w:t>References</w:t>
      </w:r>
    </w:p>
    <w:p w:rsidR="00E72DEF" w:rsidRPr="00F92B92" w:rsidRDefault="00E72DEF" w:rsidP="00F92B92">
      <w:pPr>
        <w:pStyle w:val="EndNoteBibliography"/>
        <w:spacing w:after="80"/>
        <w:rPr>
          <w:sz w:val="18"/>
          <w:szCs w:val="20"/>
        </w:rPr>
      </w:pPr>
      <w:r w:rsidRPr="00F92B92">
        <w:rPr>
          <w:sz w:val="18"/>
          <w:szCs w:val="20"/>
        </w:rPr>
        <w:fldChar w:fldCharType="begin"/>
      </w:r>
      <w:r w:rsidRPr="00F92B92">
        <w:rPr>
          <w:sz w:val="18"/>
          <w:szCs w:val="20"/>
        </w:rPr>
        <w:instrText xml:space="preserve"> ADDIN EN.REFLIST </w:instrText>
      </w:r>
      <w:r w:rsidRPr="00F92B92">
        <w:rPr>
          <w:sz w:val="18"/>
          <w:szCs w:val="20"/>
        </w:rPr>
        <w:fldChar w:fldCharType="separate"/>
      </w:r>
      <w:r w:rsidRPr="00F92B92">
        <w:rPr>
          <w:sz w:val="18"/>
          <w:szCs w:val="20"/>
        </w:rPr>
        <w:t xml:space="preserve">Caravita, S., et al. (1988). Investigating pupils' conceptualization in the biological domain: structure-function relationsships. In Duit, R., Saeljoe, R. (ed.) </w:t>
      </w:r>
      <w:r w:rsidRPr="00F92B92">
        <w:rPr>
          <w:i/>
          <w:sz w:val="18"/>
          <w:szCs w:val="20"/>
        </w:rPr>
        <w:t>Students' conceptions of subject matter content. Proceedings of a symposium at the 2.Eur. Conf. for Research on Learning and Instruction, Tuebingen, Sept. 1987.</w:t>
      </w:r>
      <w:r w:rsidRPr="00F92B92">
        <w:rPr>
          <w:sz w:val="18"/>
          <w:szCs w:val="20"/>
        </w:rPr>
        <w:t xml:space="preserve"> Kiel: IPN Reports-in-Brief.</w:t>
      </w:r>
    </w:p>
    <w:p w:rsidR="00E72DEF" w:rsidRPr="00F92B92" w:rsidRDefault="00E72DEF" w:rsidP="00F92B92">
      <w:pPr>
        <w:pStyle w:val="EndNoteBibliography"/>
        <w:spacing w:after="80"/>
        <w:rPr>
          <w:sz w:val="18"/>
          <w:szCs w:val="20"/>
        </w:rPr>
      </w:pPr>
      <w:r w:rsidRPr="00F92B92">
        <w:rPr>
          <w:sz w:val="18"/>
          <w:szCs w:val="20"/>
        </w:rPr>
        <w:t xml:space="preserve">Fullick, A. (2011). Gas exchange, movement and fitness. In Reiss, M. (ed.) </w:t>
      </w:r>
      <w:r w:rsidRPr="00F92B92">
        <w:rPr>
          <w:i/>
          <w:sz w:val="18"/>
          <w:szCs w:val="20"/>
        </w:rPr>
        <w:t xml:space="preserve">ASE Science Practice: Teaching Secondary Biology. </w:t>
      </w:r>
      <w:r w:rsidRPr="00F92B92">
        <w:rPr>
          <w:sz w:val="18"/>
          <w:szCs w:val="20"/>
        </w:rPr>
        <w:t>2nd ed. London, UK: Hodder Education.</w:t>
      </w:r>
    </w:p>
    <w:p w:rsidR="00E72DEF" w:rsidRPr="00F92B92" w:rsidRDefault="00E72DEF" w:rsidP="00F92B92">
      <w:pPr>
        <w:pStyle w:val="EndNoteBibliography"/>
        <w:spacing w:after="80"/>
        <w:rPr>
          <w:sz w:val="18"/>
          <w:szCs w:val="20"/>
        </w:rPr>
      </w:pPr>
      <w:r w:rsidRPr="00F92B92">
        <w:rPr>
          <w:sz w:val="18"/>
          <w:szCs w:val="20"/>
        </w:rPr>
        <w:t xml:space="preserve">Goodwyn, L. and Salm, S. (2007). Modeling muscles. </w:t>
      </w:r>
      <w:r w:rsidRPr="00F92B92">
        <w:rPr>
          <w:i/>
          <w:sz w:val="18"/>
          <w:szCs w:val="20"/>
        </w:rPr>
        <w:t>Science Teacher,</w:t>
      </w:r>
      <w:r w:rsidRPr="00F92B92">
        <w:rPr>
          <w:sz w:val="18"/>
          <w:szCs w:val="20"/>
        </w:rPr>
        <w:t xml:space="preserve"> 74(9)</w:t>
      </w:r>
      <w:r w:rsidRPr="00F92B92">
        <w:rPr>
          <w:b/>
          <w:sz w:val="18"/>
          <w:szCs w:val="20"/>
        </w:rPr>
        <w:t>,</w:t>
      </w:r>
      <w:r w:rsidRPr="00F92B92">
        <w:rPr>
          <w:sz w:val="18"/>
          <w:szCs w:val="20"/>
        </w:rPr>
        <w:t xml:space="preserve"> 49-52.</w:t>
      </w:r>
    </w:p>
    <w:p w:rsidR="00E72DEF" w:rsidRPr="00F92B92" w:rsidRDefault="00E72DEF" w:rsidP="00F92B92">
      <w:pPr>
        <w:pStyle w:val="EndNoteBibliography"/>
        <w:spacing w:after="80"/>
        <w:rPr>
          <w:sz w:val="18"/>
          <w:szCs w:val="20"/>
        </w:rPr>
      </w:pPr>
      <w:r w:rsidRPr="00F92B92">
        <w:rPr>
          <w:sz w:val="18"/>
          <w:szCs w:val="20"/>
        </w:rPr>
        <w:t xml:space="preserve">Guichard, J. (1995). Designing tools to develop the conception of learners. </w:t>
      </w:r>
      <w:r w:rsidRPr="00F92B92">
        <w:rPr>
          <w:i/>
          <w:sz w:val="18"/>
          <w:szCs w:val="20"/>
        </w:rPr>
        <w:t>International Journal of Science Education,</w:t>
      </w:r>
      <w:r w:rsidRPr="00F92B92">
        <w:rPr>
          <w:sz w:val="18"/>
          <w:szCs w:val="20"/>
        </w:rPr>
        <w:t xml:space="preserve"> 17(2)</w:t>
      </w:r>
      <w:r w:rsidRPr="00F92B92">
        <w:rPr>
          <w:b/>
          <w:sz w:val="18"/>
          <w:szCs w:val="20"/>
        </w:rPr>
        <w:t>,</w:t>
      </w:r>
      <w:r w:rsidRPr="00F92B92">
        <w:rPr>
          <w:sz w:val="18"/>
          <w:szCs w:val="20"/>
        </w:rPr>
        <w:t xml:space="preserve"> 243-253.</w:t>
      </w:r>
    </w:p>
    <w:p w:rsidR="00E72DEF" w:rsidRPr="00F92B92" w:rsidRDefault="00E72DEF" w:rsidP="00F92B92">
      <w:pPr>
        <w:pStyle w:val="EndNoteBibliography"/>
        <w:spacing w:after="80"/>
        <w:rPr>
          <w:sz w:val="18"/>
          <w:szCs w:val="20"/>
        </w:rPr>
      </w:pPr>
      <w:r w:rsidRPr="00F92B92">
        <w:rPr>
          <w:sz w:val="18"/>
          <w:szCs w:val="20"/>
        </w:rPr>
        <w:t xml:space="preserve">Haddad, R. (1995). Teaching about muscles: are your students flexing their minds as they extend their knowledge? </w:t>
      </w:r>
      <w:r w:rsidRPr="00F92B92">
        <w:rPr>
          <w:i/>
          <w:sz w:val="18"/>
          <w:szCs w:val="20"/>
        </w:rPr>
        <w:t>American Biology Teacher,</w:t>
      </w:r>
      <w:r w:rsidRPr="00F92B92">
        <w:rPr>
          <w:sz w:val="18"/>
          <w:szCs w:val="20"/>
        </w:rPr>
        <w:t xml:space="preserve"> 57</w:t>
      </w:r>
      <w:r w:rsidRPr="00F92B92">
        <w:rPr>
          <w:b/>
          <w:sz w:val="18"/>
          <w:szCs w:val="20"/>
        </w:rPr>
        <w:t>,</w:t>
      </w:r>
      <w:r w:rsidRPr="00F92B92">
        <w:rPr>
          <w:sz w:val="18"/>
          <w:szCs w:val="20"/>
        </w:rPr>
        <w:t xml:space="preserve"> 178-80.</w:t>
      </w:r>
    </w:p>
    <w:p w:rsidR="00A82D25" w:rsidRPr="000F28B4" w:rsidRDefault="00E72DEF" w:rsidP="00F92B92">
      <w:pPr>
        <w:pStyle w:val="EndNoteBibliography"/>
        <w:spacing w:after="80"/>
        <w:rPr>
          <w:sz w:val="20"/>
        </w:rPr>
      </w:pPr>
      <w:r w:rsidRPr="00F92B92">
        <w:rPr>
          <w:sz w:val="18"/>
          <w:szCs w:val="20"/>
        </w:rPr>
        <w:t xml:space="preserve">Tunnicliffe, S. D. and Reiss, M. J. (1999). Students´ understanding about animal skeletons. </w:t>
      </w:r>
      <w:r w:rsidRPr="00F92B92">
        <w:rPr>
          <w:i/>
          <w:sz w:val="18"/>
          <w:szCs w:val="20"/>
        </w:rPr>
        <w:t>International Journal of Science Education,</w:t>
      </w:r>
      <w:r w:rsidRPr="00F92B92">
        <w:rPr>
          <w:sz w:val="18"/>
          <w:szCs w:val="20"/>
        </w:rPr>
        <w:t xml:space="preserve"> 21(11)</w:t>
      </w:r>
      <w:r w:rsidRPr="00F92B92">
        <w:rPr>
          <w:b/>
          <w:sz w:val="18"/>
          <w:szCs w:val="20"/>
        </w:rPr>
        <w:t>,</w:t>
      </w:r>
      <w:r w:rsidRPr="00F92B92">
        <w:rPr>
          <w:sz w:val="18"/>
          <w:szCs w:val="20"/>
        </w:rPr>
        <w:t xml:space="preserve"> 1187-1200.</w:t>
      </w:r>
      <w:r w:rsidRPr="00F92B92">
        <w:rPr>
          <w:sz w:val="18"/>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0CA" w:rsidRDefault="00BC40CA" w:rsidP="000B473B">
      <w:r>
        <w:separator/>
      </w:r>
    </w:p>
  </w:endnote>
  <w:endnote w:type="continuationSeparator" w:id="0">
    <w:p w:rsidR="00BC40CA" w:rsidRDefault="00BC40C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CFE00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C3CC2">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8C812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C3CC2">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0CA" w:rsidRDefault="00BC40CA" w:rsidP="000B473B">
      <w:r>
        <w:separator/>
      </w:r>
    </w:p>
  </w:footnote>
  <w:footnote w:type="continuationSeparator" w:id="0">
    <w:p w:rsidR="00BC40CA" w:rsidRDefault="00BC40C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1BF68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8580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C40CA"/>
    <w:rsid w:val="00015578"/>
    <w:rsid w:val="00024731"/>
    <w:rsid w:val="00026DEC"/>
    <w:rsid w:val="000505CA"/>
    <w:rsid w:val="0007651D"/>
    <w:rsid w:val="0009089A"/>
    <w:rsid w:val="000947E2"/>
    <w:rsid w:val="00095E04"/>
    <w:rsid w:val="000B473B"/>
    <w:rsid w:val="000C5728"/>
    <w:rsid w:val="000D0E89"/>
    <w:rsid w:val="000E2689"/>
    <w:rsid w:val="000F28B4"/>
    <w:rsid w:val="00142613"/>
    <w:rsid w:val="00144DA7"/>
    <w:rsid w:val="0015356E"/>
    <w:rsid w:val="00161D3F"/>
    <w:rsid w:val="001915D4"/>
    <w:rsid w:val="00194675"/>
    <w:rsid w:val="00196B5F"/>
    <w:rsid w:val="001A1FED"/>
    <w:rsid w:val="001A40E2"/>
    <w:rsid w:val="001B632F"/>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34CBF"/>
    <w:rsid w:val="003533B8"/>
    <w:rsid w:val="003752BE"/>
    <w:rsid w:val="003A346A"/>
    <w:rsid w:val="003A50A4"/>
    <w:rsid w:val="003B2917"/>
    <w:rsid w:val="003B541B"/>
    <w:rsid w:val="003E2B2F"/>
    <w:rsid w:val="003E6046"/>
    <w:rsid w:val="003F16F9"/>
    <w:rsid w:val="004032EA"/>
    <w:rsid w:val="00430C1F"/>
    <w:rsid w:val="00442595"/>
    <w:rsid w:val="0045323E"/>
    <w:rsid w:val="004735AB"/>
    <w:rsid w:val="004B0EE1"/>
    <w:rsid w:val="004C3CC2"/>
    <w:rsid w:val="004D0D83"/>
    <w:rsid w:val="004E1DF1"/>
    <w:rsid w:val="004E5592"/>
    <w:rsid w:val="0050055B"/>
    <w:rsid w:val="00524710"/>
    <w:rsid w:val="00555342"/>
    <w:rsid w:val="005560E2"/>
    <w:rsid w:val="00584371"/>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375D2"/>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C40CA"/>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56304"/>
    <w:rsid w:val="00E610E5"/>
    <w:rsid w:val="00E72DEF"/>
    <w:rsid w:val="00E9330A"/>
    <w:rsid w:val="00EE6B97"/>
    <w:rsid w:val="00F12C3B"/>
    <w:rsid w:val="00F26884"/>
    <w:rsid w:val="00F72ECC"/>
    <w:rsid w:val="00F8355F"/>
    <w:rsid w:val="00F92B92"/>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D9C20E"/>
  <w15:docId w15:val="{9844A1AD-9849-4119-8F4F-BB71DA8A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72DE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72DEF"/>
    <w:rPr>
      <w:rFonts w:ascii="Calibri" w:hAnsi="Calibri" w:cs="Calibri"/>
      <w:noProof/>
      <w:lang w:val="en-US"/>
    </w:rPr>
  </w:style>
  <w:style w:type="paragraph" w:customStyle="1" w:styleId="EndNoteBibliography">
    <w:name w:val="EndNote Bibliography"/>
    <w:basedOn w:val="Normal"/>
    <w:link w:val="EndNoteBibliographyChar"/>
    <w:rsid w:val="00E72DEF"/>
    <w:rPr>
      <w:rFonts w:ascii="Calibri" w:hAnsi="Calibri" w:cs="Calibri"/>
      <w:noProof/>
      <w:lang w:val="en-US"/>
    </w:rPr>
  </w:style>
  <w:style w:type="character" w:customStyle="1" w:styleId="EndNoteBibliographyChar">
    <w:name w:val="EndNote Bibliography Char"/>
    <w:basedOn w:val="DefaultParagraphFont"/>
    <w:link w:val="EndNoteBibliography"/>
    <w:rsid w:val="00E72DE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2019-01-06T13:47:00Z</dcterms:created>
  <dcterms:modified xsi:type="dcterms:W3CDTF">2019-03-14T17:05:00Z</dcterms:modified>
</cp:coreProperties>
</file>