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FE42C7" w:rsidP="007B18B8">
      <w:pPr>
        <w:spacing w:after="180"/>
        <w:rPr>
          <w:b/>
          <w:sz w:val="44"/>
          <w:szCs w:val="44"/>
        </w:rPr>
      </w:pPr>
      <w:r>
        <w:rPr>
          <w:b/>
          <w:sz w:val="44"/>
          <w:szCs w:val="44"/>
        </w:rPr>
        <w:t>Magic finger</w:t>
      </w:r>
    </w:p>
    <w:p w:rsidR="007B18B8" w:rsidRDefault="007B18B8" w:rsidP="007B18B8">
      <w:pPr>
        <w:spacing w:after="180"/>
      </w:pPr>
    </w:p>
    <w:p w:rsidR="00FE42C7" w:rsidRPr="00FE42C7" w:rsidRDefault="00FE42C7" w:rsidP="00FE42C7">
      <w:pPr>
        <w:spacing w:line="278" w:lineRule="auto"/>
      </w:pPr>
      <w:r w:rsidRPr="00FE42C7">
        <w:rPr>
          <w:lang w:val="en-US"/>
        </w:rPr>
        <w:t>A science teacher shows her class how to do a magic trick.</w:t>
      </w:r>
    </w:p>
    <w:p w:rsidR="00FE42C7" w:rsidRPr="00FE42C7" w:rsidRDefault="00FE42C7" w:rsidP="00746D73">
      <w:pPr>
        <w:spacing w:after="360"/>
      </w:pPr>
      <w:r w:rsidRPr="00FE42C7">
        <w:rPr>
          <w:lang w:val="en-US"/>
        </w:rPr>
        <w:t>She removes the middle of her finger with a glass block!</w:t>
      </w:r>
    </w:p>
    <w:p w:rsidR="007B18B8" w:rsidRPr="00201AC2" w:rsidRDefault="00FE42C7" w:rsidP="00FE42C7">
      <w:pPr>
        <w:spacing w:after="240"/>
        <w:jc w:val="center"/>
        <w:rPr>
          <w:szCs w:val="18"/>
        </w:rPr>
      </w:pPr>
      <w:r>
        <w:rPr>
          <w:noProof/>
          <w:szCs w:val="18"/>
          <w:lang w:eastAsia="en-GB"/>
        </w:rPr>
        <w:drawing>
          <wp:inline distT="0" distB="0" distL="0" distR="0" wp14:anchorId="5489D001">
            <wp:extent cx="2438400" cy="21765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8487" cy="2185599"/>
                    </a:xfrm>
                    <a:prstGeom prst="rect">
                      <a:avLst/>
                    </a:prstGeom>
                    <a:noFill/>
                  </pic:spPr>
                </pic:pic>
              </a:graphicData>
            </a:graphic>
          </wp:inline>
        </w:drawing>
      </w:r>
    </w:p>
    <w:p w:rsidR="00746D73" w:rsidRDefault="00746D73" w:rsidP="00746D73">
      <w:pPr>
        <w:spacing w:line="278" w:lineRule="auto"/>
        <w:rPr>
          <w:szCs w:val="18"/>
          <w:lang w:val="en-US"/>
        </w:rPr>
      </w:pPr>
    </w:p>
    <w:p w:rsidR="00746D73" w:rsidRPr="00746D73" w:rsidRDefault="00746D73" w:rsidP="00746D73">
      <w:pPr>
        <w:spacing w:after="120" w:line="278" w:lineRule="auto"/>
        <w:rPr>
          <w:sz w:val="28"/>
          <w:szCs w:val="28"/>
        </w:rPr>
      </w:pPr>
      <w:r w:rsidRPr="00746D73">
        <w:rPr>
          <w:sz w:val="28"/>
          <w:szCs w:val="28"/>
          <w:lang w:val="en-US"/>
        </w:rPr>
        <w:t>How can you explain the magic trick?</w:t>
      </w:r>
    </w:p>
    <w:p w:rsidR="007B18B8" w:rsidRDefault="007B18B8" w:rsidP="00746D73">
      <w:r w:rsidRPr="00746D73">
        <w:t>Put a tick (</w:t>
      </w:r>
      <w:r w:rsidRPr="00746D73">
        <w:sym w:font="Wingdings" w:char="F0FC"/>
      </w:r>
      <w:r w:rsidRPr="00746D73">
        <w:t>) in the box next to the best answer.</w:t>
      </w:r>
      <w:r>
        <w:tab/>
      </w:r>
    </w:p>
    <w:p w:rsidR="007B18B8" w:rsidRDefault="007B18B8" w:rsidP="007B18B8">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746D73" w:rsidTr="00677EDD">
        <w:trPr>
          <w:cantSplit/>
          <w:trHeight w:hRule="exact" w:val="567"/>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r w:rsidRPr="00746D73">
              <w:rPr>
                <w:rFonts w:eastAsia="Times New Roman" w:cs="Times New Roman"/>
                <w:b/>
                <w:lang w:eastAsia="en-GB"/>
              </w:rPr>
              <w:t>A</w:t>
            </w:r>
          </w:p>
        </w:tc>
        <w:tc>
          <w:tcPr>
            <w:tcW w:w="7655" w:type="dxa"/>
            <w:tcBorders>
              <w:right w:val="single" w:sz="4" w:space="0" w:color="auto"/>
            </w:tcBorders>
            <w:vAlign w:val="center"/>
          </w:tcPr>
          <w:p w:rsidR="007B18B8" w:rsidRPr="00746D73" w:rsidRDefault="00746D73" w:rsidP="00677EDD">
            <w:pPr>
              <w:tabs>
                <w:tab w:val="right" w:leader="dot" w:pos="8680"/>
              </w:tabs>
            </w:pPr>
            <w:r w:rsidRPr="00746D73">
              <w:t>Light changes direction as it moves through the glass</w:t>
            </w:r>
          </w:p>
        </w:tc>
        <w:tc>
          <w:tcPr>
            <w:tcW w:w="567" w:type="dxa"/>
            <w:tcBorders>
              <w:top w:val="single" w:sz="4" w:space="0" w:color="auto"/>
              <w:left w:val="single" w:sz="4" w:space="0" w:color="auto"/>
              <w:bottom w:val="single" w:sz="4" w:space="0" w:color="auto"/>
              <w:right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746D73" w:rsidTr="00677EDD">
        <w:trPr>
          <w:cantSplit/>
          <w:trHeight w:hRule="exact" w:val="170"/>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r w:rsidRPr="00746D73">
              <w:rPr>
                <w:rFonts w:eastAsia="Times New Roman" w:cs="Times New Roman"/>
                <w:b/>
                <w:lang w:eastAsia="en-GB"/>
              </w:rPr>
              <w:t xml:space="preserve"> </w:t>
            </w:r>
          </w:p>
        </w:tc>
        <w:tc>
          <w:tcPr>
            <w:tcW w:w="7655" w:type="dxa"/>
          </w:tcPr>
          <w:p w:rsidR="007B18B8" w:rsidRPr="00746D7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746D73" w:rsidTr="00677EDD">
        <w:trPr>
          <w:cantSplit/>
          <w:trHeight w:hRule="exact" w:val="567"/>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r w:rsidRPr="00746D73">
              <w:rPr>
                <w:rFonts w:eastAsia="Times New Roman" w:cs="Times New Roman"/>
                <w:b/>
                <w:lang w:eastAsia="en-GB"/>
              </w:rPr>
              <w:t>B</w:t>
            </w:r>
          </w:p>
        </w:tc>
        <w:tc>
          <w:tcPr>
            <w:tcW w:w="7655" w:type="dxa"/>
            <w:tcBorders>
              <w:right w:val="single" w:sz="4" w:space="0" w:color="auto"/>
            </w:tcBorders>
            <w:vAlign w:val="center"/>
          </w:tcPr>
          <w:p w:rsidR="007B18B8" w:rsidRPr="00746D73" w:rsidRDefault="00746D73" w:rsidP="00677EDD">
            <w:pPr>
              <w:tabs>
                <w:tab w:val="right" w:leader="dot" w:pos="8680"/>
              </w:tabs>
            </w:pPr>
            <w:r w:rsidRPr="00746D73">
              <w:t>Light changes direction as it enters and leaves the glass</w:t>
            </w:r>
          </w:p>
        </w:tc>
        <w:tc>
          <w:tcPr>
            <w:tcW w:w="567" w:type="dxa"/>
            <w:tcBorders>
              <w:top w:val="single" w:sz="4" w:space="0" w:color="auto"/>
              <w:left w:val="single" w:sz="4" w:space="0" w:color="auto"/>
              <w:bottom w:val="single" w:sz="4" w:space="0" w:color="auto"/>
              <w:right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746D73" w:rsidTr="00677EDD">
        <w:trPr>
          <w:cantSplit/>
          <w:trHeight w:hRule="exact" w:val="170"/>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p>
        </w:tc>
        <w:tc>
          <w:tcPr>
            <w:tcW w:w="7655" w:type="dxa"/>
          </w:tcPr>
          <w:p w:rsidR="007B18B8" w:rsidRPr="00746D7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746D73" w:rsidTr="00677EDD">
        <w:trPr>
          <w:cantSplit/>
          <w:trHeight w:hRule="exact" w:val="567"/>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r w:rsidRPr="00746D73">
              <w:rPr>
                <w:rFonts w:eastAsia="Times New Roman" w:cs="Times New Roman"/>
                <w:b/>
                <w:lang w:eastAsia="en-GB"/>
              </w:rPr>
              <w:t>C</w:t>
            </w:r>
          </w:p>
        </w:tc>
        <w:tc>
          <w:tcPr>
            <w:tcW w:w="7655" w:type="dxa"/>
            <w:tcBorders>
              <w:right w:val="single" w:sz="4" w:space="0" w:color="auto"/>
            </w:tcBorders>
            <w:vAlign w:val="center"/>
          </w:tcPr>
          <w:p w:rsidR="007B18B8" w:rsidRPr="00746D73" w:rsidRDefault="00746D73" w:rsidP="00677EDD">
            <w:pPr>
              <w:tabs>
                <w:tab w:val="right" w:leader="dot" w:pos="8680"/>
              </w:tabs>
            </w:pPr>
            <w:r w:rsidRPr="00746D73">
              <w:t>The glass moves the image to one side</w:t>
            </w:r>
          </w:p>
        </w:tc>
        <w:tc>
          <w:tcPr>
            <w:tcW w:w="567" w:type="dxa"/>
            <w:tcBorders>
              <w:top w:val="single" w:sz="4" w:space="0" w:color="auto"/>
              <w:left w:val="single" w:sz="4" w:space="0" w:color="auto"/>
              <w:bottom w:val="single" w:sz="4" w:space="0" w:color="auto"/>
              <w:right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746D73" w:rsidTr="00677EDD">
        <w:trPr>
          <w:cantSplit/>
          <w:trHeight w:hRule="exact" w:val="170"/>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p>
        </w:tc>
        <w:tc>
          <w:tcPr>
            <w:tcW w:w="7655" w:type="dxa"/>
          </w:tcPr>
          <w:p w:rsidR="007B18B8" w:rsidRPr="00746D7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746D73"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746D73" w:rsidRDefault="007B18B8" w:rsidP="00677EDD">
            <w:pPr>
              <w:tabs>
                <w:tab w:val="right" w:leader="dot" w:pos="8680"/>
              </w:tabs>
              <w:jc w:val="center"/>
              <w:rPr>
                <w:rFonts w:eastAsia="Times New Roman" w:cs="Times New Roman"/>
                <w:b/>
                <w:lang w:eastAsia="en-GB"/>
              </w:rPr>
            </w:pPr>
            <w:r w:rsidRPr="00746D73">
              <w:rPr>
                <w:rFonts w:eastAsia="Times New Roman" w:cs="Times New Roman"/>
                <w:b/>
                <w:lang w:eastAsia="en-GB"/>
              </w:rPr>
              <w:t>D</w:t>
            </w:r>
          </w:p>
        </w:tc>
        <w:tc>
          <w:tcPr>
            <w:tcW w:w="7655" w:type="dxa"/>
            <w:tcBorders>
              <w:right w:val="single" w:sz="4" w:space="0" w:color="auto"/>
            </w:tcBorders>
            <w:vAlign w:val="center"/>
          </w:tcPr>
          <w:p w:rsidR="007B18B8" w:rsidRPr="00746D73" w:rsidRDefault="00746D73" w:rsidP="00677EDD">
            <w:pPr>
              <w:tabs>
                <w:tab w:val="right" w:leader="dot" w:pos="8680"/>
              </w:tabs>
            </w:pPr>
            <w:r w:rsidRPr="00746D73">
              <w:t>The glass twists the image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746D73">
        <w:rPr>
          <w:i/>
          <w:sz w:val="18"/>
          <w:szCs w:val="18"/>
        </w:rPr>
        <w:t>PSL: Sound, light and waves</w:t>
      </w:r>
      <w:r w:rsidR="0007651D">
        <w:rPr>
          <w:i/>
          <w:sz w:val="18"/>
          <w:szCs w:val="18"/>
        </w:rPr>
        <w:t xml:space="preserve"> &gt; Topic </w:t>
      </w:r>
      <w:r>
        <w:rPr>
          <w:i/>
          <w:sz w:val="18"/>
          <w:szCs w:val="18"/>
        </w:rPr>
        <w:t>P</w:t>
      </w:r>
      <w:r w:rsidR="00746D73">
        <w:rPr>
          <w:i/>
          <w:sz w:val="18"/>
          <w:szCs w:val="18"/>
        </w:rPr>
        <w:t>SL3</w:t>
      </w:r>
      <w:r w:rsidR="0007651D">
        <w:rPr>
          <w:i/>
          <w:sz w:val="18"/>
          <w:szCs w:val="18"/>
        </w:rPr>
        <w:t xml:space="preserve">: </w:t>
      </w:r>
      <w:r w:rsidR="00746D73">
        <w:rPr>
          <w:i/>
          <w:sz w:val="18"/>
          <w:szCs w:val="18"/>
        </w:rPr>
        <w:t>Making images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46D73">
        <w:rPr>
          <w:i/>
          <w:sz w:val="18"/>
          <w:szCs w:val="18"/>
        </w:rPr>
        <w:t>PSL3.</w:t>
      </w:r>
      <w:r w:rsidR="006F0AD6">
        <w:rPr>
          <w:i/>
          <w:sz w:val="18"/>
          <w:szCs w:val="18"/>
        </w:rPr>
        <w:t>2</w:t>
      </w:r>
      <w:r w:rsidR="006F3279" w:rsidRPr="00CA4B46">
        <w:rPr>
          <w:i/>
          <w:sz w:val="18"/>
          <w:szCs w:val="18"/>
        </w:rPr>
        <w:t xml:space="preserve">: </w:t>
      </w:r>
      <w:r w:rsidR="00746D73">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46D73" w:rsidP="006F3279">
            <w:pPr>
              <w:spacing w:after="60"/>
              <w:ind w:left="1304"/>
              <w:rPr>
                <w:b/>
                <w:sz w:val="40"/>
                <w:szCs w:val="40"/>
              </w:rPr>
            </w:pPr>
            <w:r>
              <w:rPr>
                <w:b/>
                <w:sz w:val="40"/>
                <w:szCs w:val="40"/>
              </w:rPr>
              <w:t>Magic finger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4E5C6F" w:rsidRDefault="004E5C6F" w:rsidP="0007651D">
            <w:pPr>
              <w:spacing w:before="60" w:after="60"/>
            </w:pPr>
            <w:r w:rsidRPr="004E5C6F">
              <w:rPr>
                <w:rFonts w:cstheme="minorHAnsi"/>
              </w:rPr>
              <w:t>All light from each point of an object that passes through a converging lens is bent (refracted) to a corresponding point in a sharp image.</w:t>
            </w:r>
          </w:p>
        </w:tc>
      </w:tr>
      <w:tr w:rsidR="003F16F9" w:rsidTr="004E5C6F">
        <w:trPr>
          <w:trHeight w:val="340"/>
        </w:trPr>
        <w:tc>
          <w:tcPr>
            <w:tcW w:w="2196" w:type="dxa"/>
            <w:vAlign w:val="center"/>
          </w:tcPr>
          <w:p w:rsidR="003F16F9" w:rsidRDefault="00B75483" w:rsidP="003F16F9">
            <w:pPr>
              <w:spacing w:before="60" w:after="60"/>
            </w:pPr>
            <w:r>
              <w:t>Observable learning outcome</w:t>
            </w:r>
            <w:r w:rsidR="003F16F9">
              <w:t>:</w:t>
            </w:r>
          </w:p>
        </w:tc>
        <w:tc>
          <w:tcPr>
            <w:tcW w:w="6820" w:type="dxa"/>
            <w:vAlign w:val="center"/>
          </w:tcPr>
          <w:p w:rsidR="003F16F9" w:rsidRPr="004E5C6F" w:rsidRDefault="004E5C6F" w:rsidP="004E5C6F">
            <w:pPr>
              <w:rPr>
                <w:rFonts w:cstheme="minorHAnsi"/>
              </w:rPr>
            </w:pPr>
            <w:r w:rsidRPr="004E5C6F">
              <w:rPr>
                <w:rFonts w:cstheme="minorHAnsi"/>
              </w:rPr>
              <w:t xml:space="preserve">Recall that light </w:t>
            </w:r>
            <w:r>
              <w:rPr>
                <w:rFonts w:cstheme="minorHAnsi"/>
              </w:rPr>
              <w:t xml:space="preserve">can </w:t>
            </w:r>
            <w:r w:rsidRPr="004E5C6F">
              <w:rPr>
                <w:rFonts w:cstheme="minorHAnsi"/>
              </w:rPr>
              <w:t>change direction</w:t>
            </w:r>
            <w:r>
              <w:rPr>
                <w:rFonts w:cstheme="minorHAnsi"/>
              </w:rPr>
              <w:t xml:space="preserve"> (refract</w:t>
            </w:r>
            <w:r w:rsidRPr="004E5C6F">
              <w:rPr>
                <w:rFonts w:cstheme="minorHAnsi"/>
              </w:rPr>
              <w:t>) when it passes across a boundary between transparent media</w:t>
            </w:r>
            <w:r>
              <w:rPr>
                <w:rFonts w:cstheme="minorHAnsi"/>
              </w:rP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C12E3" w:rsidP="000505CA">
            <w:pPr>
              <w:spacing w:before="60" w:after="60"/>
            </w:pPr>
            <w:r w:rsidRPr="004C12E3">
              <w:t>Refract, refraction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C12E3" w:rsidRDefault="004C12E3" w:rsidP="004C12E3">
      <w:pPr>
        <w:spacing w:after="180"/>
      </w:pPr>
      <w:r>
        <w:rPr>
          <w:noProof/>
          <w:lang w:eastAsia="en-GB"/>
        </w:rPr>
        <w:drawing>
          <wp:anchor distT="0" distB="0" distL="114300" distR="114300" simplePos="0" relativeHeight="251659264" behindDoc="0" locked="0" layoutInCell="1" allowOverlap="1" wp14:anchorId="6BE1A3EC" wp14:editId="4A5A82CE">
            <wp:simplePos x="0" y="0"/>
            <wp:positionH relativeFrom="column">
              <wp:posOffset>4123690</wp:posOffset>
            </wp:positionH>
            <wp:positionV relativeFrom="paragraph">
              <wp:posOffset>15240</wp:posOffset>
            </wp:positionV>
            <wp:extent cx="1585595" cy="1657350"/>
            <wp:effectExtent l="19050" t="19050" r="14605" b="190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9668" b="-3371"/>
                    <a:stretch/>
                  </pic:blipFill>
                  <pic:spPr bwMode="auto">
                    <a:xfrm>
                      <a:off x="0" y="0"/>
                      <a:ext cx="1585595" cy="1657350"/>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 common strategy for teaching students about refraction is </w:t>
      </w:r>
      <w:r w:rsidR="00714F8A">
        <w:t xml:space="preserve">to </w:t>
      </w:r>
      <w:r>
        <w:t>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more dense medium and vice versa</w:t>
      </w:r>
      <w:r w:rsidR="00425C34">
        <w:t xml:space="preserve"> </w:t>
      </w:r>
      <w:r w:rsidR="00425C34">
        <w:fldChar w:fldCharType="begin"/>
      </w:r>
      <w:r w:rsidR="00425C34">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rsidR="00425C34">
        <w:fldChar w:fldCharType="separate"/>
      </w:r>
      <w:r w:rsidR="00425C34">
        <w:rPr>
          <w:noProof/>
        </w:rPr>
        <w:t>(Tear, 2011)</w:t>
      </w:r>
      <w:r w:rsidR="00425C34">
        <w:fldChar w:fldCharType="end"/>
      </w:r>
      <w:r>
        <w:t xml:space="preserve">. </w:t>
      </w:r>
    </w:p>
    <w:p w:rsidR="00AA5761" w:rsidRPr="00BF48A1" w:rsidRDefault="00AA5761" w:rsidP="00AA5761">
      <w:pPr>
        <w:spacing w:after="180"/>
      </w:pPr>
      <w:r>
        <w:t xml:space="preserve">Students often think of an image as a physical replication of an object which can travel, remain still or turn as a whole. They may ascribe active powers to mirrors, lenses or pinholes to manipulate images in order to explain how they appear in a particular way on a screen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For example,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that over half of 14- to 15-year olds (n=64) thought that when a converging lens is removed, the inverted image it forms is replaced by an image the correct way up. These students are applying the </w:t>
      </w:r>
      <w:r w:rsidR="00BD1910">
        <w:t>misunderstanding</w:t>
      </w:r>
      <w:r>
        <w:t xml:space="preserve"> that a lens actively flips an image that is</w:t>
      </w:r>
      <w:r w:rsidRPr="00DD12CB">
        <w:t xml:space="preserve"> </w:t>
      </w:r>
      <w:r>
        <w:t xml:space="preserve">already there. </w:t>
      </w:r>
    </w:p>
    <w:p w:rsidR="004C12E3" w:rsidRDefault="007A748B" w:rsidP="007B18B8">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C12E3" w:rsidRPr="004C12E3" w:rsidRDefault="004C12E3" w:rsidP="007B18B8">
      <w:pPr>
        <w:spacing w:after="180"/>
      </w:pPr>
      <w:r>
        <w:t xml:space="preserve">A quick demonstration of the ‘magic trick’ can easily be shown to the class by placing a rectangular glass block in front of a finger and turning the glass block. The </w:t>
      </w:r>
      <w:r w:rsidR="00757A15">
        <w:t>students will observe the middle section of the finger shift to the side as light from it is refracted by the block.</w:t>
      </w:r>
    </w:p>
    <w:p w:rsidR="007B18B8" w:rsidRPr="00AE7928" w:rsidRDefault="007B18B8" w:rsidP="007B18B8">
      <w:pPr>
        <w:spacing w:after="180"/>
        <w:rPr>
          <w:rFonts w:cstheme="minorHAnsi"/>
        </w:rPr>
      </w:pPr>
      <w:r w:rsidRPr="00AE7928">
        <w:rPr>
          <w:rFonts w:cstheme="minorHAnsi"/>
        </w:rPr>
        <w:t xml:space="preserve">Students should </w:t>
      </w:r>
      <w:r w:rsidR="00757A15">
        <w:rPr>
          <w:rFonts w:cstheme="minorHAnsi"/>
        </w:rPr>
        <w:t xml:space="preserve">then </w:t>
      </w:r>
      <w:r w:rsidRPr="00AE7928">
        <w:rPr>
          <w:rFonts w:cstheme="minorHAnsi"/>
        </w:rPr>
        <w:t>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757A15" w:rsidP="00D04A0D">
      <w:pPr>
        <w:pStyle w:val="ListParagraph"/>
        <w:numPr>
          <w:ilvl w:val="0"/>
          <w:numId w:val="1"/>
        </w:numPr>
        <w:spacing w:after="180"/>
      </w:pPr>
      <w:r>
        <w:t>Rectangular glass (or Perspex) block</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D2FF3" w:rsidP="00BF6C8A">
      <w:pPr>
        <w:spacing w:after="180"/>
      </w:pPr>
      <w:r>
        <w:t xml:space="preserve">B: </w:t>
      </w:r>
      <w:r w:rsidRPr="007D2FF3">
        <w:t>Light changes direction as it enters and leaves the glass</w:t>
      </w:r>
      <w:r>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D1910" w:rsidRDefault="00BD1910" w:rsidP="00A01222">
      <w:pPr>
        <w:spacing w:after="180"/>
      </w:pPr>
      <w:r w:rsidRPr="00BD1910">
        <w:t xml:space="preserve">Answers C and D </w:t>
      </w:r>
      <w:r>
        <w:t xml:space="preserve">probably show the misunderstanding of an image as a physical replication of an object which can travel, remain still or turn as a whole. </w:t>
      </w:r>
    </w:p>
    <w:p w:rsidR="00A01222" w:rsidRPr="00BD1910" w:rsidRDefault="00BD1910" w:rsidP="00A01222">
      <w:pPr>
        <w:spacing w:after="180"/>
      </w:pPr>
      <w:r w:rsidRPr="00BD1910">
        <w:t xml:space="preserve">Answer A is </w:t>
      </w:r>
      <w:r>
        <w:t xml:space="preserve">close to answer B, but as the light travels through the glass the glass around the light is uniform and there is no physical mechanism to explain how the light can be moved in any one direction. For answer B the transition from air to glass (and vice-versa) provides a potential mechanism to explain a change of direction. </w:t>
      </w:r>
    </w:p>
    <w:p w:rsidR="00A01222" w:rsidRPr="00B40A28" w:rsidRDefault="003C2145" w:rsidP="00A01222">
      <w:pPr>
        <w:spacing w:after="180"/>
      </w:pPr>
      <w:r>
        <w:t>If students have the misunderstanding that an image is shifted or twisted as it move</w:t>
      </w:r>
      <w:r w:rsidR="00ED7471">
        <w:t>s</w:t>
      </w:r>
      <w:r>
        <w:t xml:space="preserve"> through the block,</w:t>
      </w:r>
      <w:r w:rsidR="0093490A">
        <w:t xml:space="preserve"> or i</w:t>
      </w:r>
      <w:r>
        <w:t>f students are unsure about whether answer A or B is correct, it can help to lead a structured class discussion about what could cause a change</w:t>
      </w:r>
      <w:r w:rsidR="0093490A">
        <w:t xml:space="preserve"> in one particular direction</w:t>
      </w:r>
      <w:r>
        <w:t xml:space="preserve">. This can be followed up using the </w:t>
      </w:r>
      <w:r w:rsidR="00A01222" w:rsidRPr="00B40A28">
        <w:t xml:space="preserve">following BEST ‘response </w:t>
      </w:r>
      <w:r w:rsidR="00F2483A" w:rsidRPr="00B40A28">
        <w:t>activit</w:t>
      </w:r>
      <w:r>
        <w:t>y</w:t>
      </w:r>
      <w:r w:rsidR="00A01222" w:rsidRPr="00B40A28">
        <w:t xml:space="preserve">’ </w:t>
      </w:r>
      <w:r>
        <w:t>to confirm the correct science explanation by tracing rays of light through a glass block</w:t>
      </w:r>
      <w:r w:rsidR="00A01222" w:rsidRPr="00B40A28">
        <w:t>:</w:t>
      </w:r>
    </w:p>
    <w:p w:rsidR="00A01222" w:rsidRPr="00B40A28" w:rsidRDefault="00A01222" w:rsidP="00A01222">
      <w:pPr>
        <w:pStyle w:val="ListParagraph"/>
        <w:numPr>
          <w:ilvl w:val="0"/>
          <w:numId w:val="1"/>
        </w:numPr>
        <w:spacing w:after="180"/>
      </w:pPr>
      <w:r w:rsidRPr="00B40A28">
        <w:t xml:space="preserve">Response </w:t>
      </w:r>
      <w:r w:rsidR="00F2483A" w:rsidRPr="00B40A28">
        <w:t>activity</w:t>
      </w:r>
      <w:r w:rsidRPr="00B40A28">
        <w:t xml:space="preserve">: </w:t>
      </w:r>
      <w:r w:rsidR="00B40A28" w:rsidRPr="00B40A28">
        <w:t>Refraction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425C34">
        <w:t>.</w:t>
      </w:r>
    </w:p>
    <w:p w:rsidR="00CC78A5" w:rsidRPr="00425C34" w:rsidRDefault="00D278E8" w:rsidP="00E172C6">
      <w:pPr>
        <w:spacing w:after="180"/>
      </w:pPr>
      <w:r w:rsidRPr="0045323E">
        <w:t xml:space="preserve">Images: </w:t>
      </w:r>
      <w:r w:rsidR="007D536F">
        <w:t>Peter Fairhurst (UYSEG)</w:t>
      </w:r>
      <w:r w:rsidR="00425C34">
        <w:t xml:space="preserve">, finger: </w:t>
      </w:r>
      <w:hyperlink r:id="rId11" w:history="1">
        <w:r w:rsidR="00425C34" w:rsidRPr="00425C34">
          <w:rPr>
            <w:rStyle w:val="Hyperlink"/>
            <w:color w:val="auto"/>
            <w:u w:val="none"/>
          </w:rPr>
          <w:t>https://pixabay.com/vectors/finger-forefinger-trigger-finger-310854/</w:t>
        </w:r>
      </w:hyperlink>
    </w:p>
    <w:p w:rsidR="00425C34" w:rsidRDefault="003117F6" w:rsidP="00E24309">
      <w:pPr>
        <w:spacing w:after="180"/>
        <w:rPr>
          <w:b/>
          <w:color w:val="5F497A" w:themeColor="accent4" w:themeShade="BF"/>
          <w:sz w:val="24"/>
        </w:rPr>
      </w:pPr>
      <w:r w:rsidRPr="002C79AE">
        <w:rPr>
          <w:b/>
          <w:color w:val="5F497A" w:themeColor="accent4" w:themeShade="BF"/>
          <w:sz w:val="24"/>
        </w:rPr>
        <w:t>References</w:t>
      </w:r>
    </w:p>
    <w:p w:rsidR="00425C34" w:rsidRPr="00425C34" w:rsidRDefault="00425C34" w:rsidP="00425C3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25C34">
        <w:t xml:space="preserve">Galili, I. and Hazan, A. (2000). Learners' knowledge in optics: interpretation, structure and analysis. </w:t>
      </w:r>
      <w:r w:rsidRPr="00425C34">
        <w:rPr>
          <w:i/>
        </w:rPr>
        <w:t>International Journal of Science Education,</w:t>
      </w:r>
      <w:r w:rsidRPr="00425C34">
        <w:t xml:space="preserve"> 22(1)</w:t>
      </w:r>
      <w:r w:rsidRPr="00425C34">
        <w:rPr>
          <w:b/>
        </w:rPr>
        <w:t>,</w:t>
      </w:r>
      <w:r w:rsidRPr="00425C34">
        <w:t xml:space="preserve"> 57-88.</w:t>
      </w:r>
    </w:p>
    <w:p w:rsidR="00B46FF9" w:rsidRDefault="00425C34" w:rsidP="003C2145">
      <w:pPr>
        <w:pStyle w:val="EndNoteBibliography"/>
        <w:spacing w:after="120"/>
        <w:rPr>
          <w:b/>
          <w:color w:val="5F497A" w:themeColor="accent4" w:themeShade="BF"/>
          <w:sz w:val="24"/>
        </w:rPr>
      </w:pPr>
      <w:r w:rsidRPr="00425C34">
        <w:t xml:space="preserve">Tear, C. (2011). Sound, light and waves. In Sang, D. (ed.) </w:t>
      </w:r>
      <w:r w:rsidRPr="00425C34">
        <w:rPr>
          <w:i/>
        </w:rPr>
        <w:t>Teaching secondary physics.</w:t>
      </w:r>
      <w:r w:rsidRPr="00425C34">
        <w:t xml:space="preserve"> London: Hodder Education.</w:t>
      </w: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2C7" w:rsidRDefault="00FE42C7" w:rsidP="000B473B">
      <w:r>
        <w:separator/>
      </w:r>
    </w:p>
  </w:endnote>
  <w:endnote w:type="continuationSeparator" w:id="0">
    <w:p w:rsidR="00FE42C7" w:rsidRDefault="00FE42C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69CF8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D7471">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2C7" w:rsidRDefault="00FE42C7" w:rsidP="000B473B">
      <w:r>
        <w:separator/>
      </w:r>
    </w:p>
  </w:footnote>
  <w:footnote w:type="continuationSeparator" w:id="0">
    <w:p w:rsidR="00FE42C7" w:rsidRDefault="00FE42C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E8DE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E725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E42C7"/>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C2145"/>
    <w:rsid w:val="003E2B2F"/>
    <w:rsid w:val="003E6046"/>
    <w:rsid w:val="003F16F9"/>
    <w:rsid w:val="00425C34"/>
    <w:rsid w:val="00430C1F"/>
    <w:rsid w:val="00442595"/>
    <w:rsid w:val="0045323E"/>
    <w:rsid w:val="004B0EE1"/>
    <w:rsid w:val="004B1C32"/>
    <w:rsid w:val="004C12E3"/>
    <w:rsid w:val="004C5D20"/>
    <w:rsid w:val="004D0D83"/>
    <w:rsid w:val="004E1DF1"/>
    <w:rsid w:val="004E5592"/>
    <w:rsid w:val="004E5C6F"/>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0AD6"/>
    <w:rsid w:val="006F3279"/>
    <w:rsid w:val="00704AEE"/>
    <w:rsid w:val="00714F8A"/>
    <w:rsid w:val="00722F9A"/>
    <w:rsid w:val="00746D73"/>
    <w:rsid w:val="00754539"/>
    <w:rsid w:val="00757A15"/>
    <w:rsid w:val="0077646D"/>
    <w:rsid w:val="00781BC6"/>
    <w:rsid w:val="007A3C86"/>
    <w:rsid w:val="007A683E"/>
    <w:rsid w:val="007A748B"/>
    <w:rsid w:val="007B18B8"/>
    <w:rsid w:val="007C26E1"/>
    <w:rsid w:val="007D1D65"/>
    <w:rsid w:val="007D2FF3"/>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3490A"/>
    <w:rsid w:val="00942A4B"/>
    <w:rsid w:val="00961D59"/>
    <w:rsid w:val="009B2D55"/>
    <w:rsid w:val="009C0343"/>
    <w:rsid w:val="009E0D11"/>
    <w:rsid w:val="009F2253"/>
    <w:rsid w:val="00A01222"/>
    <w:rsid w:val="00A24A16"/>
    <w:rsid w:val="00A37D14"/>
    <w:rsid w:val="00A6111E"/>
    <w:rsid w:val="00A6168B"/>
    <w:rsid w:val="00A62028"/>
    <w:rsid w:val="00AA5761"/>
    <w:rsid w:val="00AA5B77"/>
    <w:rsid w:val="00AA6236"/>
    <w:rsid w:val="00AB6AE7"/>
    <w:rsid w:val="00AD21F5"/>
    <w:rsid w:val="00B06225"/>
    <w:rsid w:val="00B23C7A"/>
    <w:rsid w:val="00B305F5"/>
    <w:rsid w:val="00B40A28"/>
    <w:rsid w:val="00B46FF9"/>
    <w:rsid w:val="00B47E1D"/>
    <w:rsid w:val="00B75483"/>
    <w:rsid w:val="00BA7952"/>
    <w:rsid w:val="00BB44B4"/>
    <w:rsid w:val="00BD1910"/>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D7471"/>
    <w:rsid w:val="00EE6B97"/>
    <w:rsid w:val="00F12C3B"/>
    <w:rsid w:val="00F2483A"/>
    <w:rsid w:val="00F26884"/>
    <w:rsid w:val="00F72ECC"/>
    <w:rsid w:val="00F8355F"/>
    <w:rsid w:val="00FA3196"/>
    <w:rsid w:val="00FE4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691D15"/>
  <w15:docId w15:val="{0C5E8BCB-C619-4A8A-8123-AE190670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25C3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5C34"/>
    <w:rPr>
      <w:rFonts w:ascii="Calibri" w:hAnsi="Calibri" w:cs="Calibri"/>
      <w:noProof/>
      <w:lang w:val="en-US"/>
    </w:rPr>
  </w:style>
  <w:style w:type="paragraph" w:customStyle="1" w:styleId="EndNoteBibliography">
    <w:name w:val="EndNote Bibliography"/>
    <w:basedOn w:val="Normal"/>
    <w:link w:val="EndNoteBibliographyChar"/>
    <w:rsid w:val="00425C34"/>
    <w:rPr>
      <w:rFonts w:ascii="Calibri" w:hAnsi="Calibri" w:cs="Calibri"/>
      <w:noProof/>
      <w:lang w:val="en-US"/>
    </w:rPr>
  </w:style>
  <w:style w:type="character" w:customStyle="1" w:styleId="EndNoteBibliographyChar">
    <w:name w:val="EndNote Bibliography Char"/>
    <w:basedOn w:val="DefaultParagraphFont"/>
    <w:link w:val="EndNoteBibliography"/>
    <w:rsid w:val="00425C34"/>
    <w:rPr>
      <w:rFonts w:ascii="Calibri" w:hAnsi="Calibri" w:cs="Calibri"/>
      <w:noProof/>
      <w:lang w:val="en-US"/>
    </w:rPr>
  </w:style>
  <w:style w:type="character" w:styleId="Hyperlink">
    <w:name w:val="Hyperlink"/>
    <w:basedOn w:val="DefaultParagraphFont"/>
    <w:uiPriority w:val="99"/>
    <w:unhideWhenUsed/>
    <w:rsid w:val="00425C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2041">
      <w:bodyDiv w:val="1"/>
      <w:marLeft w:val="0"/>
      <w:marRight w:val="0"/>
      <w:marTop w:val="0"/>
      <w:marBottom w:val="0"/>
      <w:divBdr>
        <w:top w:val="none" w:sz="0" w:space="0" w:color="auto"/>
        <w:left w:val="none" w:sz="0" w:space="0" w:color="auto"/>
        <w:bottom w:val="none" w:sz="0" w:space="0" w:color="auto"/>
        <w:right w:val="none" w:sz="0" w:space="0" w:color="auto"/>
      </w:divBdr>
    </w:div>
    <w:div w:id="9733340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87568176">
      <w:bodyDiv w:val="1"/>
      <w:marLeft w:val="0"/>
      <w:marRight w:val="0"/>
      <w:marTop w:val="0"/>
      <w:marBottom w:val="0"/>
      <w:divBdr>
        <w:top w:val="none" w:sz="0" w:space="0" w:color="auto"/>
        <w:left w:val="none" w:sz="0" w:space="0" w:color="auto"/>
        <w:bottom w:val="none" w:sz="0" w:space="0" w:color="auto"/>
        <w:right w:val="none" w:sz="0" w:space="0" w:color="auto"/>
      </w:divBdr>
    </w:div>
    <w:div w:id="321468809">
      <w:bodyDiv w:val="1"/>
      <w:marLeft w:val="0"/>
      <w:marRight w:val="0"/>
      <w:marTop w:val="0"/>
      <w:marBottom w:val="0"/>
      <w:divBdr>
        <w:top w:val="none" w:sz="0" w:space="0" w:color="auto"/>
        <w:left w:val="none" w:sz="0" w:space="0" w:color="auto"/>
        <w:bottom w:val="none" w:sz="0" w:space="0" w:color="auto"/>
        <w:right w:val="none" w:sz="0" w:space="0" w:color="auto"/>
      </w:divBdr>
    </w:div>
    <w:div w:id="665599653">
      <w:bodyDiv w:val="1"/>
      <w:marLeft w:val="0"/>
      <w:marRight w:val="0"/>
      <w:marTop w:val="0"/>
      <w:marBottom w:val="0"/>
      <w:divBdr>
        <w:top w:val="none" w:sz="0" w:space="0" w:color="auto"/>
        <w:left w:val="none" w:sz="0" w:space="0" w:color="auto"/>
        <w:bottom w:val="none" w:sz="0" w:space="0" w:color="auto"/>
        <w:right w:val="none" w:sz="0" w:space="0" w:color="auto"/>
      </w:divBdr>
    </w:div>
    <w:div w:id="1187446805">
      <w:bodyDiv w:val="1"/>
      <w:marLeft w:val="0"/>
      <w:marRight w:val="0"/>
      <w:marTop w:val="0"/>
      <w:marBottom w:val="0"/>
      <w:divBdr>
        <w:top w:val="none" w:sz="0" w:space="0" w:color="auto"/>
        <w:left w:val="none" w:sz="0" w:space="0" w:color="auto"/>
        <w:bottom w:val="none" w:sz="0" w:space="0" w:color="auto"/>
        <w:right w:val="none" w:sz="0" w:space="0" w:color="auto"/>
      </w:divBdr>
    </w:div>
    <w:div w:id="1739326746">
      <w:bodyDiv w:val="1"/>
      <w:marLeft w:val="0"/>
      <w:marRight w:val="0"/>
      <w:marTop w:val="0"/>
      <w:marBottom w:val="0"/>
      <w:divBdr>
        <w:top w:val="none" w:sz="0" w:space="0" w:color="auto"/>
        <w:left w:val="none" w:sz="0" w:space="0" w:color="auto"/>
        <w:bottom w:val="none" w:sz="0" w:space="0" w:color="auto"/>
        <w:right w:val="none" w:sz="0" w:space="0" w:color="auto"/>
      </w:divBdr>
    </w:div>
    <w:div w:id="188101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finger-forefinger-trigger-finger-310854/"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44</TotalTime>
  <Pages>3</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2019-04-02T06:59:00Z</dcterms:created>
  <dcterms:modified xsi:type="dcterms:W3CDTF">2019-04-09T09:07:00Z</dcterms:modified>
</cp:coreProperties>
</file>