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70572" w14:textId="05E73690" w:rsidR="00304A9C" w:rsidRPr="001A40E2" w:rsidRDefault="0053402A" w:rsidP="00304A9C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Location of evaporation</w:t>
      </w:r>
    </w:p>
    <w:p w14:paraId="6F78CA71" w14:textId="24635686" w:rsidR="00304A9C" w:rsidRDefault="00304A9C" w:rsidP="00304A9C">
      <w:pPr>
        <w:spacing w:after="180"/>
      </w:pPr>
    </w:p>
    <w:p w14:paraId="07FB3DB3" w14:textId="4DD07398" w:rsidR="00304A9C" w:rsidRDefault="0053402A" w:rsidP="00304A9C">
      <w:pPr>
        <w:spacing w:after="180"/>
      </w:pPr>
      <w:r w:rsidRPr="0053402A">
        <w:rPr>
          <w:noProof/>
          <w:szCs w:val="18"/>
        </w:rPr>
        <w:drawing>
          <wp:anchor distT="0" distB="0" distL="114300" distR="114300" simplePos="0" relativeHeight="251658240" behindDoc="0" locked="0" layoutInCell="1" allowOverlap="1" wp14:anchorId="2D75A67F" wp14:editId="09438980">
            <wp:simplePos x="0" y="0"/>
            <wp:positionH relativeFrom="column">
              <wp:posOffset>3562350</wp:posOffset>
            </wp:positionH>
            <wp:positionV relativeFrom="paragraph">
              <wp:posOffset>12065</wp:posOffset>
            </wp:positionV>
            <wp:extent cx="1805940" cy="889000"/>
            <wp:effectExtent l="0" t="0" r="0" b="6350"/>
            <wp:wrapSquare wrapText="bothSides"/>
            <wp:docPr id="2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66F79E21-6CF3-4729-8309-F5EF607976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66F79E21-6CF3-4729-8309-F5EF607976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 liquid is added to a beaker.</w:t>
      </w:r>
    </w:p>
    <w:p w14:paraId="4E9FFE2C" w14:textId="41C079E5" w:rsidR="0053402A" w:rsidRDefault="0053402A" w:rsidP="00304A9C">
      <w:pPr>
        <w:spacing w:after="180"/>
      </w:pPr>
      <w:r>
        <w:t>The beaker is left.</w:t>
      </w:r>
    </w:p>
    <w:p w14:paraId="101123DB" w14:textId="7739B45B" w:rsidR="0053402A" w:rsidRDefault="0053402A" w:rsidP="00304A9C">
      <w:pPr>
        <w:spacing w:after="180"/>
      </w:pPr>
      <w:r>
        <w:t>Where does evaporation take place?</w:t>
      </w:r>
    </w:p>
    <w:p w14:paraId="4C7ABE30" w14:textId="50EF67D5" w:rsidR="00304A9C" w:rsidRDefault="00304A9C" w:rsidP="00304A9C">
      <w:pPr>
        <w:spacing w:after="240"/>
        <w:rPr>
          <w:szCs w:val="18"/>
        </w:rPr>
      </w:pPr>
    </w:p>
    <w:p w14:paraId="0B6F3983" w14:textId="77777777" w:rsidR="0053402A" w:rsidRPr="00201AC2" w:rsidRDefault="0053402A" w:rsidP="00304A9C">
      <w:pPr>
        <w:spacing w:after="240"/>
        <w:rPr>
          <w:szCs w:val="18"/>
        </w:rPr>
      </w:pPr>
    </w:p>
    <w:p w14:paraId="59E2A8BA" w14:textId="77777777" w:rsidR="00304A9C" w:rsidRDefault="00304A9C" w:rsidP="00304A9C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14:paraId="676FD8DC" w14:textId="77777777" w:rsidR="00304A9C" w:rsidRDefault="00304A9C" w:rsidP="00304A9C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304A9C" w:rsidRPr="00AE07E9" w14:paraId="5DA9C6EA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48DF6256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3CCC6518" w14:textId="25206C4B" w:rsidR="00304A9C" w:rsidRPr="009F3146" w:rsidRDefault="0053402A" w:rsidP="00677EDD">
            <w:pPr>
              <w:tabs>
                <w:tab w:val="right" w:leader="dot" w:pos="8680"/>
              </w:tabs>
            </w:pPr>
            <w:r>
              <w:t>at the surface of the liquid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1A1F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0499F62F" w14:textId="77777777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14:paraId="5540ECED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36CE2BD8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E74DEF4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1D15F59A" w14:textId="77777777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1861DC0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31301CD4" w14:textId="6EC6952D" w:rsidR="00304A9C" w:rsidRPr="009F3146" w:rsidRDefault="0053402A" w:rsidP="00677EDD">
            <w:pPr>
              <w:tabs>
                <w:tab w:val="right" w:leader="dot" w:pos="8680"/>
              </w:tabs>
            </w:pPr>
            <w:r>
              <w:t>inside the liquid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AED5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0940967D" w14:textId="77777777" w:rsidTr="0053402A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E7BCEB6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1EB61E0C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BAB64A3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50E235B1" w14:textId="77777777" w:rsidTr="0053402A">
        <w:trPr>
          <w:cantSplit/>
          <w:trHeight w:hRule="exact" w:val="567"/>
        </w:trPr>
        <w:tc>
          <w:tcPr>
            <w:tcW w:w="567" w:type="dxa"/>
            <w:vAlign w:val="center"/>
          </w:tcPr>
          <w:p w14:paraId="0DD9E1A6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AB26588" w14:textId="65CD61E2" w:rsidR="00304A9C" w:rsidRPr="009F3146" w:rsidRDefault="0053402A" w:rsidP="00677EDD">
            <w:pPr>
              <w:tabs>
                <w:tab w:val="right" w:leader="dot" w:pos="8680"/>
              </w:tabs>
            </w:pPr>
            <w:r>
              <w:t>everywhere in the liquid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682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14DC2DEF" w14:textId="77777777" w:rsidTr="0053402A">
        <w:trPr>
          <w:cantSplit/>
          <w:trHeight w:hRule="exact" w:val="170"/>
        </w:trPr>
        <w:tc>
          <w:tcPr>
            <w:tcW w:w="567" w:type="dxa"/>
            <w:vAlign w:val="center"/>
          </w:tcPr>
          <w:p w14:paraId="1132B78C" w14:textId="77777777" w:rsidR="00304A9C" w:rsidRPr="00AE07E9" w:rsidRDefault="00304A9C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61B82D14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1A65372" w14:textId="77777777" w:rsidR="00304A9C" w:rsidRPr="00AE07E9" w:rsidRDefault="00304A9C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3CDCB387" w14:textId="77777777" w:rsidR="00201AC2" w:rsidRPr="00201AC2" w:rsidRDefault="00201AC2" w:rsidP="006F3279">
      <w:pPr>
        <w:spacing w:after="240"/>
        <w:rPr>
          <w:szCs w:val="18"/>
        </w:rPr>
      </w:pPr>
    </w:p>
    <w:p w14:paraId="79E021CD" w14:textId="77777777" w:rsidR="00201AC2" w:rsidRPr="00201AC2" w:rsidRDefault="00201AC2" w:rsidP="006F3279">
      <w:pPr>
        <w:spacing w:after="240"/>
        <w:rPr>
          <w:szCs w:val="18"/>
        </w:rPr>
      </w:pPr>
    </w:p>
    <w:p w14:paraId="267DA006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3C70C50C" w14:textId="562C8B1C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F2CFE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CF2CFE">
        <w:rPr>
          <w:i/>
          <w:sz w:val="18"/>
          <w:szCs w:val="18"/>
        </w:rPr>
        <w:t>CPS5: Evaporation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F2CFE">
        <w:rPr>
          <w:i/>
          <w:sz w:val="18"/>
          <w:szCs w:val="18"/>
        </w:rPr>
        <w:t>CPS5.1: Explaining evaporation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98E3929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D44200C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B8E58F2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033BAB3" w14:textId="0A6F5C1A" w:rsidR="006F3279" w:rsidRPr="00CA4B46" w:rsidRDefault="00CF2CF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Location of evaporation</w:t>
            </w:r>
          </w:p>
        </w:tc>
      </w:tr>
    </w:tbl>
    <w:p w14:paraId="6EF6EF63" w14:textId="77777777" w:rsidR="006F3279" w:rsidRDefault="006F3279" w:rsidP="00E172C6">
      <w:pPr>
        <w:spacing w:after="180"/>
        <w:rPr>
          <w:b/>
        </w:rPr>
      </w:pPr>
    </w:p>
    <w:p w14:paraId="124AA101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6D4BCF1E" w14:textId="77777777" w:rsidTr="003F16F9">
        <w:trPr>
          <w:trHeight w:val="340"/>
        </w:trPr>
        <w:tc>
          <w:tcPr>
            <w:tcW w:w="2196" w:type="dxa"/>
          </w:tcPr>
          <w:p w14:paraId="540F568A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6B77C84B" w14:textId="53782716" w:rsidR="00FA5B3A" w:rsidRDefault="0053402A" w:rsidP="00FA5B3A">
            <w:pPr>
              <w:spacing w:before="60" w:after="60"/>
            </w:pPr>
            <w:r>
              <w:t xml:space="preserve">Evaporation takes place at any temperature </w:t>
            </w:r>
            <w:r w:rsidR="00282286">
              <w:t>between melting and boiling point.</w:t>
            </w:r>
          </w:p>
        </w:tc>
      </w:tr>
      <w:tr w:rsidR="00FA5B3A" w14:paraId="5D277C2F" w14:textId="77777777" w:rsidTr="003F16F9">
        <w:trPr>
          <w:trHeight w:val="340"/>
        </w:trPr>
        <w:tc>
          <w:tcPr>
            <w:tcW w:w="2196" w:type="dxa"/>
          </w:tcPr>
          <w:p w14:paraId="1055A511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0AA37B2" w14:textId="1B9BF9DA" w:rsidR="00FA5B3A" w:rsidRPr="00546750" w:rsidRDefault="00546750" w:rsidP="00FA5B3A">
            <w:pPr>
              <w:spacing w:before="60" w:after="60"/>
            </w:pPr>
            <w:r w:rsidRPr="00546750">
              <w:t>Describe where in a liquid evaporation takes place.</w:t>
            </w:r>
          </w:p>
        </w:tc>
      </w:tr>
      <w:tr w:rsidR="00FA5B3A" w14:paraId="64484CB9" w14:textId="77777777" w:rsidTr="003F16F9">
        <w:trPr>
          <w:trHeight w:val="340"/>
        </w:trPr>
        <w:tc>
          <w:tcPr>
            <w:tcW w:w="2196" w:type="dxa"/>
          </w:tcPr>
          <w:p w14:paraId="4ED3ECB7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332D19EC" w14:textId="77777777" w:rsidR="00FA5B3A" w:rsidRDefault="00E252BE" w:rsidP="00304A9C">
            <w:pPr>
              <w:spacing w:before="60" w:after="60"/>
            </w:pPr>
            <w:r>
              <w:t xml:space="preserve">Diagnostic, </w:t>
            </w:r>
            <w:r w:rsidR="00304A9C">
              <w:t>simple</w:t>
            </w:r>
            <w:r w:rsidRPr="00535269">
              <w:t xml:space="preserve"> multiple</w:t>
            </w:r>
            <w:r>
              <w:t xml:space="preserve"> choice</w:t>
            </w:r>
          </w:p>
        </w:tc>
      </w:tr>
      <w:tr w:rsidR="00FA5B3A" w14:paraId="4F2B32E0" w14:textId="77777777" w:rsidTr="003F16F9">
        <w:trPr>
          <w:trHeight w:val="340"/>
        </w:trPr>
        <w:tc>
          <w:tcPr>
            <w:tcW w:w="2196" w:type="dxa"/>
          </w:tcPr>
          <w:p w14:paraId="44B434D1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505B0713" w14:textId="5258CDF9" w:rsidR="00FA5B3A" w:rsidRDefault="00546750" w:rsidP="00FA5B3A">
            <w:pPr>
              <w:spacing w:before="60" w:after="60"/>
            </w:pPr>
            <w:r>
              <w:t>evaporation</w:t>
            </w:r>
          </w:p>
        </w:tc>
      </w:tr>
    </w:tbl>
    <w:p w14:paraId="5013F86B" w14:textId="77777777" w:rsidR="00F72ECC" w:rsidRDefault="00F72ECC" w:rsidP="00F72ECC"/>
    <w:p w14:paraId="292DFFF5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23AA9E9" w14:textId="1D8DBC85" w:rsidR="00546750" w:rsidRDefault="00546750" w:rsidP="00546750">
      <w:pPr>
        <w:spacing w:after="180"/>
      </w:pPr>
      <w:bookmarkStart w:id="0" w:name="_Hlk4493590"/>
      <w:r>
        <w:t xml:space="preserve">As part of their research </w:t>
      </w:r>
      <w:r w:rsidRPr="00546750">
        <w:t>Co</w:t>
      </w:r>
      <w:r w:rsidRPr="00546750">
        <w:rPr>
          <w:rFonts w:cstheme="minorHAnsi"/>
        </w:rPr>
        <w:t>ş</w:t>
      </w:r>
      <w:r w:rsidRPr="00546750">
        <w:t>tu and Ayas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ExcludeAuth="1"&gt;&lt;Author&gt;Co  ş  tu&lt;/Author&gt;&lt;Year&gt;2005&lt;/Year&gt;&lt;IDText&gt;Evaporation in different liquids, secondary students&amp;apos; conceptions&lt;/IDText&gt;&lt;DisplayText&gt;(2005)&lt;/DisplayText&gt;&lt;record&gt;&lt;titles&gt;&lt;title&gt;Evaporation in different liquids, secondary students&amp;apos; conceptions&lt;/title&gt;&lt;secondary-title&gt;Research in Science and Technological Education&lt;/secondary-title&gt;&lt;/titles&gt;&lt;pages&gt;75-97&lt;/pages&gt;&lt;number&gt;1&lt;/number&gt;&lt;contributors&gt;&lt;authors&gt;&lt;author&gt;Co  ş  tu, Bayram&lt;/author&gt;&lt;author&gt;Ayas,  Alipa ş a&lt;/author&gt;&lt;/authors&gt;&lt;/contributors&gt;&lt;added-date format="utc"&gt;1553504976&lt;/added-date&gt;&lt;ref-type name="Journal Article"&gt;17&lt;/ref-type&gt;&lt;dates&gt;&lt;year&gt;2005&lt;/year&gt;&lt;/dates&gt;&lt;rec-number&gt;49&lt;/rec-number&gt;&lt;last-updated-date format="utc"&gt;1553505093&lt;/last-updated-date&gt;&lt;volume&gt;23&lt;/volume&gt;&lt;/record&gt;&lt;/Cite&gt;&lt;/EndNote&gt;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(2005)</w:t>
      </w:r>
      <w:r>
        <w:fldChar w:fldCharType="end"/>
      </w:r>
      <w:r>
        <w:t xml:space="preserve"> presented </w:t>
      </w:r>
      <w:r w:rsidR="001B7F8E">
        <w:t>situations to students through a series of short experiments. They then used questioning to discover more about students’ understanding.</w:t>
      </w:r>
    </w:p>
    <w:p w14:paraId="6185F4C2" w14:textId="158F41C9" w:rsidR="001B7F8E" w:rsidRDefault="001B7F8E" w:rsidP="00546750">
      <w:pPr>
        <w:spacing w:after="180"/>
      </w:pPr>
      <w:r>
        <w:t>One question used was “Does evaporation take place on the surface of the alcohol or in all parts of it? Why?”</w:t>
      </w:r>
    </w:p>
    <w:p w14:paraId="64C120BC" w14:textId="5CD29447" w:rsidR="00C05571" w:rsidRDefault="001B7F8E" w:rsidP="0050055B">
      <w:pPr>
        <w:spacing w:after="180"/>
      </w:pPr>
      <w:r>
        <w:t>A few students correctly explained that particles left from the surface of the liquid. All those that were identified to hold a “specific misconception” were found to think that evaporation occurs in all parts of a liquid.</w:t>
      </w:r>
    </w:p>
    <w:bookmarkEnd w:id="0"/>
    <w:p w14:paraId="6011B81E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2D13F5A" w14:textId="77777777" w:rsidR="00304A9C" w:rsidRPr="00AE7928" w:rsidRDefault="00304A9C" w:rsidP="00304A9C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50781B1D" w14:textId="77777777" w:rsidR="00304A9C" w:rsidRDefault="00304A9C" w:rsidP="00304A9C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14:paraId="2AB502F3" w14:textId="77777777" w:rsidR="00304A9C" w:rsidRPr="00816065" w:rsidRDefault="00304A9C" w:rsidP="00304A9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37C7E8AE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0B36350E" w14:textId="1785B8F5" w:rsidR="00BF6C8A" w:rsidRDefault="00546750" w:rsidP="00BF6C8A">
      <w:pPr>
        <w:spacing w:after="180"/>
      </w:pPr>
      <w:r>
        <w:t>A</w:t>
      </w:r>
    </w:p>
    <w:p w14:paraId="399E0565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7E41CD14" w14:textId="353EAB4E" w:rsidR="004F039C" w:rsidRPr="00546750" w:rsidRDefault="00546750" w:rsidP="006A4440">
      <w:pPr>
        <w:spacing w:after="180"/>
      </w:pPr>
      <w:r w:rsidRPr="00546750">
        <w:t xml:space="preserve">A student who selects option B may be confusing evaporation with </w:t>
      </w:r>
      <w:r w:rsidR="005F3103">
        <w:t>t</w:t>
      </w:r>
      <w:r w:rsidRPr="00546750">
        <w:t>he formation of bubbles of a substance in the gas state during boiling. Selection of option C could indicate a similar misunderstanding. It also suggests misunderstandings about the mechanism of evaporation at the particle level.</w:t>
      </w:r>
    </w:p>
    <w:p w14:paraId="7E6F396C" w14:textId="613E0B7D" w:rsidR="00546750" w:rsidRDefault="004F039C" w:rsidP="006A4440">
      <w:pPr>
        <w:spacing w:after="180"/>
        <w:rPr>
          <w:highlight w:val="yellow"/>
        </w:rPr>
      </w:pPr>
      <w:r w:rsidRPr="004F039C">
        <w:t xml:space="preserve">If students have </w:t>
      </w:r>
      <w:r w:rsidR="001E4950">
        <w:t>misunderstanding</w:t>
      </w:r>
      <w:r w:rsidRPr="004F039C">
        <w:t xml:space="preserve">s about </w:t>
      </w:r>
      <w:r w:rsidR="00546750">
        <w:t xml:space="preserve">where evaporation takes place you may wish to </w:t>
      </w:r>
      <w:r w:rsidR="005F3103">
        <w:t>challenge thinking through an experiment to find the</w:t>
      </w:r>
      <w:bookmarkStart w:id="1" w:name="_GoBack"/>
      <w:bookmarkEnd w:id="1"/>
      <w:r w:rsidR="00546750">
        <w:t xml:space="preserve"> effect of surface area on rate of evaporation.</w:t>
      </w:r>
      <w:r w:rsidR="005F1A7B" w:rsidRPr="004F039C">
        <w:t xml:space="preserve"> </w:t>
      </w:r>
    </w:p>
    <w:p w14:paraId="3D656CDB" w14:textId="56BED1FA" w:rsidR="005F1A7B" w:rsidRDefault="004F039C" w:rsidP="006A4440">
      <w:pPr>
        <w:spacing w:after="180"/>
      </w:pPr>
      <w:r w:rsidRPr="00546750">
        <w:t xml:space="preserve">The following </w:t>
      </w:r>
      <w:r w:rsidR="005F1A7B" w:rsidRPr="00546750">
        <w:t xml:space="preserve">BEST </w:t>
      </w:r>
      <w:r w:rsidR="004C5D20" w:rsidRPr="00546750">
        <w:t xml:space="preserve">‘response </w:t>
      </w:r>
      <w:r w:rsidR="00C1460B" w:rsidRPr="00546750">
        <w:t>activit</w:t>
      </w:r>
      <w:r w:rsidR="005F3103">
        <w:t>y</w:t>
      </w:r>
      <w:r w:rsidR="004C5D20" w:rsidRPr="00546750">
        <w:t>’</w:t>
      </w:r>
      <w:r w:rsidR="005F1A7B" w:rsidRPr="00546750">
        <w:t xml:space="preserve"> </w:t>
      </w:r>
      <w:r w:rsidR="004C5D20" w:rsidRPr="00546750">
        <w:t>c</w:t>
      </w:r>
      <w:r w:rsidR="005F1A7B" w:rsidRPr="00546750">
        <w:t xml:space="preserve">ould </w:t>
      </w:r>
      <w:r w:rsidR="004C5D20" w:rsidRPr="00546750">
        <w:t>be used in follow-up to this diagnostic question</w:t>
      </w:r>
      <w:r w:rsidRPr="00546750">
        <w:t>:</w:t>
      </w:r>
    </w:p>
    <w:p w14:paraId="770DD94F" w14:textId="0C427A56" w:rsidR="00A6111E" w:rsidRPr="00A6111E" w:rsidRDefault="00546750" w:rsidP="00402E34">
      <w:pPr>
        <w:pStyle w:val="ListParagraph"/>
        <w:numPr>
          <w:ilvl w:val="0"/>
          <w:numId w:val="1"/>
        </w:numPr>
        <w:spacing w:after="180"/>
      </w:pPr>
      <w:r>
        <w:t>Surface area</w:t>
      </w:r>
    </w:p>
    <w:p w14:paraId="69569E0A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3AF9C6AA" w14:textId="3FE81AC4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</w:t>
      </w:r>
      <w:r w:rsidR="0015356E" w:rsidRPr="00546750">
        <w:t xml:space="preserve">UYSEG), </w:t>
      </w:r>
      <w:r w:rsidRPr="00546750">
        <w:t xml:space="preserve">from an idea by </w:t>
      </w:r>
      <w:r w:rsidR="00546750" w:rsidRPr="00546750">
        <w:t>Bayram Co</w:t>
      </w:r>
      <w:r w:rsidR="00546750" w:rsidRPr="00546750">
        <w:rPr>
          <w:rFonts w:cstheme="minorHAnsi"/>
        </w:rPr>
        <w:t>ş</w:t>
      </w:r>
      <w:r w:rsidR="00546750" w:rsidRPr="00546750">
        <w:t>tu and Alipa</w:t>
      </w:r>
      <w:r w:rsidR="00546750" w:rsidRPr="00546750">
        <w:rPr>
          <w:rFonts w:cstheme="minorHAnsi"/>
        </w:rPr>
        <w:t>ş</w:t>
      </w:r>
      <w:r w:rsidR="00546750" w:rsidRPr="00546750">
        <w:t>a Ayas.</w:t>
      </w:r>
    </w:p>
    <w:p w14:paraId="1B474A37" w14:textId="5C9BDE25" w:rsidR="00CC78A5" w:rsidRDefault="00D278E8" w:rsidP="00E172C6">
      <w:pPr>
        <w:spacing w:after="180"/>
      </w:pPr>
      <w:r w:rsidRPr="0045323E">
        <w:t xml:space="preserve">Images: </w:t>
      </w:r>
      <w:r w:rsidR="00E252BE">
        <w:t xml:space="preserve">Helen Harden </w:t>
      </w:r>
      <w:r w:rsidR="00546750">
        <w:t xml:space="preserve">and Alistair Moore </w:t>
      </w:r>
      <w:r w:rsidR="00E252BE">
        <w:t>(UYSEG)</w:t>
      </w:r>
    </w:p>
    <w:p w14:paraId="75B1D0CF" w14:textId="33DB7544" w:rsidR="00546750" w:rsidRPr="001B7F8E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83AFF0D" w14:textId="293729BB" w:rsidR="00546750" w:rsidRPr="00546750" w:rsidRDefault="00546750" w:rsidP="00546750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546750">
        <w:t xml:space="preserve">Coştu, B. and Ayas, A. ş. a. (2005). Evaporation in different liquids, secondary students' conceptions. </w:t>
      </w:r>
      <w:r w:rsidRPr="00546750">
        <w:rPr>
          <w:i/>
        </w:rPr>
        <w:t>Research in Science and Technological Education,</w:t>
      </w:r>
      <w:r w:rsidRPr="00546750">
        <w:t xml:space="preserve"> 23(1)</w:t>
      </w:r>
      <w:r w:rsidRPr="00546750">
        <w:rPr>
          <w:b/>
        </w:rPr>
        <w:t>,</w:t>
      </w:r>
      <w:r w:rsidRPr="00546750">
        <w:t xml:space="preserve"> 75-97.</w:t>
      </w:r>
    </w:p>
    <w:p w14:paraId="53FD946E" w14:textId="64ADBD10" w:rsidR="0067031A" w:rsidRPr="0067031A" w:rsidRDefault="00546750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E9A44" w14:textId="77777777" w:rsidR="004F4864" w:rsidRDefault="004F4864" w:rsidP="000B473B">
      <w:r>
        <w:separator/>
      </w:r>
    </w:p>
  </w:endnote>
  <w:endnote w:type="continuationSeparator" w:id="0">
    <w:p w14:paraId="7B9D705B" w14:textId="77777777" w:rsidR="004F4864" w:rsidRDefault="004F486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6347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72B499E" wp14:editId="72B3F66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C98D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04A9C">
      <w:rPr>
        <w:noProof/>
      </w:rPr>
      <w:t>3</w:t>
    </w:r>
    <w:r>
      <w:rPr>
        <w:noProof/>
      </w:rPr>
      <w:fldChar w:fldCharType="end"/>
    </w:r>
  </w:p>
  <w:p w14:paraId="7626E35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4CED3A7B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A026" w14:textId="77777777" w:rsidR="004F4864" w:rsidRDefault="004F4864" w:rsidP="000B473B">
      <w:r>
        <w:separator/>
      </w:r>
    </w:p>
  </w:footnote>
  <w:footnote w:type="continuationSeparator" w:id="0">
    <w:p w14:paraId="169559DC" w14:textId="77777777" w:rsidR="004F4864" w:rsidRDefault="004F486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940E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315B22C" wp14:editId="62610E1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736FE" wp14:editId="52B57A8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5C2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75F55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D01D776" wp14:editId="4AB3D3A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FCBD5BB" wp14:editId="79D350E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A0C1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F2CFE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B7F8E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286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177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4F4864"/>
    <w:rsid w:val="0050055B"/>
    <w:rsid w:val="00524710"/>
    <w:rsid w:val="0053402A"/>
    <w:rsid w:val="00546750"/>
    <w:rsid w:val="00555342"/>
    <w:rsid w:val="005560E2"/>
    <w:rsid w:val="005A452E"/>
    <w:rsid w:val="005A6EE7"/>
    <w:rsid w:val="005F1A7B"/>
    <w:rsid w:val="005F3103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E6EBE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C7FC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16E3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CF2C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252BE"/>
    <w:rsid w:val="00E53D82"/>
    <w:rsid w:val="00E9159B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744A5"/>
  <w15:docId w15:val="{1B73FA66-DBAC-463A-AC58-3A79549F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4675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675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4675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4675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template_chemistry_diagnostic_Simple Multi Choice</Template>
  <TotalTime>58</TotalTime>
  <Pages>3</Pages>
  <Words>608</Words>
  <Characters>3200</Characters>
  <Application>Microsoft Office Word</Application>
  <DocSecurity>0</DocSecurity>
  <Lines>110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4</cp:revision>
  <cp:lastPrinted>2017-02-24T16:20:00Z</cp:lastPrinted>
  <dcterms:created xsi:type="dcterms:W3CDTF">2019-03-26T10:41:00Z</dcterms:created>
  <dcterms:modified xsi:type="dcterms:W3CDTF">2019-03-29T11:37:00Z</dcterms:modified>
</cp:coreProperties>
</file>