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89EC3" w14:textId="3F38F52B"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6D5347">
        <w:rPr>
          <w:i/>
          <w:sz w:val="18"/>
          <w:szCs w:val="18"/>
        </w:rPr>
        <w:t>CCR:</w:t>
      </w:r>
      <w:r w:rsidR="005A3186">
        <w:rPr>
          <w:i/>
          <w:sz w:val="18"/>
          <w:szCs w:val="18"/>
        </w:rPr>
        <w:t xml:space="preserve"> </w:t>
      </w:r>
      <w:r w:rsidR="006D5347">
        <w:rPr>
          <w:i/>
          <w:sz w:val="18"/>
          <w:szCs w:val="18"/>
        </w:rPr>
        <w:t>Chemical Reactions</w:t>
      </w:r>
      <w:r w:rsidR="00F34FD0">
        <w:rPr>
          <w:i/>
          <w:sz w:val="18"/>
          <w:szCs w:val="18"/>
        </w:rPr>
        <w:t xml:space="preserve"> &gt; </w:t>
      </w:r>
      <w:r w:rsidR="001B2603">
        <w:rPr>
          <w:i/>
          <w:sz w:val="18"/>
          <w:szCs w:val="18"/>
        </w:rPr>
        <w:t xml:space="preserve">Topic </w:t>
      </w:r>
      <w:r w:rsidR="006D5347">
        <w:rPr>
          <w:i/>
          <w:sz w:val="18"/>
          <w:szCs w:val="18"/>
        </w:rPr>
        <w:t>CCR3</w:t>
      </w:r>
      <w:r w:rsidR="00F34FD0">
        <w:rPr>
          <w:i/>
          <w:sz w:val="18"/>
          <w:szCs w:val="18"/>
        </w:rPr>
        <w:t xml:space="preserve">: </w:t>
      </w:r>
      <w:r w:rsidR="006D5347">
        <w:rPr>
          <w:i/>
          <w:sz w:val="18"/>
          <w:szCs w:val="18"/>
        </w:rPr>
        <w:t>Energy and reactions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4771E8E5" w14:textId="77777777" w:rsidTr="00EF081E">
        <w:trPr>
          <w:trHeight w:val="321"/>
        </w:trPr>
        <w:tc>
          <w:tcPr>
            <w:tcW w:w="16831" w:type="dxa"/>
            <w:shd w:val="clear" w:color="auto" w:fill="FABF8F" w:themeFill="accent6" w:themeFillTint="99"/>
          </w:tcPr>
          <w:p w14:paraId="48DFA962"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464694B0" w14:textId="77777777" w:rsidTr="00EF081E">
        <w:trPr>
          <w:trHeight w:val="362"/>
        </w:trPr>
        <w:tc>
          <w:tcPr>
            <w:tcW w:w="16831" w:type="dxa"/>
            <w:shd w:val="clear" w:color="auto" w:fill="FBD4B4" w:themeFill="accent6" w:themeFillTint="66"/>
          </w:tcPr>
          <w:p w14:paraId="7800804A" w14:textId="278EE3A1" w:rsidR="006F3279" w:rsidRPr="001413D2" w:rsidRDefault="006D5347" w:rsidP="00F34FD0">
            <w:pPr>
              <w:spacing w:after="60"/>
              <w:ind w:left="1304"/>
              <w:rPr>
                <w:b/>
                <w:color w:val="E36C0A" w:themeColor="accent6" w:themeShade="BF"/>
                <w:sz w:val="40"/>
                <w:szCs w:val="40"/>
              </w:rPr>
            </w:pPr>
            <w:r w:rsidRPr="006D5347">
              <w:rPr>
                <w:b/>
                <w:color w:val="000000" w:themeColor="text1"/>
                <w:sz w:val="40"/>
                <w:szCs w:val="40"/>
              </w:rPr>
              <w:t>CCR3.1:</w:t>
            </w:r>
            <w:r w:rsidR="00821188" w:rsidRPr="006D5347">
              <w:rPr>
                <w:b/>
                <w:color w:val="000000" w:themeColor="text1"/>
                <w:sz w:val="40"/>
                <w:szCs w:val="40"/>
              </w:rPr>
              <w:t xml:space="preserve"> </w:t>
            </w:r>
            <w:r w:rsidRPr="006D5347">
              <w:rPr>
                <w:b/>
                <w:color w:val="000000" w:themeColor="text1"/>
                <w:sz w:val="40"/>
                <w:szCs w:val="40"/>
              </w:rPr>
              <w:t>Exothermic and endothermic reactions</w:t>
            </w:r>
          </w:p>
        </w:tc>
      </w:tr>
    </w:tbl>
    <w:p w14:paraId="1CC2FCE1" w14:textId="77777777" w:rsidR="003A07C6" w:rsidRDefault="003A07C6" w:rsidP="003A07C6">
      <w:pPr>
        <w:rPr>
          <w:b/>
          <w:color w:val="E36C0A" w:themeColor="accent6" w:themeShade="BF"/>
          <w:sz w:val="24"/>
        </w:rPr>
      </w:pPr>
    </w:p>
    <w:p w14:paraId="7F6C0E83"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647671E4" w14:textId="212BE7A4" w:rsidR="006D5347" w:rsidRPr="00EC0E76" w:rsidRDefault="003A07C6" w:rsidP="006D5347">
      <w:pPr>
        <w:spacing w:after="180"/>
      </w:pPr>
      <w:r>
        <w:t>A big idea in chemistry</w:t>
      </w:r>
      <w:r w:rsidRPr="00DD4D20">
        <w:t xml:space="preserve"> is </w:t>
      </w:r>
      <w:r w:rsidR="006D5347" w:rsidRPr="00EC0E76">
        <w:t>that during a chemical reaction</w:t>
      </w:r>
      <w:r w:rsidR="006D5347">
        <w:t>,</w:t>
      </w:r>
      <w:r w:rsidR="006D5347" w:rsidRPr="00EC0E76">
        <w:t xml:space="preserve"> atoms are rearranged </w:t>
      </w:r>
      <w:r w:rsidR="006D5347">
        <w:t>resulting in the formation of a new substance or substances.</w:t>
      </w:r>
    </w:p>
    <w:p w14:paraId="13B0E622" w14:textId="22D87112"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047956AF" w14:textId="55F2725A" w:rsidR="003A07C6" w:rsidRDefault="003A07C6" w:rsidP="003A07C6">
      <w:pPr>
        <w:spacing w:after="180"/>
      </w:pPr>
      <w:r>
        <w:t xml:space="preserve">This key concept </w:t>
      </w:r>
      <w:r w:rsidR="00C329A4">
        <w:t xml:space="preserve">helps to </w:t>
      </w:r>
      <w:r>
        <w:t xml:space="preserve">develop the big idea by </w:t>
      </w:r>
      <w:r w:rsidR="006A0F8F">
        <w:t xml:space="preserve">linking macroscopic observations of temperature </w:t>
      </w:r>
      <w:r w:rsidR="00431E42">
        <w:t xml:space="preserve">change </w:t>
      </w:r>
      <w:r w:rsidR="006A0F8F">
        <w:t>with</w:t>
      </w:r>
      <w:r w:rsidR="006065A3">
        <w:t xml:space="preserve"> a sub</w:t>
      </w:r>
      <w:r w:rsidR="0067084A">
        <w:t>-</w:t>
      </w:r>
      <w:r w:rsidR="006065A3">
        <w:t xml:space="preserve">microscopic </w:t>
      </w:r>
      <w:r w:rsidR="006A0F8F">
        <w:t>explanation of</w:t>
      </w:r>
      <w:r w:rsidR="006065A3">
        <w:t xml:space="preserve"> the</w:t>
      </w:r>
      <w:r w:rsidR="006A0F8F">
        <w:t xml:space="preserve"> energy transfers</w:t>
      </w:r>
      <w:r w:rsidR="006065A3">
        <w:t xml:space="preserve"> that arise </w:t>
      </w:r>
      <w:r w:rsidR="00431E42">
        <w:t>when atoms are rearranged during a chemical reaction.</w:t>
      </w:r>
    </w:p>
    <w:p w14:paraId="3DFF311F" w14:textId="45C84826"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7395686C" wp14:editId="45D3F68A">
            <wp:simplePos x="0" y="0"/>
            <wp:positionH relativeFrom="column">
              <wp:posOffset>3926601</wp:posOffset>
            </wp:positionH>
            <wp:positionV relativeFrom="paragraph">
              <wp:posOffset>564294</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understanding of </w:t>
      </w:r>
      <w:r w:rsidR="00BC44BF">
        <w:t>the dissipation of energy to explain the direction of energy transfer after an exothermic reaction</w:t>
      </w:r>
      <w:r w:rsidR="00431E42">
        <w:t xml:space="preserve"> or endothermic reaction</w:t>
      </w:r>
      <w:r w:rsidR="003A07C6">
        <w:t xml:space="preserve">. It </w:t>
      </w:r>
      <w:r>
        <w:t xml:space="preserve">then </w:t>
      </w:r>
      <w:r w:rsidR="006F2CAB">
        <w:t>supports the development of</w:t>
      </w:r>
      <w:r w:rsidR="003A07C6">
        <w:t xml:space="preserve"> </w:t>
      </w:r>
      <w:r w:rsidR="006A0F8F">
        <w:t xml:space="preserve">the idea that energy is </w:t>
      </w:r>
      <w:r w:rsidR="00BC44BF">
        <w:t>always conserved and cannot be</w:t>
      </w:r>
      <w:r w:rsidR="00794BB0">
        <w:t xml:space="preserve"> ‘created’ or</w:t>
      </w:r>
      <w:r w:rsidR="00BC44BF">
        <w:t xml:space="preserve"> ‘used up’</w:t>
      </w:r>
      <w:r w:rsidR="006A0F8F">
        <w:t xml:space="preserve"> </w:t>
      </w:r>
      <w:r w:rsidR="003A07C6">
        <w:t xml:space="preserve">in order to enable understanding of </w:t>
      </w:r>
      <w:r w:rsidR="006A0F8F">
        <w:t>how the</w:t>
      </w:r>
      <w:r w:rsidR="00431E42">
        <w:t xml:space="preserve"> apparent</w:t>
      </w:r>
      <w:r w:rsidR="006A0F8F">
        <w:t xml:space="preserve"> ‘release of energy’ from a fuel is actually the result of the energy required to break apart the reactants being less than that released upon formation of the products.</w:t>
      </w:r>
    </w:p>
    <w:p w14:paraId="020C38EC" w14:textId="5DE49C69"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29F0743A"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20FCEB34" w14:textId="77777777" w:rsidR="00CE7273" w:rsidRDefault="00CE7273">
      <w:pPr>
        <w:spacing w:after="200" w:line="276" w:lineRule="auto"/>
        <w:rPr>
          <w:b/>
          <w:color w:val="5F497A" w:themeColor="accent4" w:themeShade="BF"/>
          <w:sz w:val="24"/>
        </w:rPr>
      </w:pPr>
    </w:p>
    <w:p w14:paraId="21D7FFC3"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7E219D7D" w14:textId="0047FC4A"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C435F2">
        <w:rPr>
          <w:b/>
          <w:color w:val="E36C0A" w:themeColor="accent6" w:themeShade="BF"/>
          <w:sz w:val="24"/>
        </w:rPr>
        <w:t xml:space="preserve">Exothermic and endothermic </w:t>
      </w:r>
      <w:r w:rsidR="00E86A5C">
        <w:rPr>
          <w:b/>
          <w:color w:val="E36C0A" w:themeColor="accent6" w:themeShade="BF"/>
          <w:sz w:val="24"/>
        </w:rPr>
        <w:t>reactions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5C05C2F4" w14:textId="77777777" w:rsidTr="00AB454D">
        <w:trPr>
          <w:trHeight w:val="532"/>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6AA3CB81"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28C300E3" w14:textId="2898FA5D" w:rsidR="00F928E4" w:rsidRPr="006229D7" w:rsidRDefault="00C435F2" w:rsidP="00E76774">
            <w:pPr>
              <w:jc w:val="center"/>
              <w:rPr>
                <w:rFonts w:ascii="Calibri" w:eastAsia="Calibri" w:hAnsi="Calibri" w:cs="Calibri"/>
                <w:sz w:val="24"/>
                <w:szCs w:val="20"/>
              </w:rPr>
            </w:pPr>
            <w:r>
              <w:rPr>
                <w:rFonts w:cstheme="minorHAnsi"/>
                <w:sz w:val="24"/>
                <w:szCs w:val="20"/>
              </w:rPr>
              <w:t>During a chemical reaction energy may be transferred to or from the surroundings.</w:t>
            </w:r>
          </w:p>
        </w:tc>
      </w:tr>
      <w:tr w:rsidR="00F928E4" w:rsidRPr="006229D7" w14:paraId="55AECEBE"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6414F736"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35CB407"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673291D"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AFD1CB1"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B42A65E"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16F52590" w14:textId="77777777" w:rsidR="00F928E4" w:rsidRPr="006229D7" w:rsidRDefault="00F928E4" w:rsidP="00E76774">
            <w:pPr>
              <w:jc w:val="center"/>
              <w:rPr>
                <w:rFonts w:ascii="Calibri" w:eastAsia="Calibri" w:hAnsi="Calibri" w:cs="Calibri"/>
                <w:sz w:val="2"/>
                <w:szCs w:val="2"/>
              </w:rPr>
            </w:pPr>
          </w:p>
        </w:tc>
      </w:tr>
      <w:tr w:rsidR="00F928E4" w:rsidRPr="006229D7" w14:paraId="0FCA72F6"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2E3E292A"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21BDF771"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48D0CFF7" wp14:editId="0DC713A5">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634D5DBB"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8D0CFF7"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634D5DBB"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A111E8" w:rsidRPr="006229D7" w14:paraId="5411978F"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64A8F0BA" w14:textId="77777777" w:rsidR="00A111E8" w:rsidRPr="006229D7" w:rsidRDefault="00A111E8" w:rsidP="00A111E8">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129716B8" w14:textId="19D314B7" w:rsidR="001239F7" w:rsidRDefault="001239F7" w:rsidP="001239F7">
            <w:pPr>
              <w:spacing w:after="120"/>
              <w:rPr>
                <w:rFonts w:cstheme="minorHAnsi"/>
                <w:sz w:val="20"/>
                <w:szCs w:val="20"/>
              </w:rPr>
            </w:pPr>
            <w:r>
              <w:rPr>
                <w:rFonts w:cstheme="minorHAnsi"/>
                <w:sz w:val="20"/>
                <w:szCs w:val="20"/>
              </w:rPr>
              <w:t>Recognise that energy is conserved during an exothermic reaction.</w:t>
            </w:r>
          </w:p>
          <w:p w14:paraId="57B9213A" w14:textId="72A33D36" w:rsidR="00A111E8" w:rsidRPr="00E675A8" w:rsidRDefault="00A111E8" w:rsidP="00A111E8">
            <w:pPr>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5D7D4860" w14:textId="77777777" w:rsidR="001239F7" w:rsidRDefault="001239F7" w:rsidP="001239F7">
            <w:pPr>
              <w:spacing w:after="120"/>
              <w:rPr>
                <w:rFonts w:cstheme="minorHAnsi"/>
                <w:sz w:val="20"/>
                <w:szCs w:val="20"/>
              </w:rPr>
            </w:pPr>
            <w:r>
              <w:rPr>
                <w:rFonts w:cstheme="minorHAnsi"/>
                <w:sz w:val="20"/>
                <w:szCs w:val="20"/>
              </w:rPr>
              <w:t>Describe how the temperature of the chemicals will change with time after an exothermic reaction.</w:t>
            </w:r>
          </w:p>
          <w:p w14:paraId="743C9671" w14:textId="652CD3FB" w:rsidR="00A111E8" w:rsidRPr="00E675A8" w:rsidRDefault="00A111E8" w:rsidP="001239F7">
            <w:pPr>
              <w:spacing w:after="120"/>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1DB7B44D" w14:textId="77777777" w:rsidR="001239F7" w:rsidRDefault="001239F7" w:rsidP="001239F7">
            <w:pPr>
              <w:spacing w:after="120"/>
              <w:rPr>
                <w:rFonts w:cstheme="minorHAnsi"/>
                <w:sz w:val="20"/>
                <w:szCs w:val="20"/>
              </w:rPr>
            </w:pPr>
            <w:r>
              <w:rPr>
                <w:rFonts w:cstheme="minorHAnsi"/>
                <w:sz w:val="20"/>
                <w:szCs w:val="20"/>
              </w:rPr>
              <w:t>Describe how the temperature of the chemicals will change with time after an endothermic reaction.</w:t>
            </w:r>
          </w:p>
          <w:p w14:paraId="53646E3A" w14:textId="14CB9D7F" w:rsidR="00F90242" w:rsidRPr="00E675A8" w:rsidRDefault="00F90242" w:rsidP="00A111E8">
            <w:pPr>
              <w:spacing w:after="120"/>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03F13C62" w14:textId="77777777" w:rsidR="00A111E8" w:rsidRDefault="00A111E8" w:rsidP="00A111E8">
            <w:pPr>
              <w:spacing w:after="120"/>
              <w:rPr>
                <w:rFonts w:cstheme="minorHAnsi"/>
                <w:sz w:val="20"/>
                <w:szCs w:val="20"/>
              </w:rPr>
            </w:pPr>
            <w:r w:rsidRPr="000977C4">
              <w:rPr>
                <w:rFonts w:cstheme="minorHAnsi"/>
                <w:sz w:val="20"/>
                <w:szCs w:val="20"/>
              </w:rPr>
              <w:t xml:space="preserve">Explain the energy changes needed for the rearrangement </w:t>
            </w:r>
            <w:r w:rsidR="00404378" w:rsidRPr="000977C4">
              <w:rPr>
                <w:rFonts w:cstheme="minorHAnsi"/>
                <w:sz w:val="20"/>
                <w:szCs w:val="20"/>
              </w:rPr>
              <w:t xml:space="preserve">(breaking apart and combining) </w:t>
            </w:r>
            <w:r w:rsidR="00BC44BF" w:rsidRPr="000977C4">
              <w:rPr>
                <w:rFonts w:cstheme="minorHAnsi"/>
                <w:sz w:val="20"/>
                <w:szCs w:val="20"/>
              </w:rPr>
              <w:t xml:space="preserve">of atoms </w:t>
            </w:r>
            <w:r w:rsidRPr="000977C4">
              <w:rPr>
                <w:rFonts w:cstheme="minorHAnsi"/>
                <w:sz w:val="20"/>
                <w:szCs w:val="20"/>
              </w:rPr>
              <w:t>during a chemical reaction.</w:t>
            </w:r>
          </w:p>
          <w:p w14:paraId="4EE5869A" w14:textId="7CD2E821" w:rsidR="002531E9" w:rsidRPr="000977C4" w:rsidRDefault="002531E9" w:rsidP="00A111E8">
            <w:pPr>
              <w:spacing w:after="120"/>
              <w:rPr>
                <w:rFonts w:cstheme="minorHAnsi"/>
                <w:sz w:val="20"/>
                <w:szCs w:val="20"/>
              </w:rPr>
            </w:pPr>
            <w:r>
              <w:rPr>
                <w:noProof/>
                <w:sz w:val="20"/>
                <w:lang w:eastAsia="en-GB"/>
              </w:rPr>
              <mc:AlternateContent>
                <mc:Choice Requires="wps">
                  <w:drawing>
                    <wp:inline distT="0" distB="0" distL="0" distR="0" wp14:anchorId="42203612" wp14:editId="68C72295">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58A63F30" w14:textId="77777777" w:rsidR="002531E9" w:rsidRPr="00620AFF" w:rsidRDefault="002531E9" w:rsidP="002531E9">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2203612" id="Text Box 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" fillcolor="#e36c0a [2409]" stroked="f" strokeweight=".5pt">
                      <v:textbox style="mso-fit-shape-to-text:t" inset="1mm,1mm,1mm,1mm">
                        <w:txbxContent>
                          <w:p w14:paraId="58A63F30" w14:textId="77777777" w:rsidR="002531E9" w:rsidRPr="00620AFF" w:rsidRDefault="002531E9" w:rsidP="002531E9">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2439" w:type="dxa"/>
            <w:tcBorders>
              <w:top w:val="nil"/>
              <w:left w:val="dashed" w:sz="4" w:space="0" w:color="E36C0A"/>
              <w:bottom w:val="single" w:sz="8" w:space="0" w:color="E36C0A"/>
              <w:right w:val="single" w:sz="8" w:space="0" w:color="E36C0A"/>
            </w:tcBorders>
          </w:tcPr>
          <w:p w14:paraId="226B6C62" w14:textId="02142BBC" w:rsidR="00A111E8" w:rsidRPr="00183A13" w:rsidRDefault="001239F7" w:rsidP="00794BB0">
            <w:pPr>
              <w:spacing w:after="120"/>
              <w:rPr>
                <w:rFonts w:cstheme="minorHAnsi"/>
                <w:sz w:val="20"/>
                <w:szCs w:val="20"/>
              </w:rPr>
            </w:pPr>
            <w:r w:rsidRPr="00183A13">
              <w:rPr>
                <w:rFonts w:cstheme="minorHAnsi"/>
                <w:sz w:val="20"/>
                <w:szCs w:val="20"/>
              </w:rPr>
              <w:t xml:space="preserve">Recognise that the overall energy change of a chemical reaction depends on the relative amount of energy needed to </w:t>
            </w:r>
            <w:r w:rsidR="00183A13">
              <w:rPr>
                <w:rFonts w:cstheme="minorHAnsi"/>
                <w:sz w:val="20"/>
                <w:szCs w:val="20"/>
              </w:rPr>
              <w:t xml:space="preserve">separate </w:t>
            </w:r>
            <w:r w:rsidRPr="00183A13">
              <w:rPr>
                <w:rFonts w:cstheme="minorHAnsi"/>
                <w:sz w:val="20"/>
                <w:szCs w:val="20"/>
              </w:rPr>
              <w:t>and combine atoms during the reaction</w:t>
            </w:r>
            <w:r w:rsidR="00183A13">
              <w:rPr>
                <w:rFonts w:cstheme="minorHAnsi"/>
                <w:sz w:val="20"/>
                <w:szCs w:val="20"/>
              </w:rPr>
              <w:t>.</w:t>
            </w:r>
          </w:p>
          <w:p w14:paraId="2FF13882" w14:textId="7E357EA4" w:rsidR="00794BB0" w:rsidRPr="000A4D1F" w:rsidRDefault="002531E9" w:rsidP="00794BB0">
            <w:pPr>
              <w:spacing w:after="120"/>
              <w:rPr>
                <w:rFonts w:cstheme="minorHAnsi"/>
                <w:sz w:val="20"/>
                <w:szCs w:val="20"/>
              </w:rPr>
            </w:pPr>
            <w:r>
              <w:rPr>
                <w:noProof/>
                <w:sz w:val="20"/>
                <w:lang w:eastAsia="en-GB"/>
              </w:rPr>
              <mc:AlternateContent>
                <mc:Choice Requires="wps">
                  <w:drawing>
                    <wp:inline distT="0" distB="0" distL="0" distR="0" wp14:anchorId="65484D0A" wp14:editId="21C07564">
                      <wp:extent cx="200025" cy="209550"/>
                      <wp:effectExtent l="0" t="0" r="9525" b="6350"/>
                      <wp:docPr id="242" name="Text Box 24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3E3B2634" w14:textId="77777777" w:rsidR="002531E9" w:rsidRPr="00620AFF" w:rsidRDefault="002531E9" w:rsidP="002531E9">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5484D0A" id="Text Box 24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" fillcolor="#e36c0a [2409]" stroked="f" strokeweight=".5pt">
                      <v:textbox style="mso-fit-shape-to-text:t" inset="1mm,1mm,1mm,1mm">
                        <w:txbxContent>
                          <w:p w14:paraId="3E3B2634" w14:textId="77777777" w:rsidR="002531E9" w:rsidRPr="00620AFF" w:rsidRDefault="002531E9" w:rsidP="002531E9">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A111E8" w:rsidRPr="006229D7" w14:paraId="4EB8C205" w14:textId="77777777" w:rsidTr="0056051E">
        <w:trPr>
          <w:trHeight w:hRule="exact" w:val="57"/>
        </w:trPr>
        <w:tc>
          <w:tcPr>
            <w:tcW w:w="1545" w:type="dxa"/>
            <w:tcBorders>
              <w:top w:val="single" w:sz="8" w:space="0" w:color="E36C0A"/>
              <w:left w:val="single" w:sz="8" w:space="0" w:color="E36C0A"/>
              <w:bottom w:val="single" w:sz="8" w:space="0" w:color="E36C0A" w:themeColor="accent6" w:themeShade="BF"/>
              <w:right w:val="nil"/>
            </w:tcBorders>
            <w:shd w:val="clear" w:color="auto" w:fill="auto"/>
            <w:tcMar>
              <w:top w:w="0" w:type="dxa"/>
              <w:left w:w="0" w:type="dxa"/>
              <w:bottom w:w="0" w:type="dxa"/>
              <w:right w:w="0" w:type="dxa"/>
            </w:tcMar>
          </w:tcPr>
          <w:p w14:paraId="41F03BF7" w14:textId="77777777" w:rsidR="00A111E8" w:rsidRPr="006229D7" w:rsidRDefault="00A111E8" w:rsidP="00A111E8">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839459A"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82FFABE"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3B2FDAD"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4BAA797"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7BC5294" w14:textId="77777777" w:rsidR="00A111E8" w:rsidRPr="006229D7" w:rsidRDefault="00A111E8" w:rsidP="00A111E8">
            <w:pPr>
              <w:jc w:val="center"/>
              <w:rPr>
                <w:rFonts w:ascii="Calibri" w:eastAsia="Calibri" w:hAnsi="Calibri" w:cs="Calibri"/>
                <w:sz w:val="20"/>
                <w:szCs w:val="20"/>
              </w:rPr>
            </w:pPr>
          </w:p>
        </w:tc>
      </w:tr>
      <w:tr w:rsidR="00A111E8" w:rsidRPr="006229D7" w14:paraId="67BFBAC7" w14:textId="77777777" w:rsidTr="0056051E">
        <w:trPr>
          <w:trHeight w:val="340"/>
        </w:trPr>
        <w:tc>
          <w:tcPr>
            <w:tcW w:w="1545" w:type="dxa"/>
            <w:tcBorders>
              <w:top w:val="single" w:sz="8" w:space="0" w:color="E36C0A" w:themeColor="accent6" w:themeShade="BF"/>
              <w:left w:val="single" w:sz="8" w:space="0" w:color="E36C0A"/>
              <w:bottom w:val="single" w:sz="8" w:space="0" w:color="E36C0A"/>
              <w:right w:val="single" w:sz="8" w:space="0" w:color="E36C0A"/>
            </w:tcBorders>
            <w:shd w:val="clear" w:color="auto" w:fill="E36C0A"/>
          </w:tcPr>
          <w:p w14:paraId="309E4B4A" w14:textId="68E8392F" w:rsidR="00A111E8" w:rsidRPr="006229D7" w:rsidRDefault="009C608A" w:rsidP="00A111E8">
            <w:pPr>
              <w:rPr>
                <w:rFonts w:ascii="Calibri" w:eastAsia="Calibri" w:hAnsi="Calibri" w:cs="Calibri"/>
                <w:b/>
                <w:color w:val="FFFFFF"/>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3BB2B3A" w14:textId="61A177DD" w:rsidR="00A111E8" w:rsidRPr="006229D7" w:rsidRDefault="001239F7" w:rsidP="00A111E8">
            <w:pPr>
              <w:jc w:val="center"/>
              <w:rPr>
                <w:rFonts w:ascii="Calibri" w:eastAsia="Calibri" w:hAnsi="Calibri" w:cs="Calibri"/>
                <w:sz w:val="20"/>
                <w:szCs w:val="20"/>
              </w:rPr>
            </w:pPr>
            <w:r>
              <w:rPr>
                <w:rFonts w:ascii="Calibri" w:eastAsia="Calibri" w:hAnsi="Calibri" w:cs="Calibri"/>
                <w:sz w:val="20"/>
                <w:szCs w:val="20"/>
              </w:rPr>
              <w:t>Burning fuel</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E7625A3" w14:textId="242F2874" w:rsidR="00A111E8" w:rsidRPr="006229D7" w:rsidRDefault="001239F7" w:rsidP="00A111E8">
            <w:pPr>
              <w:jc w:val="center"/>
              <w:rPr>
                <w:rFonts w:ascii="Calibri" w:eastAsia="Calibri" w:hAnsi="Calibri" w:cs="Calibri"/>
                <w:sz w:val="20"/>
                <w:szCs w:val="20"/>
              </w:rPr>
            </w:pPr>
            <w:r>
              <w:rPr>
                <w:rFonts w:ascii="Calibri" w:eastAsia="Calibri" w:hAnsi="Calibri" w:cs="Calibri"/>
                <w:sz w:val="20"/>
                <w:szCs w:val="20"/>
              </w:rPr>
              <w:t>Temperature change 1</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58EC8B1" w14:textId="7F11B8CE" w:rsidR="00A111E8" w:rsidRPr="006229D7" w:rsidRDefault="001239F7" w:rsidP="00A111E8">
            <w:pPr>
              <w:jc w:val="center"/>
              <w:rPr>
                <w:rFonts w:ascii="Calibri" w:eastAsia="Calibri" w:hAnsi="Calibri" w:cs="Calibri"/>
                <w:sz w:val="20"/>
                <w:szCs w:val="20"/>
              </w:rPr>
            </w:pPr>
            <w:r>
              <w:rPr>
                <w:rFonts w:ascii="Calibri" w:eastAsia="Calibri" w:hAnsi="Calibri" w:cs="Calibri"/>
                <w:sz w:val="20"/>
                <w:szCs w:val="20"/>
              </w:rPr>
              <w:t>Temperature change 2</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1B5E620" w14:textId="12B5167B" w:rsidR="00A111E8" w:rsidRPr="006229D7" w:rsidRDefault="000977C4" w:rsidP="00A111E8">
            <w:pPr>
              <w:jc w:val="center"/>
              <w:rPr>
                <w:rFonts w:ascii="Calibri" w:eastAsia="Calibri" w:hAnsi="Calibri" w:cs="Calibri"/>
                <w:sz w:val="20"/>
                <w:szCs w:val="20"/>
              </w:rPr>
            </w:pPr>
            <w:r>
              <w:rPr>
                <w:rFonts w:ascii="Calibri" w:eastAsia="Calibri" w:hAnsi="Calibri" w:cs="Calibri"/>
                <w:sz w:val="20"/>
                <w:szCs w:val="20"/>
              </w:rPr>
              <w:t xml:space="preserve">Energy and </w:t>
            </w:r>
            <w:r w:rsidR="00431E42">
              <w:rPr>
                <w:rFonts w:ascii="Calibri" w:eastAsia="Calibri" w:hAnsi="Calibri" w:cs="Calibri"/>
                <w:sz w:val="20"/>
                <w:szCs w:val="20"/>
              </w:rPr>
              <w:t>rearranging</w:t>
            </w:r>
            <w:r>
              <w:rPr>
                <w:rFonts w:ascii="Calibri" w:eastAsia="Calibri" w:hAnsi="Calibri" w:cs="Calibri"/>
                <w:sz w:val="20"/>
                <w:szCs w:val="20"/>
              </w:rPr>
              <w:t xml:space="preserve"> atoms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5A4A1976" w14:textId="57A5A6AF" w:rsidR="00A111E8" w:rsidRPr="006229D7" w:rsidRDefault="00E204CC" w:rsidP="00A111E8">
            <w:pPr>
              <w:jc w:val="center"/>
              <w:rPr>
                <w:rFonts w:ascii="Calibri" w:eastAsia="Calibri" w:hAnsi="Calibri" w:cs="Calibri"/>
                <w:sz w:val="20"/>
                <w:szCs w:val="20"/>
              </w:rPr>
            </w:pPr>
            <w:r>
              <w:rPr>
                <w:rFonts w:ascii="Calibri" w:eastAsia="Calibri" w:hAnsi="Calibri" w:cs="Calibri"/>
                <w:sz w:val="20"/>
                <w:szCs w:val="20"/>
              </w:rPr>
              <w:t>Overall energy change</w:t>
            </w:r>
          </w:p>
        </w:tc>
      </w:tr>
      <w:tr w:rsidR="00A111E8" w:rsidRPr="006229D7" w14:paraId="199519EB" w14:textId="77777777" w:rsidTr="0056051E">
        <w:trPr>
          <w:trHeight w:hRule="exact" w:val="57"/>
        </w:trPr>
        <w:tc>
          <w:tcPr>
            <w:tcW w:w="1545" w:type="dxa"/>
            <w:tcBorders>
              <w:top w:val="single" w:sz="8" w:space="0" w:color="E36C0A"/>
              <w:left w:val="single" w:sz="8" w:space="0" w:color="E36C0A"/>
              <w:bottom w:val="single" w:sz="8" w:space="0" w:color="E36C0A" w:themeColor="accent6" w:themeShade="BF"/>
              <w:right w:val="nil"/>
            </w:tcBorders>
            <w:shd w:val="clear" w:color="auto" w:fill="auto"/>
            <w:tcMar>
              <w:top w:w="0" w:type="dxa"/>
              <w:left w:w="0" w:type="dxa"/>
              <w:bottom w:w="0" w:type="dxa"/>
              <w:right w:w="0" w:type="dxa"/>
            </w:tcMar>
          </w:tcPr>
          <w:p w14:paraId="416D483F" w14:textId="77777777" w:rsidR="00A111E8" w:rsidRPr="006229D7" w:rsidRDefault="00A111E8" w:rsidP="00A111E8">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8797E91"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7F946D0"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11E4DA4"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2954946" w14:textId="77777777" w:rsidR="00A111E8" w:rsidRPr="006229D7" w:rsidRDefault="00A111E8" w:rsidP="00A111E8">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428BADA" w14:textId="77777777" w:rsidR="00A111E8" w:rsidRPr="006229D7" w:rsidRDefault="00A111E8" w:rsidP="00A111E8">
            <w:pPr>
              <w:jc w:val="center"/>
              <w:rPr>
                <w:rFonts w:ascii="Calibri" w:eastAsia="Calibri" w:hAnsi="Calibri" w:cs="Calibri"/>
                <w:sz w:val="20"/>
                <w:szCs w:val="20"/>
              </w:rPr>
            </w:pPr>
          </w:p>
        </w:tc>
      </w:tr>
      <w:tr w:rsidR="009C608A" w:rsidRPr="006229D7" w14:paraId="6C11DD4A" w14:textId="77777777" w:rsidTr="0056051E">
        <w:trPr>
          <w:trHeight w:val="340"/>
        </w:trPr>
        <w:tc>
          <w:tcPr>
            <w:tcW w:w="1545" w:type="dxa"/>
            <w:tcBorders>
              <w:top w:val="single" w:sz="8" w:space="0" w:color="E36C0A" w:themeColor="accent6" w:themeShade="BF"/>
              <w:left w:val="single" w:sz="8" w:space="0" w:color="E36C0A"/>
              <w:bottom w:val="single" w:sz="8" w:space="0" w:color="E36C0A"/>
              <w:right w:val="single" w:sz="8" w:space="0" w:color="E36C0A"/>
            </w:tcBorders>
            <w:shd w:val="clear" w:color="auto" w:fill="E36C0A"/>
          </w:tcPr>
          <w:p w14:paraId="018E7E3B" w14:textId="77777777" w:rsidR="009C608A" w:rsidRPr="006229D7" w:rsidRDefault="009C608A" w:rsidP="009C608A">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5F7CA561" w14:textId="528D50AF" w:rsidR="009C608A" w:rsidRPr="006229D7" w:rsidRDefault="009C608A" w:rsidP="009C608A">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BE1744C" w14:textId="1CBF56D7" w:rsidR="009C608A" w:rsidRPr="006229D7" w:rsidRDefault="001239F7" w:rsidP="009C608A">
            <w:pPr>
              <w:jc w:val="center"/>
              <w:rPr>
                <w:rFonts w:ascii="Calibri" w:eastAsia="Calibri" w:hAnsi="Calibri" w:cs="Calibri"/>
                <w:sz w:val="20"/>
                <w:szCs w:val="20"/>
              </w:rPr>
            </w:pPr>
            <w:r>
              <w:rPr>
                <w:rFonts w:ascii="Calibri" w:eastAsia="Calibri" w:hAnsi="Calibri" w:cs="Calibri"/>
                <w:sz w:val="20"/>
                <w:szCs w:val="20"/>
              </w:rPr>
              <w:t>Magnesium powder</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3375D54" w14:textId="30687EEC" w:rsidR="009C608A" w:rsidRPr="006229D7" w:rsidRDefault="001239F7" w:rsidP="009C608A">
            <w:pPr>
              <w:jc w:val="center"/>
              <w:rPr>
                <w:rFonts w:ascii="Calibri" w:eastAsia="Calibri" w:hAnsi="Calibri" w:cs="Calibri"/>
                <w:sz w:val="20"/>
                <w:szCs w:val="20"/>
              </w:rPr>
            </w:pPr>
            <w:r>
              <w:rPr>
                <w:rFonts w:ascii="Calibri" w:eastAsia="Calibri" w:hAnsi="Calibri" w:cs="Calibri"/>
                <w:sz w:val="20"/>
                <w:szCs w:val="20"/>
              </w:rPr>
              <w:t>Exothermic reaction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E043191" w14:textId="3861D89A" w:rsidR="009C608A" w:rsidRPr="006229D7" w:rsidRDefault="001239F7" w:rsidP="009C608A">
            <w:pPr>
              <w:jc w:val="center"/>
              <w:rPr>
                <w:rFonts w:ascii="Calibri" w:eastAsia="Calibri" w:hAnsi="Calibri" w:cs="Calibri"/>
                <w:sz w:val="20"/>
                <w:szCs w:val="20"/>
              </w:rPr>
            </w:pPr>
            <w:r>
              <w:rPr>
                <w:rFonts w:ascii="Calibri" w:eastAsia="Calibri" w:hAnsi="Calibri" w:cs="Calibri"/>
                <w:sz w:val="20"/>
                <w:szCs w:val="20"/>
              </w:rPr>
              <w:t>Endothermic reaction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1EE372F" w14:textId="2E847BF2" w:rsidR="009C608A" w:rsidRPr="006229D7" w:rsidRDefault="00E76C6A" w:rsidP="009C608A">
            <w:pPr>
              <w:jc w:val="center"/>
              <w:rPr>
                <w:rFonts w:ascii="Calibri" w:eastAsia="Calibri" w:hAnsi="Calibri" w:cs="Calibri"/>
                <w:sz w:val="20"/>
                <w:szCs w:val="20"/>
              </w:rPr>
            </w:pPr>
            <w:r>
              <w:rPr>
                <w:rFonts w:ascii="Calibri" w:eastAsia="Calibri" w:hAnsi="Calibri" w:cs="Calibri"/>
                <w:sz w:val="20"/>
                <w:szCs w:val="20"/>
              </w:rPr>
              <w:t>Molecule models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AC7BFB2" w14:textId="5DF6A72B" w:rsidR="009C608A" w:rsidRPr="006229D7" w:rsidRDefault="00183A13" w:rsidP="009C608A">
            <w:pPr>
              <w:jc w:val="center"/>
              <w:rPr>
                <w:rFonts w:ascii="Calibri" w:eastAsia="Calibri" w:hAnsi="Calibri" w:cs="Calibri"/>
                <w:sz w:val="20"/>
                <w:szCs w:val="20"/>
              </w:rPr>
            </w:pPr>
            <w:r>
              <w:rPr>
                <w:rFonts w:ascii="Calibri" w:eastAsia="Calibri" w:hAnsi="Calibri" w:cs="Calibri"/>
                <w:sz w:val="20"/>
                <w:szCs w:val="20"/>
              </w:rPr>
              <w:t xml:space="preserve">Energy </w:t>
            </w:r>
            <w:r w:rsidR="00FC7F2B">
              <w:rPr>
                <w:rFonts w:ascii="Calibri" w:eastAsia="Calibri" w:hAnsi="Calibri" w:cs="Calibri"/>
                <w:sz w:val="20"/>
                <w:szCs w:val="20"/>
              </w:rPr>
              <w:t xml:space="preserve">change </w:t>
            </w:r>
            <w:r>
              <w:rPr>
                <w:rFonts w:ascii="Calibri" w:eastAsia="Calibri" w:hAnsi="Calibri" w:cs="Calibri"/>
                <w:sz w:val="20"/>
                <w:szCs w:val="20"/>
              </w:rPr>
              <w:t>diagrams</w:t>
            </w:r>
          </w:p>
        </w:tc>
      </w:tr>
    </w:tbl>
    <w:p w14:paraId="0463409F"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58B261F0" w14:textId="77777777" w:rsidTr="00E76774">
        <w:tc>
          <w:tcPr>
            <w:tcW w:w="10361" w:type="dxa"/>
            <w:gridSpan w:val="4"/>
          </w:tcPr>
          <w:p w14:paraId="6EB2B40E"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545F7445" w14:textId="77777777" w:rsidTr="00E76774">
        <w:tc>
          <w:tcPr>
            <w:tcW w:w="438" w:type="dxa"/>
            <w:vAlign w:val="center"/>
          </w:tcPr>
          <w:p w14:paraId="4E6420E8"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3C711B34" wp14:editId="5A2D76BA">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5BFAD545"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C711B34" id="Text Box 24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3eVAIAAKgEAAAOAAAAZHJzL2Uyb0RvYy54bWysVE1vGjEQvVfqf7B8b5ZA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Hgx&#10;4swKA5KWqovsC3Us6YBQ68IUjs8OrrGDAUwf9AHK1HhXe5O+aInBDqxfj/imcBJKEDYYjjmTMA0H&#10;V+Nxxr94e+x8iF8VGZYuJfegL6MqdvchohC4HlxSrkC6qRaN1lnw69Wt9mwnQPXi8mpyMclv9dZ8&#10;p6pXX45RQaocgULv399PA2nL2pJPRqguxbWUMvRvtIV7QqPvOt1it+oyfkekVlS9AihP/bAFJxcN&#10;2rkXIT4Jj+kCNtiY+Iij1oRctL9xtiH/62/65A/SYeWsxbSWPPzcCq84098sxmE0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REFd3l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5BFAD545"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724F539F"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6847F7D1"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1D30996F" wp14:editId="6C7B0552">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39A2D847"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D30996F" id="Text Box 24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e/VAIAAKgEAAAOAAAAZHJzL2Uyb0RvYy54bWysVE1vGjEQvVfqf7B8b5YQ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Dga&#10;cWaFAUlL1UX2hTqWdECodWEKx2cH19jBAKYP+gBlaryrvUlftMRgB9avR3xTOAklCBsMx5xJmIaD&#10;q/E441+8PXY+xK+KDEuXknvQl1EVu/sQUQhcDy4pVyDdVItG6yz49epWe7YToHpxeTUZTfJbvTXf&#10;qerVl2NUkCpHoND79/fTQNqytuSTC1SX4lpKGfo32sI9odF3nW6xW3UZvyNSK6peAZSnftiCk4sG&#10;7dyLEJ+Ex3QBG2xMfMRRa0Iu2t8425D/9Td98gfpsHLWYlpLHn5uhVec6W8W43Ax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5koXv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39A2D847"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2BFAECE9" w14:textId="77777777" w:rsidR="00F928E4" w:rsidRPr="006229D7" w:rsidRDefault="00F928E4" w:rsidP="00E76774">
            <w:pPr>
              <w:rPr>
                <w:rFonts w:ascii="Calibri" w:eastAsia="Calibri" w:hAnsi="Calibri"/>
                <w:sz w:val="20"/>
              </w:rPr>
            </w:pPr>
            <w:r w:rsidRPr="006229D7">
              <w:rPr>
                <w:rFonts w:ascii="Calibri" w:eastAsia="Calibri" w:hAnsi="Calibri"/>
                <w:sz w:val="20"/>
              </w:rPr>
              <w:t>Bridge to later stages of learning</w:t>
            </w:r>
          </w:p>
        </w:tc>
      </w:tr>
    </w:tbl>
    <w:p w14:paraId="67F005AF" w14:textId="77777777" w:rsidR="00E86A5C" w:rsidRDefault="00E86A5C" w:rsidP="00CE7273">
      <w:pPr>
        <w:spacing w:after="200" w:line="276" w:lineRule="auto"/>
        <w:rPr>
          <w:b/>
          <w:color w:val="E36C0A" w:themeColor="accent6" w:themeShade="BF"/>
          <w:sz w:val="24"/>
        </w:rPr>
      </w:pPr>
    </w:p>
    <w:p w14:paraId="5050D30A" w14:textId="77777777" w:rsidR="00302805" w:rsidRDefault="00302805" w:rsidP="00CE7273">
      <w:pPr>
        <w:spacing w:after="200" w:line="276" w:lineRule="auto"/>
        <w:rPr>
          <w:b/>
          <w:color w:val="E36C0A" w:themeColor="accent6" w:themeShade="BF"/>
          <w:sz w:val="24"/>
        </w:rPr>
      </w:pPr>
    </w:p>
    <w:p w14:paraId="393DCE54" w14:textId="77777777" w:rsidR="00302805" w:rsidRDefault="00302805" w:rsidP="00CE7273">
      <w:pPr>
        <w:spacing w:after="200" w:line="276" w:lineRule="auto"/>
        <w:rPr>
          <w:b/>
          <w:color w:val="E36C0A" w:themeColor="accent6" w:themeShade="BF"/>
          <w:sz w:val="24"/>
        </w:rPr>
      </w:pPr>
    </w:p>
    <w:p w14:paraId="51835C85" w14:textId="77777777" w:rsidR="00AB454D" w:rsidRDefault="00AB454D">
      <w:pPr>
        <w:spacing w:after="200" w:line="276" w:lineRule="auto"/>
        <w:rPr>
          <w:b/>
          <w:color w:val="E36C0A" w:themeColor="accent6" w:themeShade="BF"/>
          <w:sz w:val="24"/>
        </w:rPr>
      </w:pPr>
      <w:r>
        <w:rPr>
          <w:b/>
          <w:color w:val="E36C0A" w:themeColor="accent6" w:themeShade="BF"/>
          <w:sz w:val="24"/>
        </w:rP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7"/>
        <w:gridCol w:w="2787"/>
        <w:gridCol w:w="2788"/>
        <w:gridCol w:w="2788"/>
        <w:gridCol w:w="2788"/>
      </w:tblGrid>
      <w:tr w:rsidR="00C50FB5" w:rsidRPr="00D2452D" w14:paraId="78D9057F" w14:textId="77777777" w:rsidTr="00A67BF6">
        <w:trPr>
          <w:trHeight w:hRule="exact" w:val="729"/>
        </w:trPr>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40B25992" w14:textId="06171F1C" w:rsidR="00A67BF6" w:rsidRPr="00D2452D" w:rsidRDefault="00A67BF6" w:rsidP="00150A81">
            <w:pPr>
              <w:jc w:val="center"/>
              <w:rPr>
                <w:rFonts w:cstheme="minorHAnsi"/>
                <w:b/>
              </w:rPr>
            </w:pPr>
            <w:r>
              <w:rPr>
                <w:rFonts w:cstheme="minorHAnsi"/>
                <w:b/>
              </w:rPr>
              <w:lastRenderedPageBreak/>
              <w:t>Burning fuel</w:t>
            </w:r>
          </w:p>
        </w:tc>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15230CE2" w14:textId="6180543D" w:rsidR="00A67BF6" w:rsidRPr="00D2452D" w:rsidRDefault="00A67BF6" w:rsidP="00150A81">
            <w:pPr>
              <w:jc w:val="center"/>
              <w:rPr>
                <w:rFonts w:cstheme="minorHAnsi"/>
                <w:b/>
              </w:rPr>
            </w:pPr>
            <w:r>
              <w:rPr>
                <w:rFonts w:cstheme="minorHAnsi"/>
                <w:b/>
              </w:rPr>
              <w:t>Temperature change 1</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7CB20194" w14:textId="67373DFE" w:rsidR="00A67BF6" w:rsidRPr="00D2452D" w:rsidRDefault="00A67BF6" w:rsidP="00150A81">
            <w:pPr>
              <w:jc w:val="center"/>
              <w:rPr>
                <w:rFonts w:cstheme="minorHAnsi"/>
                <w:b/>
              </w:rPr>
            </w:pPr>
            <w:r>
              <w:rPr>
                <w:rFonts w:cstheme="minorHAnsi"/>
                <w:b/>
              </w:rPr>
              <w:t>Temperature change</w:t>
            </w:r>
            <w:r>
              <w:rPr>
                <w:rFonts w:cstheme="minorHAnsi"/>
                <w:b/>
              </w:rPr>
              <w:t xml:space="preserve"> 2</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53F395E8" w14:textId="34048CEA" w:rsidR="00A67BF6" w:rsidRPr="00D2452D" w:rsidRDefault="00A67BF6" w:rsidP="00150A81">
            <w:pPr>
              <w:jc w:val="center"/>
              <w:rPr>
                <w:rFonts w:cstheme="minorHAnsi"/>
                <w:b/>
              </w:rPr>
            </w:pPr>
            <w:r>
              <w:rPr>
                <w:rFonts w:cstheme="minorHAnsi"/>
                <w:b/>
              </w:rPr>
              <w:t>Energy and rearranging atoms</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42CACAF6" w14:textId="346BA637" w:rsidR="00A67BF6" w:rsidRPr="00D2452D" w:rsidRDefault="00A67BF6" w:rsidP="00150A81">
            <w:pPr>
              <w:jc w:val="center"/>
              <w:rPr>
                <w:rFonts w:cstheme="minorHAnsi"/>
                <w:b/>
              </w:rPr>
            </w:pPr>
            <w:r>
              <w:rPr>
                <w:rFonts w:cstheme="minorHAnsi"/>
                <w:b/>
              </w:rPr>
              <w:t>Overall energy change</w:t>
            </w:r>
          </w:p>
        </w:tc>
      </w:tr>
      <w:tr w:rsidR="00C50FB5" w14:paraId="4659FD2B" w14:textId="77777777" w:rsidTr="00A67BF6">
        <w:trPr>
          <w:trHeight w:hRule="exact" w:val="3289"/>
        </w:trPr>
        <w:tc>
          <w:tcPr>
            <w:tcW w:w="2789" w:type="dxa"/>
            <w:tcBorders>
              <w:top w:val="nil"/>
              <w:left w:val="single" w:sz="8" w:space="0" w:color="E36C0A" w:themeColor="accent6" w:themeShade="BF"/>
              <w:bottom w:val="nil"/>
              <w:right w:val="single" w:sz="8" w:space="0" w:color="E36C0A" w:themeColor="accent6" w:themeShade="BF"/>
            </w:tcBorders>
            <w:vAlign w:val="center"/>
          </w:tcPr>
          <w:p w14:paraId="38B4D9F0" w14:textId="5B2A9789" w:rsidR="00A67BF6" w:rsidRDefault="00C50FB5" w:rsidP="00150A81">
            <w:pPr>
              <w:jc w:val="center"/>
              <w:rPr>
                <w:b/>
                <w:color w:val="5F497A" w:themeColor="accent4" w:themeShade="BF"/>
                <w:sz w:val="24"/>
              </w:rPr>
            </w:pPr>
            <w:r>
              <w:rPr>
                <w:b/>
                <w:noProof/>
                <w:color w:val="5F497A" w:themeColor="accent4" w:themeShade="BF"/>
                <w:sz w:val="24"/>
                <w:lang w:eastAsia="en-GB"/>
              </w:rPr>
              <w:drawing>
                <wp:inline distT="0" distB="0" distL="0" distR="0" wp14:anchorId="0C045A35" wp14:editId="2FEBB3AC">
                  <wp:extent cx="1446585" cy="2052000"/>
                  <wp:effectExtent l="19050" t="19050" r="20320"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urnig fue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c>
          <w:tcPr>
            <w:tcW w:w="2789" w:type="dxa"/>
            <w:tcBorders>
              <w:top w:val="nil"/>
              <w:left w:val="single" w:sz="8" w:space="0" w:color="E36C0A" w:themeColor="accent6" w:themeShade="BF"/>
              <w:bottom w:val="nil"/>
              <w:right w:val="single" w:sz="8" w:space="0" w:color="E36C0A" w:themeColor="accent6" w:themeShade="BF"/>
            </w:tcBorders>
            <w:vAlign w:val="center"/>
          </w:tcPr>
          <w:p w14:paraId="0D19AF52" w14:textId="3031CAE1" w:rsidR="00A67BF6" w:rsidRDefault="00C50FB5" w:rsidP="00150A81">
            <w:pPr>
              <w:jc w:val="center"/>
              <w:rPr>
                <w:b/>
                <w:color w:val="5F497A" w:themeColor="accent4" w:themeShade="BF"/>
                <w:sz w:val="24"/>
              </w:rPr>
            </w:pPr>
            <w:r>
              <w:rPr>
                <w:b/>
                <w:noProof/>
                <w:color w:val="5F497A" w:themeColor="accent4" w:themeShade="BF"/>
                <w:sz w:val="24"/>
                <w:lang w:eastAsia="en-GB"/>
              </w:rPr>
              <w:drawing>
                <wp:inline distT="0" distB="0" distL="0" distR="0" wp14:anchorId="0140F5AE" wp14:editId="1E053CFC">
                  <wp:extent cx="1449086" cy="2052000"/>
                  <wp:effectExtent l="19050" t="19050" r="17780" b="247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emperature change 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2D679C2E" w14:textId="4A061799" w:rsidR="00A67BF6" w:rsidRDefault="00C50FB5" w:rsidP="00150A81">
            <w:pPr>
              <w:jc w:val="center"/>
              <w:rPr>
                <w:b/>
                <w:color w:val="5F497A" w:themeColor="accent4" w:themeShade="BF"/>
                <w:sz w:val="24"/>
              </w:rPr>
            </w:pPr>
            <w:r>
              <w:rPr>
                <w:b/>
                <w:noProof/>
                <w:color w:val="5F497A" w:themeColor="accent4" w:themeShade="BF"/>
                <w:sz w:val="24"/>
                <w:lang w:eastAsia="en-GB"/>
              </w:rPr>
              <w:drawing>
                <wp:inline distT="0" distB="0" distL="0" distR="0" wp14:anchorId="66C42019" wp14:editId="759252C1">
                  <wp:extent cx="1449086" cy="2052000"/>
                  <wp:effectExtent l="19050" t="19050" r="17780"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emperature change 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7ADF5DCF" w14:textId="32505C17" w:rsidR="00A67BF6" w:rsidRDefault="00C50FB5" w:rsidP="00150A81">
            <w:pPr>
              <w:jc w:val="center"/>
              <w:rPr>
                <w:b/>
                <w:color w:val="5F497A" w:themeColor="accent4" w:themeShade="BF"/>
                <w:sz w:val="24"/>
              </w:rPr>
            </w:pPr>
            <w:r>
              <w:rPr>
                <w:b/>
                <w:noProof/>
                <w:color w:val="5F497A" w:themeColor="accent4" w:themeShade="BF"/>
                <w:sz w:val="24"/>
                <w:lang w:eastAsia="en-GB"/>
              </w:rPr>
              <w:drawing>
                <wp:inline distT="0" distB="0" distL="0" distR="0" wp14:anchorId="4FE9B6D8" wp14:editId="31BFAE75">
                  <wp:extent cx="1448404" cy="2052000"/>
                  <wp:effectExtent l="19050" t="19050" r="19050"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nergy and rearranging atom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8404"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661ECAE1" w14:textId="69A0D5A6" w:rsidR="00A67BF6" w:rsidRDefault="00C50FB5" w:rsidP="00150A81">
            <w:pPr>
              <w:jc w:val="center"/>
              <w:rPr>
                <w:b/>
                <w:color w:val="5F497A" w:themeColor="accent4" w:themeShade="BF"/>
                <w:sz w:val="24"/>
              </w:rPr>
            </w:pPr>
            <w:r>
              <w:rPr>
                <w:b/>
                <w:noProof/>
                <w:color w:val="5F497A" w:themeColor="accent4" w:themeShade="BF"/>
                <w:sz w:val="24"/>
                <w:lang w:eastAsia="en-GB"/>
              </w:rPr>
              <w:drawing>
                <wp:inline distT="0" distB="0" distL="0" distR="0" wp14:anchorId="5A313A2A" wp14:editId="6C0C0F05">
                  <wp:extent cx="1449054" cy="2052000"/>
                  <wp:effectExtent l="19050" t="19050" r="18415" b="247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verall energy chang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9054" cy="2052000"/>
                          </a:xfrm>
                          <a:prstGeom prst="rect">
                            <a:avLst/>
                          </a:prstGeom>
                          <a:ln>
                            <a:solidFill>
                              <a:schemeClr val="tx1"/>
                            </a:solidFill>
                          </a:ln>
                        </pic:spPr>
                      </pic:pic>
                    </a:graphicData>
                  </a:graphic>
                </wp:inline>
              </w:drawing>
            </w:r>
          </w:p>
        </w:tc>
      </w:tr>
      <w:tr w:rsidR="00A67BF6" w14:paraId="26C82579" w14:textId="77777777" w:rsidTr="00A67BF6">
        <w:trPr>
          <w:trHeight w:hRule="exact" w:val="454"/>
        </w:trPr>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055235E3" w14:textId="7FBA6460" w:rsidR="00A67BF6" w:rsidRPr="00EA6AA1" w:rsidRDefault="00C50FB5" w:rsidP="00150A81">
            <w:pPr>
              <w:spacing w:after="240" w:line="276" w:lineRule="auto"/>
              <w:jc w:val="center"/>
            </w:pPr>
            <w:r>
              <w:t>Talking heads</w:t>
            </w:r>
          </w:p>
        </w:tc>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3DEA0215" w14:textId="640CDE3E" w:rsidR="00A67BF6" w:rsidRPr="00EA6AA1" w:rsidRDefault="00C50FB5" w:rsidP="00150A81">
            <w:pPr>
              <w:spacing w:after="200" w:line="276" w:lineRule="auto"/>
              <w:jc w:val="center"/>
            </w:pPr>
            <w:r>
              <w:t>Two-tier multiple choice</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555EB772" w14:textId="0657BEB8" w:rsidR="00A67BF6" w:rsidRPr="00EA6AA1" w:rsidRDefault="00C50FB5" w:rsidP="00150A81">
            <w:pPr>
              <w:spacing w:after="200" w:line="276" w:lineRule="auto"/>
              <w:jc w:val="center"/>
            </w:pPr>
            <w:r>
              <w:t>Two-tier multiple choice</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2DB065C2" w14:textId="048DD742" w:rsidR="00A67BF6" w:rsidRPr="00EA6AA1" w:rsidRDefault="00C50FB5" w:rsidP="00150A81">
            <w:pPr>
              <w:spacing w:after="200" w:line="276" w:lineRule="auto"/>
              <w:jc w:val="center"/>
            </w:pPr>
            <w:r>
              <w:t>Talking heads</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633C990B" w14:textId="3A326D27" w:rsidR="00A67BF6" w:rsidRPr="00EA6AA1" w:rsidRDefault="00C50FB5" w:rsidP="00150A81">
            <w:pPr>
              <w:spacing w:after="200" w:line="276" w:lineRule="auto"/>
              <w:jc w:val="center"/>
            </w:pPr>
            <w:r>
              <w:t>Simple multiple choice</w:t>
            </w:r>
          </w:p>
        </w:tc>
      </w:tr>
      <w:tr w:rsidR="00C50FB5" w:rsidRPr="00D2452D" w14:paraId="1D7A734E" w14:textId="77777777" w:rsidTr="00A67BF6">
        <w:trPr>
          <w:trHeight w:hRule="exact" w:val="708"/>
        </w:trPr>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vAlign w:val="center"/>
          </w:tcPr>
          <w:p w14:paraId="67524AB4" w14:textId="1CB81EF0" w:rsidR="00A67BF6" w:rsidRPr="00D2452D" w:rsidRDefault="00A67BF6" w:rsidP="00150A81">
            <w:pPr>
              <w:spacing w:line="276" w:lineRule="auto"/>
              <w:jc w:val="center"/>
              <w:rPr>
                <w:b/>
              </w:rPr>
            </w:pPr>
            <w:r>
              <w:rPr>
                <w:b/>
              </w:rPr>
              <w:t>Magnesium powder</w:t>
            </w:r>
          </w:p>
        </w:tc>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tcMar>
              <w:left w:w="28" w:type="dxa"/>
              <w:right w:w="28" w:type="dxa"/>
            </w:tcMar>
            <w:vAlign w:val="center"/>
          </w:tcPr>
          <w:p w14:paraId="5B08BAA0" w14:textId="77294138" w:rsidR="00A67BF6" w:rsidRPr="00D2452D" w:rsidRDefault="00A67BF6" w:rsidP="00150A81">
            <w:pPr>
              <w:spacing w:line="276" w:lineRule="auto"/>
              <w:jc w:val="center"/>
              <w:rPr>
                <w:b/>
              </w:rPr>
            </w:pPr>
            <w:r>
              <w:rPr>
                <w:b/>
              </w:rPr>
              <w:t>Exothermic reaction</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vAlign w:val="center"/>
          </w:tcPr>
          <w:p w14:paraId="78EC60CA" w14:textId="4376148E" w:rsidR="00A67BF6" w:rsidRPr="00D2452D" w:rsidRDefault="00A67BF6" w:rsidP="00150A81">
            <w:pPr>
              <w:jc w:val="center"/>
              <w:rPr>
                <w:rFonts w:cstheme="minorHAnsi"/>
                <w:b/>
              </w:rPr>
            </w:pPr>
            <w:r>
              <w:rPr>
                <w:rFonts w:cstheme="minorHAnsi"/>
                <w:b/>
              </w:rPr>
              <w:t>Endothermic reaction</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vAlign w:val="center"/>
          </w:tcPr>
          <w:p w14:paraId="1F4A2F54" w14:textId="03E0670D" w:rsidR="00A67BF6" w:rsidRPr="00D2452D" w:rsidRDefault="00A67BF6" w:rsidP="00150A81">
            <w:pPr>
              <w:jc w:val="center"/>
              <w:rPr>
                <w:rFonts w:cstheme="minorHAnsi"/>
                <w:b/>
              </w:rPr>
            </w:pPr>
            <w:r>
              <w:rPr>
                <w:rFonts w:cstheme="minorHAnsi"/>
                <w:b/>
              </w:rPr>
              <w:t>Molecule models</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vAlign w:val="center"/>
          </w:tcPr>
          <w:p w14:paraId="7C066C6C" w14:textId="17520FCC" w:rsidR="00A67BF6" w:rsidRPr="00D2452D" w:rsidRDefault="00A67BF6" w:rsidP="00150A81">
            <w:pPr>
              <w:jc w:val="center"/>
              <w:rPr>
                <w:rFonts w:cstheme="minorHAnsi"/>
                <w:b/>
              </w:rPr>
            </w:pPr>
            <w:r>
              <w:rPr>
                <w:rFonts w:cstheme="minorHAnsi"/>
                <w:b/>
              </w:rPr>
              <w:t>Energy change diagrams</w:t>
            </w:r>
          </w:p>
        </w:tc>
      </w:tr>
      <w:tr w:rsidR="00C50FB5" w14:paraId="05A460B3" w14:textId="77777777" w:rsidTr="00A67BF6">
        <w:trPr>
          <w:trHeight w:hRule="exact" w:val="3289"/>
        </w:trPr>
        <w:tc>
          <w:tcPr>
            <w:tcW w:w="2789" w:type="dxa"/>
            <w:tcBorders>
              <w:top w:val="nil"/>
              <w:left w:val="single" w:sz="8" w:space="0" w:color="E36C0A" w:themeColor="accent6" w:themeShade="BF"/>
              <w:bottom w:val="nil"/>
              <w:right w:val="single" w:sz="8" w:space="0" w:color="E36C0A" w:themeColor="accent6" w:themeShade="BF"/>
            </w:tcBorders>
            <w:vAlign w:val="center"/>
          </w:tcPr>
          <w:p w14:paraId="7DA64BC7" w14:textId="453FC963" w:rsidR="00A67BF6" w:rsidRPr="00FC1013" w:rsidRDefault="00C50FB5" w:rsidP="00150A81">
            <w:pPr>
              <w:jc w:val="center"/>
            </w:pPr>
            <w:r>
              <w:rPr>
                <w:noProof/>
                <w:lang w:eastAsia="en-GB"/>
              </w:rPr>
              <w:drawing>
                <wp:inline distT="0" distB="0" distL="0" distR="0" wp14:anchorId="3B1DBA20" wp14:editId="1C83713C">
                  <wp:extent cx="1449086" cy="2052000"/>
                  <wp:effectExtent l="19050" t="19050" r="17780"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gnesium powde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89" w:type="dxa"/>
            <w:tcBorders>
              <w:top w:val="nil"/>
              <w:left w:val="single" w:sz="8" w:space="0" w:color="E36C0A" w:themeColor="accent6" w:themeShade="BF"/>
              <w:bottom w:val="nil"/>
              <w:right w:val="single" w:sz="8" w:space="0" w:color="E36C0A" w:themeColor="accent6" w:themeShade="BF"/>
            </w:tcBorders>
            <w:vAlign w:val="center"/>
          </w:tcPr>
          <w:p w14:paraId="6FB60654" w14:textId="6C5E1C35" w:rsidR="00A67BF6" w:rsidRPr="00FC1013" w:rsidRDefault="00C50FB5" w:rsidP="00150A81">
            <w:pPr>
              <w:jc w:val="center"/>
            </w:pPr>
            <w:r>
              <w:rPr>
                <w:noProof/>
                <w:lang w:eastAsia="en-GB"/>
              </w:rPr>
              <w:drawing>
                <wp:inline distT="0" distB="0" distL="0" distR="0" wp14:anchorId="716D1EBA" wp14:editId="47669BFC">
                  <wp:extent cx="1449086" cy="2052000"/>
                  <wp:effectExtent l="19050" t="19050" r="17780" b="2476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exothermic reaction.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351DBA3B" w14:textId="69C2704D" w:rsidR="00A67BF6" w:rsidRPr="00FC1013" w:rsidRDefault="00C50FB5" w:rsidP="00150A81">
            <w:pPr>
              <w:jc w:val="center"/>
            </w:pPr>
            <w:r>
              <w:rPr>
                <w:noProof/>
                <w:lang w:eastAsia="en-GB"/>
              </w:rPr>
              <w:drawing>
                <wp:inline distT="0" distB="0" distL="0" distR="0" wp14:anchorId="635B336E" wp14:editId="2AD96B9B">
                  <wp:extent cx="1446585" cy="2052000"/>
                  <wp:effectExtent l="19050" t="19050" r="20320" b="2476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endothermic reactio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shd w:val="clear" w:color="auto" w:fill="auto"/>
            <w:vAlign w:val="center"/>
          </w:tcPr>
          <w:p w14:paraId="507E2AB2" w14:textId="6C4FDCCC" w:rsidR="00A67BF6" w:rsidRPr="00FC1013" w:rsidRDefault="00C50FB5" w:rsidP="00150A81">
            <w:pPr>
              <w:jc w:val="center"/>
            </w:pPr>
            <w:r>
              <w:rPr>
                <w:noProof/>
                <w:lang w:eastAsia="en-GB"/>
              </w:rPr>
              <w:drawing>
                <wp:inline distT="0" distB="0" distL="0" distR="0" wp14:anchorId="4ED67279" wp14:editId="5159C7D7">
                  <wp:extent cx="1446585" cy="2052000"/>
                  <wp:effectExtent l="19050" t="19050" r="20320" b="2476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olecule model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shd w:val="clear" w:color="auto" w:fill="auto"/>
            <w:vAlign w:val="center"/>
          </w:tcPr>
          <w:p w14:paraId="1338D086" w14:textId="73950904" w:rsidR="00A67BF6" w:rsidRPr="00FC1013" w:rsidRDefault="00C50FB5" w:rsidP="00150A81">
            <w:pPr>
              <w:jc w:val="center"/>
            </w:pPr>
            <w:r>
              <w:rPr>
                <w:noProof/>
                <w:lang w:eastAsia="en-GB"/>
              </w:rPr>
              <w:drawing>
                <wp:inline distT="0" distB="0" distL="0" distR="0" wp14:anchorId="3787D5F7" wp14:editId="7F8AD911">
                  <wp:extent cx="1449086" cy="2052000"/>
                  <wp:effectExtent l="19050" t="19050" r="17780" b="2476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energy change diagram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r>
      <w:tr w:rsidR="00C50FB5" w14:paraId="3C85B5C3" w14:textId="77777777" w:rsidTr="00A67BF6">
        <w:trPr>
          <w:trHeight w:hRule="exact" w:val="454"/>
        </w:trPr>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Pr>
          <w:p w14:paraId="0E1E7977" w14:textId="732A039D" w:rsidR="00A67BF6" w:rsidRPr="00FC1013" w:rsidRDefault="00C50FB5" w:rsidP="00150A81">
            <w:pPr>
              <w:spacing w:after="200" w:line="276" w:lineRule="auto"/>
              <w:jc w:val="center"/>
            </w:pPr>
            <w:r>
              <w:t>A</w:t>
            </w:r>
            <w:r w:rsidRPr="00C50FB5">
              <w:t>pplication and practice</w:t>
            </w:r>
          </w:p>
        </w:tc>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Mar>
              <w:left w:w="28" w:type="dxa"/>
              <w:right w:w="28" w:type="dxa"/>
            </w:tcMar>
          </w:tcPr>
          <w:p w14:paraId="422673D1" w14:textId="0A8584D2" w:rsidR="00A67BF6" w:rsidRPr="00C91D4D" w:rsidRDefault="00C50FB5" w:rsidP="00150A81">
            <w:pPr>
              <w:spacing w:after="200" w:line="276" w:lineRule="auto"/>
              <w:jc w:val="center"/>
            </w:pPr>
            <w:r>
              <w:t>Focussed cloze</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Mar>
              <w:left w:w="28" w:type="dxa"/>
              <w:right w:w="28" w:type="dxa"/>
            </w:tcMar>
          </w:tcPr>
          <w:p w14:paraId="5835EB7F" w14:textId="1F32EB74" w:rsidR="00A67BF6" w:rsidRPr="00C91D4D" w:rsidRDefault="00C50FB5" w:rsidP="00150A81">
            <w:pPr>
              <w:jc w:val="center"/>
              <w:rPr>
                <w:sz w:val="20"/>
                <w:szCs w:val="20"/>
              </w:rPr>
            </w:pPr>
            <w:r>
              <w:t>Focussed cloze</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Mar>
              <w:left w:w="28" w:type="dxa"/>
              <w:right w:w="28" w:type="dxa"/>
            </w:tcMar>
          </w:tcPr>
          <w:p w14:paraId="2798476C" w14:textId="5D329171" w:rsidR="00A67BF6" w:rsidRPr="00C50FB5" w:rsidRDefault="000A10B6" w:rsidP="00150A81">
            <w:pPr>
              <w:spacing w:line="276" w:lineRule="auto"/>
              <w:jc w:val="center"/>
            </w:pPr>
            <w:r>
              <w:t>Critiquing a re</w:t>
            </w:r>
            <w:r w:rsidR="00C50FB5" w:rsidRPr="00C50FB5">
              <w:t>presentation</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Pr>
          <w:p w14:paraId="17F8BD5F" w14:textId="1DB15D3D" w:rsidR="00A67BF6" w:rsidRPr="00FC1013" w:rsidRDefault="000A10B6" w:rsidP="00150A81">
            <w:pPr>
              <w:spacing w:after="200" w:line="276" w:lineRule="auto"/>
              <w:jc w:val="center"/>
            </w:pPr>
            <w:r>
              <w:t>Clarifying</w:t>
            </w:r>
          </w:p>
        </w:tc>
        <w:bookmarkStart w:id="0" w:name="_GoBack"/>
        <w:bookmarkEnd w:id="0"/>
      </w:tr>
    </w:tbl>
    <w:p w14:paraId="0492C65B" w14:textId="6E47BF50" w:rsidR="00FB1FF6" w:rsidRPr="00B10DE6" w:rsidRDefault="00FB1FF6" w:rsidP="00CE7273">
      <w:pPr>
        <w:spacing w:after="200" w:line="276" w:lineRule="auto"/>
        <w:rPr>
          <w:color w:val="E36C0A" w:themeColor="accent6" w:themeShade="BF"/>
        </w:rPr>
      </w:pPr>
      <w:r w:rsidRPr="00B10DE6">
        <w:rPr>
          <w:b/>
          <w:color w:val="E36C0A" w:themeColor="accent6" w:themeShade="BF"/>
          <w:sz w:val="24"/>
        </w:rPr>
        <w:t>What’s the science story?</w:t>
      </w:r>
    </w:p>
    <w:p w14:paraId="42114693" w14:textId="77777777" w:rsidR="00431E42" w:rsidRDefault="00431E42" w:rsidP="00431E42">
      <w:pPr>
        <w:spacing w:after="180"/>
      </w:pPr>
      <w:r>
        <w:t>The temperature of the chemical system at the end of a chemical reaction may be more or less than the starting temperature. Over time, energy dissipates and is transferred to or from the surroundings and the temperature of the chemical system becomes the same as the surroundings.</w:t>
      </w:r>
    </w:p>
    <w:p w14:paraId="2BCD54F0" w14:textId="77777777" w:rsidR="00431E42" w:rsidRDefault="00431E42" w:rsidP="00431E42">
      <w:pPr>
        <w:spacing w:after="180"/>
      </w:pPr>
      <w:r>
        <w:t xml:space="preserve">The energy required to break apart the reactants may be more or less than the energy released when the products are formed. This is why, overall, energy can be transferred to or from the surroundings. </w:t>
      </w:r>
    </w:p>
    <w:p w14:paraId="09AB6FE7"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5CB51332" w14:textId="2191EB9A" w:rsidR="00A32E12" w:rsidRDefault="00A32E12" w:rsidP="00C329A4">
      <w:pPr>
        <w:spacing w:after="180"/>
      </w:pPr>
      <w:r>
        <w:t xml:space="preserve">Kind </w:t>
      </w:r>
      <w:r w:rsidR="00F231E3">
        <w:fldChar w:fldCharType="begin"/>
      </w:r>
      <w:r w:rsidR="00F231E3">
        <w:instrText xml:space="preserve"> ADDIN EN.CITE &lt;EndNote&gt;&lt;Cite ExcludeAuth="1"&gt;&lt;Author&gt;Kind&lt;/Author&gt;&lt;Year&gt;2004&lt;/Year&gt;&lt;IDText&gt;Beyond appearnaces: Students&amp;apos; misconceptions about basic chemical ideas&lt;/IDText&gt;&lt;DisplayText&gt;(2004)&lt;/DisplayText&gt;&lt;record&gt;&lt;urls&gt;&lt;related-urls&gt;&lt;url&gt;http://www.rsc.org/learn-chemistry/resource/res00002202/beyond-appearances?cmpid=CMP00007478&lt;/url&gt;&lt;/related-urls&gt;&lt;/urls&gt;&lt;titles&gt;&lt;title&gt;Beyond appearnaces: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format="utc"&gt;1551702084&lt;/last-updated-date&gt;&lt;/record&gt;&lt;/Cite&gt;&lt;/EndNote&gt;</w:instrText>
      </w:r>
      <w:r w:rsidR="00F231E3">
        <w:fldChar w:fldCharType="separate"/>
      </w:r>
      <w:r w:rsidR="00F231E3">
        <w:rPr>
          <w:noProof/>
        </w:rPr>
        <w:t>(2004)</w:t>
      </w:r>
      <w:r w:rsidR="00F231E3">
        <w:fldChar w:fldCharType="end"/>
      </w:r>
      <w:r w:rsidR="00F231E3">
        <w:t xml:space="preserve"> summarises three common misconceptions that are described in the research literature:</w:t>
      </w:r>
    </w:p>
    <w:p w14:paraId="2A288D77" w14:textId="5576DE7C" w:rsidR="00F231E3" w:rsidRDefault="00F231E3" w:rsidP="00F231E3">
      <w:pPr>
        <w:pStyle w:val="ListParagraph"/>
        <w:numPr>
          <w:ilvl w:val="0"/>
          <w:numId w:val="6"/>
        </w:numPr>
        <w:spacing w:after="180"/>
      </w:pPr>
      <w:r>
        <w:t>Fuels are energy “stores”</w:t>
      </w:r>
    </w:p>
    <w:p w14:paraId="4C421A6E" w14:textId="294FF12C" w:rsidR="00F231E3" w:rsidRDefault="00F231E3" w:rsidP="00F231E3">
      <w:pPr>
        <w:pStyle w:val="ListParagraph"/>
        <w:numPr>
          <w:ilvl w:val="0"/>
          <w:numId w:val="6"/>
        </w:numPr>
        <w:spacing w:after="180"/>
      </w:pPr>
      <w:r>
        <w:t>Energy can be created or used up</w:t>
      </w:r>
    </w:p>
    <w:p w14:paraId="7AE3E33F" w14:textId="46426886" w:rsidR="00F231E3" w:rsidRDefault="00F231E3" w:rsidP="00F231E3">
      <w:pPr>
        <w:pStyle w:val="ListParagraph"/>
        <w:numPr>
          <w:ilvl w:val="0"/>
          <w:numId w:val="6"/>
        </w:numPr>
        <w:spacing w:after="180"/>
      </w:pPr>
      <w:r>
        <w:t>Energy is released when bonds break.</w:t>
      </w:r>
    </w:p>
    <w:p w14:paraId="7CB0C3ED" w14:textId="3112F6E9" w:rsidR="00F231E3" w:rsidRDefault="00F231E3" w:rsidP="00C329A4">
      <w:pPr>
        <w:spacing w:after="180"/>
      </w:pPr>
      <w:r>
        <w:t xml:space="preserve">In the case of fuels, the use of language such as ‘fuels (or food) contain energy’ gives the impression to some students that energy is some how ‘stored’ in the fuel and is released when </w:t>
      </w:r>
      <w:r w:rsidR="008917A4">
        <w:t>the</w:t>
      </w:r>
      <w:r>
        <w:t xml:space="preserve"> fuel burns.</w:t>
      </w:r>
      <w:r w:rsidR="006065A3">
        <w:t xml:space="preserve"> </w:t>
      </w:r>
      <w:r>
        <w:t xml:space="preserve">The invisibility of the oxygen that is part of a combustion reaction means that this misunderstanding may be maintained by students unless it is made clear </w:t>
      </w:r>
      <w:r w:rsidR="006065A3">
        <w:t>burning is a chemical reaction requiring two reactants</w:t>
      </w:r>
      <w:r>
        <w:t>.</w:t>
      </w:r>
    </w:p>
    <w:p w14:paraId="5E00B8AD" w14:textId="3B86FB7F" w:rsidR="00F231E3" w:rsidRDefault="00F231E3" w:rsidP="00C329A4">
      <w:pPr>
        <w:spacing w:after="180"/>
      </w:pPr>
      <w:r>
        <w:t>Other use of language such as “energy running out” when a fuel supply is exhausted can lead students to think of energy as a substance that can be used up. Misunderstandings about burning can also lead students to think that energy can be created.</w:t>
      </w:r>
    </w:p>
    <w:p w14:paraId="10342E26" w14:textId="280C03BD" w:rsidR="00FE6CBD" w:rsidRDefault="00F231E3" w:rsidP="00C329A4">
      <w:pPr>
        <w:spacing w:after="180"/>
      </w:pPr>
      <w:r>
        <w:t>When students with these misconceptions then learn more chemistry</w:t>
      </w:r>
      <w:r w:rsidR="006F5407">
        <w:t>,</w:t>
      </w:r>
      <w:r w:rsidR="00431E42">
        <w:t xml:space="preserve"> </w:t>
      </w:r>
      <w:r>
        <w:t>they can end up extrapolating these misunderstandings resulting in the development of the idea that energy is stored in chemical bonds and is released when bonds break.</w:t>
      </w:r>
    </w:p>
    <w:p w14:paraId="7E288787" w14:textId="2922D101" w:rsidR="00FE6CBD" w:rsidRDefault="006065A3" w:rsidP="00C329A4">
      <w:pPr>
        <w:spacing w:after="180"/>
      </w:pPr>
      <w:r>
        <w:t xml:space="preserve">Cooper and Klymkowsky </w:t>
      </w:r>
      <w:r>
        <w:fldChar w:fldCharType="begin"/>
      </w:r>
      <w:r>
        <w:instrText xml:space="preserve"> ADDIN EN.CITE &lt;EndNote&gt;&lt;Cite ExcludeAuth="1"&gt;&lt;Author&gt;Cooper&lt;/Author&gt;&lt;Year&gt;2013&lt;/Year&gt;&lt;IDText&gt;The trouble with chemical energy: Why understanding bond energies requires an interdisciplinary systems approach&lt;/IDText&gt;&lt;DisplayText&gt;(2013)&lt;/DisplayText&gt;&lt;record&gt;&lt;titles&gt;&lt;title&gt;The trouble with chemical energy: Why understanding bond energies requires an interdisciplinary systems approach&lt;/title&gt;&lt;secondary-title&gt;CBE-Life Sciences Education&lt;/secondary-title&gt;&lt;/titles&gt;&lt;pages&gt;306-312&lt;/pages&gt;&lt;number&gt;2&lt;/number&gt;&lt;contributors&gt;&lt;authors&gt;&lt;author&gt;Cooper, Melanie M.&lt;/author&gt;&lt;author&gt;Klymkowsky, Michael W.&lt;/author&gt;&lt;/authors&gt;&lt;/contributors&gt;&lt;added-date format="utc"&gt;1549973689&lt;/added-date&gt;&lt;ref-type name="Journal Article"&gt;17&lt;/ref-type&gt;&lt;dates&gt;&lt;year&gt;2013&lt;/year&gt;&lt;/dates&gt;&lt;rec-number&gt;46&lt;/rec-number&gt;&lt;last-updated-date format="utc"&gt;1549975401&lt;/last-updated-date&gt;&lt;volume&gt;12&lt;/volume&gt;&lt;/record&gt;&lt;/Cite&gt;&lt;/EndNote&gt;</w:instrText>
      </w:r>
      <w:r>
        <w:fldChar w:fldCharType="separate"/>
      </w:r>
      <w:r>
        <w:rPr>
          <w:noProof/>
        </w:rPr>
        <w:t>(2013)</w:t>
      </w:r>
      <w:r>
        <w:fldChar w:fldCharType="end"/>
      </w:r>
      <w:r>
        <w:t xml:space="preserve"> discuss how ‘chemical energy’ is taught across the science disciplines. They suggest that whilst ideas about energy are often introduced in physics first, these ideas are usually at the level of a macroscopic system. In order to understand macroscopic observations of temperature changes in chemi</w:t>
      </w:r>
      <w:r w:rsidR="008917A4">
        <w:t>cal system</w:t>
      </w:r>
      <w:r>
        <w:t xml:space="preserve"> it is necessary for students to have a sub-microscopic level perspective.  Students need to understand the energy transfers to and from the surroundings that are involved in bond making and breaking processes.</w:t>
      </w:r>
    </w:p>
    <w:p w14:paraId="629F6588" w14:textId="0F344A84"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38E55542" w14:textId="4C91ACBB" w:rsidR="00FE6CBD" w:rsidRDefault="00FE6CBD" w:rsidP="00FE6CBD">
      <w:pPr>
        <w:spacing w:after="180"/>
      </w:pPr>
      <w:r>
        <w:t xml:space="preserve">Bond breaking actually requires energy to be transferred </w:t>
      </w:r>
      <w:r w:rsidRPr="00FE6CBD">
        <w:rPr>
          <w:i/>
        </w:rPr>
        <w:t>from</w:t>
      </w:r>
      <w:r>
        <w:t xml:space="preserve"> the surroundings.  Energy is transferred </w:t>
      </w:r>
      <w:r w:rsidRPr="00FE6CBD">
        <w:rPr>
          <w:i/>
        </w:rPr>
        <w:t>to</w:t>
      </w:r>
      <w:r>
        <w:t xml:space="preserve"> the surroundings when bonds are formed. If the products of a reaction have ‘stronger’ bonds than the reactants, then overall energy will be transferred to the surroundings and the reaction will be exothermic.</w:t>
      </w:r>
    </w:p>
    <w:p w14:paraId="0B9C5AE1" w14:textId="524E7C86" w:rsidR="006065A3" w:rsidRDefault="006065A3" w:rsidP="00FE6CBD">
      <w:pPr>
        <w:spacing w:after="180"/>
      </w:pPr>
      <w:r>
        <w:lastRenderedPageBreak/>
        <w:t xml:space="preserve">Please note that at this stage students are unlikely to have been introduced to the concept of a chemical bond. However, the idea of forces of attraction between particles should be familiar </w:t>
      </w:r>
      <w:r w:rsidR="006F5407">
        <w:t>t</w:t>
      </w:r>
      <w:r>
        <w:t xml:space="preserve">o students </w:t>
      </w:r>
      <w:r w:rsidR="006F5407">
        <w:t xml:space="preserve">(see CPS2.1: Atoms and molecules) </w:t>
      </w:r>
      <w:r w:rsidR="00431E42">
        <w:t>as well as the idea that atoms are rearranged during a chemical reaction (see CPS3.1 Rearrangement of atoms). Students could therefore</w:t>
      </w:r>
      <w:r>
        <w:t xml:space="preserve"> think </w:t>
      </w:r>
      <w:r w:rsidR="006F5407">
        <w:t xml:space="preserve">in terms of </w:t>
      </w:r>
      <w:r>
        <w:t>the energy transfers required to break apart the reactant</w:t>
      </w:r>
      <w:r w:rsidR="00431E42">
        <w:t>s</w:t>
      </w:r>
      <w:r>
        <w:t xml:space="preserve"> and to form the products.</w:t>
      </w:r>
    </w:p>
    <w:p w14:paraId="17538954" w14:textId="6155F0CF" w:rsidR="00F231E3" w:rsidRPr="006065A3" w:rsidRDefault="00FB1FF6" w:rsidP="006065A3">
      <w:pPr>
        <w:spacing w:after="180"/>
        <w:rPr>
          <w:b/>
          <w:color w:val="E36C0A" w:themeColor="accent6" w:themeShade="BF"/>
          <w:sz w:val="24"/>
        </w:rPr>
      </w:pPr>
      <w:r w:rsidRPr="00B10DE6">
        <w:rPr>
          <w:b/>
          <w:color w:val="E36C0A" w:themeColor="accent6" w:themeShade="BF"/>
          <w:sz w:val="24"/>
        </w:rPr>
        <w:t>References</w:t>
      </w:r>
    </w:p>
    <w:p w14:paraId="6A8BF62F" w14:textId="77777777" w:rsidR="006065A3" w:rsidRPr="006065A3" w:rsidRDefault="00F231E3" w:rsidP="00AB454D">
      <w:pPr>
        <w:pStyle w:val="EndNoteBibliography"/>
        <w:spacing w:after="120"/>
      </w:pPr>
      <w:r>
        <w:fldChar w:fldCharType="begin"/>
      </w:r>
      <w:r>
        <w:instrText xml:space="preserve"> ADDIN EN.REFLIST </w:instrText>
      </w:r>
      <w:r>
        <w:fldChar w:fldCharType="separate"/>
      </w:r>
      <w:r w:rsidR="006065A3" w:rsidRPr="006065A3">
        <w:t xml:space="preserve">Cooper, M. M. and Klymkowsky, M. W. (2013). The trouble with chemical energy: Why understanding bond energies requires an interdisciplinary systems approach. </w:t>
      </w:r>
      <w:r w:rsidR="006065A3" w:rsidRPr="006065A3">
        <w:rPr>
          <w:i/>
        </w:rPr>
        <w:t>CBE-Life Sciences Education,</w:t>
      </w:r>
      <w:r w:rsidR="006065A3" w:rsidRPr="006065A3">
        <w:t xml:space="preserve"> 12(2)</w:t>
      </w:r>
      <w:r w:rsidR="006065A3" w:rsidRPr="006065A3">
        <w:rPr>
          <w:b/>
        </w:rPr>
        <w:t>,</w:t>
      </w:r>
      <w:r w:rsidR="006065A3" w:rsidRPr="006065A3">
        <w:t xml:space="preserve"> 306-312.</w:t>
      </w:r>
    </w:p>
    <w:p w14:paraId="60C9A09E" w14:textId="4D0F5C54" w:rsidR="006065A3" w:rsidRPr="006065A3" w:rsidRDefault="006065A3" w:rsidP="00AB454D">
      <w:pPr>
        <w:pStyle w:val="EndNoteBibliography"/>
        <w:spacing w:after="120"/>
      </w:pPr>
      <w:r w:rsidRPr="006065A3">
        <w:t xml:space="preserve">Kind, V. (2004). Beyond appearnaces: Students' misconceptions about basic chemical ideas. [Online]. Available at: </w:t>
      </w:r>
      <w:hyperlink r:id="rId18" w:history="1">
        <w:r w:rsidRPr="006065A3">
          <w:rPr>
            <w:rStyle w:val="Hyperlink"/>
          </w:rPr>
          <w:t>http://www.rsc.org/learn-chemistry/resource/res00002202/beyond-appearances?cmpid=CMP00007478</w:t>
        </w:r>
      </w:hyperlink>
      <w:r w:rsidRPr="006065A3">
        <w:t>.</w:t>
      </w:r>
    </w:p>
    <w:p w14:paraId="64823E1A" w14:textId="71839A76" w:rsidR="00D43788" w:rsidRDefault="00F231E3" w:rsidP="00AB454D">
      <w:pPr>
        <w:spacing w:after="120" w:line="276" w:lineRule="auto"/>
      </w:pPr>
      <w:r>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C4DA8" w14:textId="77777777" w:rsidR="009051A0" w:rsidRDefault="009051A0" w:rsidP="000B473B">
      <w:r>
        <w:separator/>
      </w:r>
    </w:p>
  </w:endnote>
  <w:endnote w:type="continuationSeparator" w:id="0">
    <w:p w14:paraId="5E75DD81" w14:textId="77777777" w:rsidR="009051A0" w:rsidRDefault="009051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9321" w14:textId="2B6D860C"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490B728E" wp14:editId="5736905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D24E1C8"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A10B6">
      <w:rPr>
        <w:noProof/>
      </w:rPr>
      <w:t>5</w:t>
    </w:r>
    <w:r>
      <w:rPr>
        <w:noProof/>
      </w:rPr>
      <w:fldChar w:fldCharType="end"/>
    </w:r>
  </w:p>
  <w:p w14:paraId="611F20D8"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023BDFBB"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D6A46" w14:textId="77777777" w:rsidR="009051A0" w:rsidRDefault="009051A0" w:rsidP="000B473B">
      <w:r>
        <w:separator/>
      </w:r>
    </w:p>
  </w:footnote>
  <w:footnote w:type="continuationSeparator" w:id="0">
    <w:p w14:paraId="32D374E4" w14:textId="77777777" w:rsidR="009051A0" w:rsidRDefault="009051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CE877"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65F64838" wp14:editId="343D7206">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344C1650" wp14:editId="6600D580">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5D7F703"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5914CA"/>
    <w:multiLevelType w:val="hybridMultilevel"/>
    <w:tmpl w:val="9C6C4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95163"/>
    <w:rsid w:val="000026EA"/>
    <w:rsid w:val="00015578"/>
    <w:rsid w:val="00024731"/>
    <w:rsid w:val="00026DEC"/>
    <w:rsid w:val="0003079C"/>
    <w:rsid w:val="00031843"/>
    <w:rsid w:val="00036EBA"/>
    <w:rsid w:val="000505CA"/>
    <w:rsid w:val="0005709C"/>
    <w:rsid w:val="000947E2"/>
    <w:rsid w:val="00095E04"/>
    <w:rsid w:val="000977C4"/>
    <w:rsid w:val="000A10B6"/>
    <w:rsid w:val="000A4D1F"/>
    <w:rsid w:val="000B473B"/>
    <w:rsid w:val="000D0E89"/>
    <w:rsid w:val="000D2978"/>
    <w:rsid w:val="000E2689"/>
    <w:rsid w:val="000E483B"/>
    <w:rsid w:val="000F5E42"/>
    <w:rsid w:val="0010034E"/>
    <w:rsid w:val="00104331"/>
    <w:rsid w:val="001239F7"/>
    <w:rsid w:val="00137415"/>
    <w:rsid w:val="001413D2"/>
    <w:rsid w:val="00142613"/>
    <w:rsid w:val="00144DA7"/>
    <w:rsid w:val="00161D3F"/>
    <w:rsid w:val="00183A13"/>
    <w:rsid w:val="001915D4"/>
    <w:rsid w:val="00196F5A"/>
    <w:rsid w:val="001A1FED"/>
    <w:rsid w:val="001A40E2"/>
    <w:rsid w:val="001B2603"/>
    <w:rsid w:val="001C4805"/>
    <w:rsid w:val="001F083C"/>
    <w:rsid w:val="001F2B4D"/>
    <w:rsid w:val="00211AEF"/>
    <w:rsid w:val="002178AC"/>
    <w:rsid w:val="00223388"/>
    <w:rsid w:val="0022442F"/>
    <w:rsid w:val="00224B69"/>
    <w:rsid w:val="0022547C"/>
    <w:rsid w:val="00233BFE"/>
    <w:rsid w:val="002531E9"/>
    <w:rsid w:val="0025410A"/>
    <w:rsid w:val="0028012F"/>
    <w:rsid w:val="00280B49"/>
    <w:rsid w:val="00287876"/>
    <w:rsid w:val="0029248B"/>
    <w:rsid w:val="00292C53"/>
    <w:rsid w:val="00294E22"/>
    <w:rsid w:val="00295163"/>
    <w:rsid w:val="00296E30"/>
    <w:rsid w:val="002B7CEC"/>
    <w:rsid w:val="002C194B"/>
    <w:rsid w:val="002C36ED"/>
    <w:rsid w:val="002C59BA"/>
    <w:rsid w:val="002F08DF"/>
    <w:rsid w:val="002F3535"/>
    <w:rsid w:val="00301AA9"/>
    <w:rsid w:val="00302805"/>
    <w:rsid w:val="00306DB7"/>
    <w:rsid w:val="003117F6"/>
    <w:rsid w:val="003512FB"/>
    <w:rsid w:val="003533B8"/>
    <w:rsid w:val="003535C5"/>
    <w:rsid w:val="00361AC2"/>
    <w:rsid w:val="003752BE"/>
    <w:rsid w:val="00377662"/>
    <w:rsid w:val="003A07C6"/>
    <w:rsid w:val="003A346A"/>
    <w:rsid w:val="003A6DDA"/>
    <w:rsid w:val="003B13BC"/>
    <w:rsid w:val="003B2917"/>
    <w:rsid w:val="003B541B"/>
    <w:rsid w:val="003C7537"/>
    <w:rsid w:val="003E2B2F"/>
    <w:rsid w:val="003E6046"/>
    <w:rsid w:val="003F16F9"/>
    <w:rsid w:val="00404378"/>
    <w:rsid w:val="00427014"/>
    <w:rsid w:val="00430C1F"/>
    <w:rsid w:val="00431E42"/>
    <w:rsid w:val="00437318"/>
    <w:rsid w:val="00442595"/>
    <w:rsid w:val="0045323E"/>
    <w:rsid w:val="0047091F"/>
    <w:rsid w:val="004B0EE1"/>
    <w:rsid w:val="004C46D1"/>
    <w:rsid w:val="004D0D83"/>
    <w:rsid w:val="004E1DF1"/>
    <w:rsid w:val="004E5227"/>
    <w:rsid w:val="004E5592"/>
    <w:rsid w:val="004F3A89"/>
    <w:rsid w:val="0050055B"/>
    <w:rsid w:val="005218B8"/>
    <w:rsid w:val="00524710"/>
    <w:rsid w:val="005519D4"/>
    <w:rsid w:val="00555342"/>
    <w:rsid w:val="005560E2"/>
    <w:rsid w:val="0056051E"/>
    <w:rsid w:val="00575039"/>
    <w:rsid w:val="005767D5"/>
    <w:rsid w:val="005A3186"/>
    <w:rsid w:val="005A452E"/>
    <w:rsid w:val="005D7E59"/>
    <w:rsid w:val="005E2701"/>
    <w:rsid w:val="005E383D"/>
    <w:rsid w:val="005F115D"/>
    <w:rsid w:val="006065A3"/>
    <w:rsid w:val="00620AFF"/>
    <w:rsid w:val="006355D8"/>
    <w:rsid w:val="00642ECD"/>
    <w:rsid w:val="00645F74"/>
    <w:rsid w:val="0065024C"/>
    <w:rsid w:val="006502A0"/>
    <w:rsid w:val="0067084A"/>
    <w:rsid w:val="006772F5"/>
    <w:rsid w:val="00685E94"/>
    <w:rsid w:val="006A0F8F"/>
    <w:rsid w:val="006B0615"/>
    <w:rsid w:val="006C2DD9"/>
    <w:rsid w:val="006D166B"/>
    <w:rsid w:val="006D5347"/>
    <w:rsid w:val="006E616D"/>
    <w:rsid w:val="006E73AB"/>
    <w:rsid w:val="006F01D8"/>
    <w:rsid w:val="006F2CAB"/>
    <w:rsid w:val="006F3279"/>
    <w:rsid w:val="006F5407"/>
    <w:rsid w:val="00704AEE"/>
    <w:rsid w:val="007100E4"/>
    <w:rsid w:val="00722B41"/>
    <w:rsid w:val="00722F9A"/>
    <w:rsid w:val="00751B21"/>
    <w:rsid w:val="00754539"/>
    <w:rsid w:val="00757297"/>
    <w:rsid w:val="00760E08"/>
    <w:rsid w:val="00794BB0"/>
    <w:rsid w:val="00795CB4"/>
    <w:rsid w:val="007A3C86"/>
    <w:rsid w:val="007A683E"/>
    <w:rsid w:val="007A748B"/>
    <w:rsid w:val="007C3B28"/>
    <w:rsid w:val="007D1D65"/>
    <w:rsid w:val="007E0A9E"/>
    <w:rsid w:val="007E5309"/>
    <w:rsid w:val="00800DE1"/>
    <w:rsid w:val="00802843"/>
    <w:rsid w:val="00811E19"/>
    <w:rsid w:val="00813F47"/>
    <w:rsid w:val="00821188"/>
    <w:rsid w:val="008450D6"/>
    <w:rsid w:val="008544D9"/>
    <w:rsid w:val="00856FCA"/>
    <w:rsid w:val="00867006"/>
    <w:rsid w:val="00870325"/>
    <w:rsid w:val="00872EB4"/>
    <w:rsid w:val="00873B8C"/>
    <w:rsid w:val="008917A4"/>
    <w:rsid w:val="008A405F"/>
    <w:rsid w:val="008C7F34"/>
    <w:rsid w:val="008D232D"/>
    <w:rsid w:val="008D4282"/>
    <w:rsid w:val="008E032D"/>
    <w:rsid w:val="008E13E0"/>
    <w:rsid w:val="008E26A4"/>
    <w:rsid w:val="008E580C"/>
    <w:rsid w:val="0090047A"/>
    <w:rsid w:val="009051A0"/>
    <w:rsid w:val="00913AD8"/>
    <w:rsid w:val="00917940"/>
    <w:rsid w:val="00925026"/>
    <w:rsid w:val="00931264"/>
    <w:rsid w:val="00942A4B"/>
    <w:rsid w:val="00961D59"/>
    <w:rsid w:val="009850A2"/>
    <w:rsid w:val="009A2BAE"/>
    <w:rsid w:val="009A6941"/>
    <w:rsid w:val="009B2D55"/>
    <w:rsid w:val="009C0343"/>
    <w:rsid w:val="009C608A"/>
    <w:rsid w:val="009E0D11"/>
    <w:rsid w:val="009F674B"/>
    <w:rsid w:val="00A111E8"/>
    <w:rsid w:val="00A24A16"/>
    <w:rsid w:val="00A32E12"/>
    <w:rsid w:val="00A37D14"/>
    <w:rsid w:val="00A6168B"/>
    <w:rsid w:val="00A62028"/>
    <w:rsid w:val="00A67BF6"/>
    <w:rsid w:val="00AA6236"/>
    <w:rsid w:val="00AB454D"/>
    <w:rsid w:val="00AB6AE7"/>
    <w:rsid w:val="00AB6CA4"/>
    <w:rsid w:val="00AD21F5"/>
    <w:rsid w:val="00AD5043"/>
    <w:rsid w:val="00AE3956"/>
    <w:rsid w:val="00AE5FB7"/>
    <w:rsid w:val="00AF0E74"/>
    <w:rsid w:val="00AF7DB9"/>
    <w:rsid w:val="00B06225"/>
    <w:rsid w:val="00B10DE6"/>
    <w:rsid w:val="00B10E02"/>
    <w:rsid w:val="00B23C7A"/>
    <w:rsid w:val="00B33FEF"/>
    <w:rsid w:val="00B346B5"/>
    <w:rsid w:val="00B37C53"/>
    <w:rsid w:val="00B412B0"/>
    <w:rsid w:val="00B42E62"/>
    <w:rsid w:val="00B46FF9"/>
    <w:rsid w:val="00B75483"/>
    <w:rsid w:val="00BA5A78"/>
    <w:rsid w:val="00BA7952"/>
    <w:rsid w:val="00BB3EA6"/>
    <w:rsid w:val="00BC44BF"/>
    <w:rsid w:val="00BD3160"/>
    <w:rsid w:val="00BE27BE"/>
    <w:rsid w:val="00BF0BBF"/>
    <w:rsid w:val="00BF6C8A"/>
    <w:rsid w:val="00C05571"/>
    <w:rsid w:val="00C06521"/>
    <w:rsid w:val="00C15989"/>
    <w:rsid w:val="00C17716"/>
    <w:rsid w:val="00C246CE"/>
    <w:rsid w:val="00C2647D"/>
    <w:rsid w:val="00C329A4"/>
    <w:rsid w:val="00C435F2"/>
    <w:rsid w:val="00C504BE"/>
    <w:rsid w:val="00C50FB5"/>
    <w:rsid w:val="00C5553B"/>
    <w:rsid w:val="00C57FA2"/>
    <w:rsid w:val="00C63844"/>
    <w:rsid w:val="00C72918"/>
    <w:rsid w:val="00C8765D"/>
    <w:rsid w:val="00C9265A"/>
    <w:rsid w:val="00CC2E4D"/>
    <w:rsid w:val="00CC5449"/>
    <w:rsid w:val="00CC78A5"/>
    <w:rsid w:val="00CC7B16"/>
    <w:rsid w:val="00CE15FE"/>
    <w:rsid w:val="00CE7273"/>
    <w:rsid w:val="00D0214E"/>
    <w:rsid w:val="00D02E15"/>
    <w:rsid w:val="00D14F44"/>
    <w:rsid w:val="00D278E8"/>
    <w:rsid w:val="00D421C8"/>
    <w:rsid w:val="00D43788"/>
    <w:rsid w:val="00D44604"/>
    <w:rsid w:val="00D479B3"/>
    <w:rsid w:val="00D51657"/>
    <w:rsid w:val="00D52283"/>
    <w:rsid w:val="00D524E5"/>
    <w:rsid w:val="00D72FEF"/>
    <w:rsid w:val="00D755FA"/>
    <w:rsid w:val="00DB2434"/>
    <w:rsid w:val="00DB7449"/>
    <w:rsid w:val="00DB7471"/>
    <w:rsid w:val="00DC4A4E"/>
    <w:rsid w:val="00DD1874"/>
    <w:rsid w:val="00DD63BD"/>
    <w:rsid w:val="00DF096A"/>
    <w:rsid w:val="00E172C6"/>
    <w:rsid w:val="00E204CC"/>
    <w:rsid w:val="00E22B55"/>
    <w:rsid w:val="00E24309"/>
    <w:rsid w:val="00E31116"/>
    <w:rsid w:val="00E53D82"/>
    <w:rsid w:val="00E54437"/>
    <w:rsid w:val="00E753A9"/>
    <w:rsid w:val="00E76C6A"/>
    <w:rsid w:val="00E85A74"/>
    <w:rsid w:val="00E86A5C"/>
    <w:rsid w:val="00EE6B97"/>
    <w:rsid w:val="00EF081E"/>
    <w:rsid w:val="00F12C3B"/>
    <w:rsid w:val="00F14A22"/>
    <w:rsid w:val="00F1734B"/>
    <w:rsid w:val="00F231E3"/>
    <w:rsid w:val="00F26884"/>
    <w:rsid w:val="00F34FD0"/>
    <w:rsid w:val="00F40370"/>
    <w:rsid w:val="00F520EB"/>
    <w:rsid w:val="00F604E7"/>
    <w:rsid w:val="00F66FF6"/>
    <w:rsid w:val="00F72C11"/>
    <w:rsid w:val="00F74824"/>
    <w:rsid w:val="00F74DED"/>
    <w:rsid w:val="00F75F0D"/>
    <w:rsid w:val="00F82443"/>
    <w:rsid w:val="00F8355F"/>
    <w:rsid w:val="00F90242"/>
    <w:rsid w:val="00F90D64"/>
    <w:rsid w:val="00F928E4"/>
    <w:rsid w:val="00F95F3E"/>
    <w:rsid w:val="00FA14FE"/>
    <w:rsid w:val="00FA3196"/>
    <w:rsid w:val="00FB1FF6"/>
    <w:rsid w:val="00FC7F2B"/>
    <w:rsid w:val="00FE6C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7FFE40"/>
  <w15:docId w15:val="{D88FBF5A-D787-4252-A61A-743163B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231E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231E3"/>
    <w:rPr>
      <w:rFonts w:ascii="Calibri" w:hAnsi="Calibri" w:cs="Calibri"/>
      <w:noProof/>
      <w:lang w:val="en-US"/>
    </w:rPr>
  </w:style>
  <w:style w:type="paragraph" w:customStyle="1" w:styleId="EndNoteBibliography">
    <w:name w:val="EndNote Bibliography"/>
    <w:basedOn w:val="Normal"/>
    <w:link w:val="EndNoteBibliographyChar"/>
    <w:rsid w:val="00F231E3"/>
    <w:rPr>
      <w:rFonts w:ascii="Calibri" w:hAnsi="Calibri" w:cs="Calibri"/>
      <w:noProof/>
      <w:lang w:val="en-US"/>
    </w:rPr>
  </w:style>
  <w:style w:type="character" w:customStyle="1" w:styleId="EndNoteBibliographyChar">
    <w:name w:val="EndNote Bibliography Char"/>
    <w:basedOn w:val="DefaultParagraphFont"/>
    <w:link w:val="EndNoteBibliography"/>
    <w:rsid w:val="00F231E3"/>
    <w:rPr>
      <w:rFonts w:ascii="Calibri" w:hAnsi="Calibri" w:cs="Calibri"/>
      <w:noProof/>
      <w:lang w:val="en-US"/>
    </w:rPr>
  </w:style>
  <w:style w:type="character" w:styleId="Hyperlink">
    <w:name w:val="Hyperlink"/>
    <w:basedOn w:val="DefaultParagraphFont"/>
    <w:uiPriority w:val="99"/>
    <w:unhideWhenUsed/>
    <w:rsid w:val="00F231E3"/>
    <w:rPr>
      <w:color w:val="0000FF" w:themeColor="hyperlink"/>
      <w:u w:val="single"/>
    </w:rPr>
  </w:style>
  <w:style w:type="character" w:customStyle="1" w:styleId="UnresolvedMention">
    <w:name w:val="Unresolved Mention"/>
    <w:basedOn w:val="DefaultParagraphFont"/>
    <w:uiPriority w:val="99"/>
    <w:semiHidden/>
    <w:unhideWhenUsed/>
    <w:rsid w:val="00F23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rsc.org/learn-chemistry/resource/res00002202/beyond-appearances?cmpid=CMP0000747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454</TotalTime>
  <Pages>5</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24</cp:revision>
  <cp:lastPrinted>2019-03-21T14:47:00Z</cp:lastPrinted>
  <dcterms:created xsi:type="dcterms:W3CDTF">2019-03-06T13:48:00Z</dcterms:created>
  <dcterms:modified xsi:type="dcterms:W3CDTF">2019-04-10T20:49:00Z</dcterms:modified>
</cp:coreProperties>
</file>