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227" w14:textId="3F2D6093" w:rsidR="00201AC2" w:rsidRPr="001A40E2" w:rsidRDefault="00F066C2" w:rsidP="00201AC2">
      <w:pPr>
        <w:spacing w:after="180"/>
        <w:rPr>
          <w:b/>
          <w:sz w:val="44"/>
          <w:szCs w:val="44"/>
        </w:rPr>
      </w:pPr>
      <w:r>
        <w:rPr>
          <w:b/>
          <w:sz w:val="44"/>
          <w:szCs w:val="44"/>
        </w:rPr>
        <w:t>Magnesium powder</w:t>
      </w:r>
    </w:p>
    <w:p w14:paraId="6C91B61F" w14:textId="77777777" w:rsidR="00201AC2" w:rsidRDefault="00201AC2" w:rsidP="00201AC2">
      <w:pPr>
        <w:spacing w:after="180"/>
      </w:pPr>
    </w:p>
    <w:p w14:paraId="4C59288A" w14:textId="225AD127" w:rsidR="004A2A77" w:rsidRPr="008961D8" w:rsidRDefault="00D23A76" w:rsidP="004A2A77">
      <w:pPr>
        <w:spacing w:after="180"/>
      </w:pPr>
      <w:r>
        <w:t>A</w:t>
      </w:r>
      <w:r w:rsidR="004A2A77">
        <w:t xml:space="preserve"> small amount of magnesium powder is added to a test tube containing copper sulfate solution.</w:t>
      </w:r>
    </w:p>
    <w:p w14:paraId="37D3B927" w14:textId="30E52555" w:rsidR="00AC3CD2" w:rsidRDefault="004A2A77" w:rsidP="004A2A77">
      <w:pPr>
        <w:spacing w:after="240"/>
      </w:pPr>
      <w:r>
        <w:t xml:space="preserve">The temperature </w:t>
      </w:r>
      <w:r w:rsidR="0007028E">
        <w:t xml:space="preserve">of the chemicals inside the test tube </w:t>
      </w:r>
      <w:r>
        <w:t>increases.</w:t>
      </w:r>
    </w:p>
    <w:p w14:paraId="4D9842AD" w14:textId="76884D1E" w:rsidR="00AC3CD2" w:rsidRDefault="00AC3CD2" w:rsidP="00D23A76">
      <w:r>
        <w:t>Put a tick (</w:t>
      </w:r>
      <w:r>
        <w:sym w:font="Wingdings" w:char="F0FC"/>
      </w:r>
      <w:r>
        <w:t xml:space="preserve">) in the box next to the </w:t>
      </w:r>
      <w:r w:rsidR="00D23A76">
        <w:t>sentence about energy that you think is best.</w:t>
      </w:r>
    </w:p>
    <w:p w14:paraId="3B79BFF0" w14:textId="77777777" w:rsidR="00AC3CD2" w:rsidRDefault="00AC3CD2" w:rsidP="004A2A77">
      <w:pPr>
        <w:spacing w:after="240"/>
      </w:pPr>
    </w:p>
    <w:tbl>
      <w:tblPr>
        <w:tblW w:w="8789" w:type="dxa"/>
        <w:tblInd w:w="142" w:type="dxa"/>
        <w:tblLayout w:type="fixed"/>
        <w:tblLook w:val="01E0" w:firstRow="1" w:lastRow="1" w:firstColumn="1" w:lastColumn="1" w:noHBand="0" w:noVBand="0"/>
      </w:tblPr>
      <w:tblGrid>
        <w:gridCol w:w="567"/>
        <w:gridCol w:w="7655"/>
        <w:gridCol w:w="567"/>
      </w:tblGrid>
      <w:tr w:rsidR="00AC3CD2" w:rsidRPr="00AE07E9" w14:paraId="14A210F2" w14:textId="77777777" w:rsidTr="00C3090A">
        <w:trPr>
          <w:cantSplit/>
          <w:trHeight w:hRule="exact" w:val="567"/>
        </w:trPr>
        <w:tc>
          <w:tcPr>
            <w:tcW w:w="567" w:type="dxa"/>
            <w:vAlign w:val="center"/>
          </w:tcPr>
          <w:p w14:paraId="59516DE2" w14:textId="77777777" w:rsidR="00AC3CD2" w:rsidRPr="00AE07E9" w:rsidRDefault="00AC3CD2" w:rsidP="00C3090A">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23F15714" w14:textId="43E1F474" w:rsidR="00AC3CD2" w:rsidRPr="009F3146" w:rsidRDefault="00AC3CD2" w:rsidP="00C3090A">
            <w:pPr>
              <w:tabs>
                <w:tab w:val="right" w:leader="dot" w:pos="8680"/>
              </w:tabs>
            </w:pPr>
            <w:r>
              <w:t>The chemical reaction release</w:t>
            </w:r>
            <w:r w:rsidR="00D23A76">
              <w:t>s</w:t>
            </w:r>
            <w:r>
              <w:t xml:space="preserve"> energy stored in the magnesium.</w:t>
            </w:r>
          </w:p>
        </w:tc>
        <w:tc>
          <w:tcPr>
            <w:tcW w:w="567" w:type="dxa"/>
            <w:tcBorders>
              <w:top w:val="single" w:sz="4" w:space="0" w:color="auto"/>
              <w:left w:val="single" w:sz="4" w:space="0" w:color="auto"/>
              <w:bottom w:val="single" w:sz="4" w:space="0" w:color="auto"/>
              <w:right w:val="single" w:sz="4" w:space="0" w:color="auto"/>
            </w:tcBorders>
          </w:tcPr>
          <w:p w14:paraId="7CA6589A" w14:textId="77777777" w:rsidR="00AC3CD2" w:rsidRPr="00AE07E9" w:rsidRDefault="00AC3CD2" w:rsidP="00C3090A">
            <w:pPr>
              <w:tabs>
                <w:tab w:val="right" w:leader="dot" w:pos="8680"/>
              </w:tabs>
              <w:rPr>
                <w:rFonts w:eastAsia="Times New Roman" w:cs="Times New Roman"/>
                <w:lang w:eastAsia="en-GB"/>
              </w:rPr>
            </w:pPr>
          </w:p>
        </w:tc>
      </w:tr>
      <w:tr w:rsidR="00AC3CD2" w:rsidRPr="00AE07E9" w14:paraId="7EC5AB89" w14:textId="77777777" w:rsidTr="00C3090A">
        <w:trPr>
          <w:cantSplit/>
          <w:trHeight w:hRule="exact" w:val="170"/>
        </w:trPr>
        <w:tc>
          <w:tcPr>
            <w:tcW w:w="567" w:type="dxa"/>
            <w:vAlign w:val="center"/>
          </w:tcPr>
          <w:p w14:paraId="2870D747" w14:textId="77777777" w:rsidR="00AC3CD2" w:rsidRPr="00AE07E9" w:rsidRDefault="00AC3CD2" w:rsidP="00C3090A">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BFF7D96" w14:textId="77777777" w:rsidR="00AC3CD2" w:rsidRPr="00AE07E9" w:rsidRDefault="00AC3CD2" w:rsidP="00C3090A">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3819F35" w14:textId="77777777" w:rsidR="00AC3CD2" w:rsidRPr="00AE07E9" w:rsidRDefault="00AC3CD2" w:rsidP="00C3090A">
            <w:pPr>
              <w:tabs>
                <w:tab w:val="right" w:leader="dot" w:pos="8680"/>
              </w:tabs>
              <w:rPr>
                <w:rFonts w:eastAsia="Times New Roman" w:cs="Times New Roman"/>
                <w:lang w:eastAsia="en-GB"/>
              </w:rPr>
            </w:pPr>
          </w:p>
        </w:tc>
      </w:tr>
      <w:tr w:rsidR="00AC3CD2" w:rsidRPr="00AE07E9" w14:paraId="45FA1095" w14:textId="77777777" w:rsidTr="00C3090A">
        <w:trPr>
          <w:cantSplit/>
          <w:trHeight w:hRule="exact" w:val="567"/>
        </w:trPr>
        <w:tc>
          <w:tcPr>
            <w:tcW w:w="567" w:type="dxa"/>
            <w:vAlign w:val="center"/>
          </w:tcPr>
          <w:p w14:paraId="0052AD92" w14:textId="77777777" w:rsidR="00AC3CD2" w:rsidRPr="00AE07E9" w:rsidRDefault="00AC3CD2" w:rsidP="00C3090A">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ED964D2" w14:textId="32E91AD8" w:rsidR="00AC3CD2" w:rsidRPr="009F3146" w:rsidRDefault="00AC3CD2" w:rsidP="00C3090A">
            <w:pPr>
              <w:tabs>
                <w:tab w:val="right" w:leader="dot" w:pos="8680"/>
              </w:tabs>
            </w:pPr>
            <w:r>
              <w:t xml:space="preserve">The chemical reaction </w:t>
            </w:r>
            <w:r w:rsidR="00D23A76">
              <w:t>uses</w:t>
            </w:r>
            <w:r w:rsidR="0007028E">
              <w:t xml:space="preserve"> up</w:t>
            </w:r>
            <w:r>
              <w:t xml:space="preserve"> energy stored in the reactants.</w:t>
            </w:r>
          </w:p>
        </w:tc>
        <w:tc>
          <w:tcPr>
            <w:tcW w:w="567" w:type="dxa"/>
            <w:tcBorders>
              <w:top w:val="single" w:sz="4" w:space="0" w:color="auto"/>
              <w:left w:val="single" w:sz="4" w:space="0" w:color="auto"/>
              <w:bottom w:val="single" w:sz="4" w:space="0" w:color="auto"/>
              <w:right w:val="single" w:sz="4" w:space="0" w:color="auto"/>
            </w:tcBorders>
          </w:tcPr>
          <w:p w14:paraId="74FDC1A0" w14:textId="77777777" w:rsidR="00AC3CD2" w:rsidRPr="00AE07E9" w:rsidRDefault="00AC3CD2" w:rsidP="00C3090A">
            <w:pPr>
              <w:tabs>
                <w:tab w:val="right" w:leader="dot" w:pos="8680"/>
              </w:tabs>
              <w:rPr>
                <w:rFonts w:eastAsia="Times New Roman" w:cs="Times New Roman"/>
                <w:lang w:eastAsia="en-GB"/>
              </w:rPr>
            </w:pPr>
          </w:p>
        </w:tc>
      </w:tr>
      <w:tr w:rsidR="00AC3CD2" w:rsidRPr="00AE07E9" w14:paraId="0424BF46" w14:textId="77777777" w:rsidTr="00C3090A">
        <w:trPr>
          <w:cantSplit/>
          <w:trHeight w:hRule="exact" w:val="170"/>
        </w:trPr>
        <w:tc>
          <w:tcPr>
            <w:tcW w:w="567" w:type="dxa"/>
            <w:vAlign w:val="center"/>
          </w:tcPr>
          <w:p w14:paraId="255B0EE7" w14:textId="77777777" w:rsidR="00AC3CD2" w:rsidRPr="00AE07E9" w:rsidRDefault="00AC3CD2" w:rsidP="00C3090A">
            <w:pPr>
              <w:tabs>
                <w:tab w:val="right" w:leader="dot" w:pos="8680"/>
              </w:tabs>
              <w:jc w:val="center"/>
              <w:rPr>
                <w:rFonts w:eastAsia="Times New Roman" w:cs="Times New Roman"/>
                <w:b/>
                <w:lang w:eastAsia="en-GB"/>
              </w:rPr>
            </w:pPr>
          </w:p>
        </w:tc>
        <w:tc>
          <w:tcPr>
            <w:tcW w:w="7655" w:type="dxa"/>
          </w:tcPr>
          <w:p w14:paraId="3157878A" w14:textId="77777777" w:rsidR="00AC3CD2" w:rsidRPr="00AE07E9" w:rsidRDefault="00AC3CD2" w:rsidP="00C3090A">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5F787E3" w14:textId="77777777" w:rsidR="00AC3CD2" w:rsidRPr="00AE07E9" w:rsidRDefault="00AC3CD2" w:rsidP="00C3090A">
            <w:pPr>
              <w:tabs>
                <w:tab w:val="right" w:leader="dot" w:pos="8680"/>
              </w:tabs>
              <w:rPr>
                <w:rFonts w:eastAsia="Times New Roman" w:cs="Times New Roman"/>
                <w:lang w:eastAsia="en-GB"/>
              </w:rPr>
            </w:pPr>
          </w:p>
        </w:tc>
      </w:tr>
      <w:tr w:rsidR="00AC3CD2" w:rsidRPr="00AE07E9" w14:paraId="769D335E" w14:textId="77777777" w:rsidTr="00C3090A">
        <w:trPr>
          <w:cantSplit/>
          <w:trHeight w:hRule="exact" w:val="567"/>
        </w:trPr>
        <w:tc>
          <w:tcPr>
            <w:tcW w:w="567" w:type="dxa"/>
            <w:vAlign w:val="center"/>
          </w:tcPr>
          <w:p w14:paraId="10CA8F90" w14:textId="77777777" w:rsidR="00AC3CD2" w:rsidRPr="00AE07E9" w:rsidRDefault="00AC3CD2" w:rsidP="00C3090A">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45F24474" w14:textId="77777777" w:rsidR="00AC3CD2" w:rsidRPr="009F3146" w:rsidRDefault="00AC3CD2" w:rsidP="00C3090A">
            <w:pPr>
              <w:tabs>
                <w:tab w:val="right" w:leader="dot" w:pos="8680"/>
              </w:tabs>
            </w:pPr>
            <w:r>
              <w:t>The chemical reaction transfers energy to the surroundings.</w:t>
            </w:r>
          </w:p>
        </w:tc>
        <w:tc>
          <w:tcPr>
            <w:tcW w:w="567" w:type="dxa"/>
            <w:tcBorders>
              <w:top w:val="single" w:sz="4" w:space="0" w:color="auto"/>
              <w:left w:val="single" w:sz="4" w:space="0" w:color="auto"/>
              <w:bottom w:val="single" w:sz="4" w:space="0" w:color="auto"/>
              <w:right w:val="single" w:sz="4" w:space="0" w:color="auto"/>
            </w:tcBorders>
          </w:tcPr>
          <w:p w14:paraId="7A38F85E" w14:textId="77777777" w:rsidR="00AC3CD2" w:rsidRPr="00AE07E9" w:rsidRDefault="00AC3CD2" w:rsidP="00C3090A">
            <w:pPr>
              <w:tabs>
                <w:tab w:val="right" w:leader="dot" w:pos="8680"/>
              </w:tabs>
              <w:rPr>
                <w:rFonts w:eastAsia="Times New Roman" w:cs="Times New Roman"/>
                <w:lang w:eastAsia="en-GB"/>
              </w:rPr>
            </w:pPr>
          </w:p>
        </w:tc>
      </w:tr>
      <w:tr w:rsidR="00AC3CD2" w:rsidRPr="00AE07E9" w14:paraId="4D84C431" w14:textId="77777777" w:rsidTr="00C3090A">
        <w:trPr>
          <w:cantSplit/>
          <w:trHeight w:hRule="exact" w:val="170"/>
        </w:trPr>
        <w:tc>
          <w:tcPr>
            <w:tcW w:w="567" w:type="dxa"/>
            <w:vAlign w:val="center"/>
          </w:tcPr>
          <w:p w14:paraId="07C89BDB" w14:textId="77777777" w:rsidR="00AC3CD2" w:rsidRPr="00AE07E9" w:rsidRDefault="00AC3CD2" w:rsidP="00C3090A">
            <w:pPr>
              <w:tabs>
                <w:tab w:val="right" w:leader="dot" w:pos="8680"/>
              </w:tabs>
              <w:jc w:val="center"/>
              <w:rPr>
                <w:rFonts w:eastAsia="Times New Roman" w:cs="Times New Roman"/>
                <w:b/>
                <w:lang w:eastAsia="en-GB"/>
              </w:rPr>
            </w:pPr>
          </w:p>
        </w:tc>
        <w:tc>
          <w:tcPr>
            <w:tcW w:w="7655" w:type="dxa"/>
          </w:tcPr>
          <w:p w14:paraId="360FDA08" w14:textId="77777777" w:rsidR="00AC3CD2" w:rsidRPr="00AE07E9" w:rsidRDefault="00AC3CD2" w:rsidP="00C3090A">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92C2499" w14:textId="77777777" w:rsidR="00AC3CD2" w:rsidRPr="00AE07E9" w:rsidRDefault="00AC3CD2" w:rsidP="00C3090A">
            <w:pPr>
              <w:tabs>
                <w:tab w:val="right" w:leader="dot" w:pos="8680"/>
              </w:tabs>
              <w:rPr>
                <w:rFonts w:eastAsia="Times New Roman" w:cs="Times New Roman"/>
                <w:lang w:eastAsia="en-GB"/>
              </w:rPr>
            </w:pPr>
          </w:p>
        </w:tc>
      </w:tr>
      <w:tr w:rsidR="00AC3CD2" w:rsidRPr="00AE07E9" w14:paraId="1AD1F95B" w14:textId="77777777" w:rsidTr="00C3090A">
        <w:trPr>
          <w:cantSplit/>
          <w:trHeight w:hRule="exact" w:val="567"/>
        </w:trPr>
        <w:tc>
          <w:tcPr>
            <w:tcW w:w="567" w:type="dxa"/>
            <w:vAlign w:val="center"/>
          </w:tcPr>
          <w:p w14:paraId="796777FE" w14:textId="77777777" w:rsidR="00AC3CD2" w:rsidRPr="00AE07E9" w:rsidRDefault="00AC3CD2" w:rsidP="00C3090A">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11735691" w14:textId="77777777" w:rsidR="00AC3CD2" w:rsidRPr="009F3146" w:rsidRDefault="00AC3CD2" w:rsidP="00C3090A">
            <w:pPr>
              <w:tabs>
                <w:tab w:val="right" w:leader="dot" w:pos="8680"/>
              </w:tabs>
            </w:pPr>
            <w:r>
              <w:t>The chemical reaction between magnesium and copper sulfate makes energy.</w:t>
            </w:r>
          </w:p>
        </w:tc>
        <w:tc>
          <w:tcPr>
            <w:tcW w:w="567" w:type="dxa"/>
            <w:tcBorders>
              <w:top w:val="single" w:sz="4" w:space="0" w:color="auto"/>
              <w:left w:val="single" w:sz="4" w:space="0" w:color="auto"/>
              <w:bottom w:val="single" w:sz="4" w:space="0" w:color="auto"/>
              <w:right w:val="single" w:sz="4" w:space="0" w:color="auto"/>
            </w:tcBorders>
          </w:tcPr>
          <w:p w14:paraId="10CCC5EE" w14:textId="77777777" w:rsidR="00AC3CD2" w:rsidRPr="00AE07E9" w:rsidRDefault="00AC3CD2" w:rsidP="00C3090A">
            <w:pPr>
              <w:tabs>
                <w:tab w:val="right" w:leader="dot" w:pos="8680"/>
              </w:tabs>
              <w:rPr>
                <w:rFonts w:eastAsia="Times New Roman" w:cs="Times New Roman"/>
                <w:lang w:eastAsia="en-GB"/>
              </w:rPr>
            </w:pPr>
          </w:p>
        </w:tc>
      </w:tr>
    </w:tbl>
    <w:p w14:paraId="30B66139" w14:textId="77777777" w:rsidR="00AC3CD2" w:rsidRPr="00201AC2" w:rsidRDefault="00AC3CD2" w:rsidP="004A2A77">
      <w:pPr>
        <w:spacing w:after="240"/>
        <w:rPr>
          <w:szCs w:val="18"/>
        </w:rPr>
      </w:pPr>
      <w:bookmarkStart w:id="0" w:name="_GoBack"/>
      <w:bookmarkEnd w:id="0"/>
    </w:p>
    <w:p w14:paraId="76032C3B" w14:textId="72C4BE81" w:rsidR="00F066C2" w:rsidRDefault="00F066C2" w:rsidP="004A2A77">
      <w:pPr>
        <w:spacing w:after="240"/>
        <w:rPr>
          <w:szCs w:val="18"/>
        </w:rPr>
      </w:pPr>
    </w:p>
    <w:p w14:paraId="00CD4A70" w14:textId="5EAD49A2" w:rsidR="00F066C2" w:rsidRDefault="00F066C2" w:rsidP="004A2A77">
      <w:pPr>
        <w:spacing w:after="240"/>
        <w:rPr>
          <w:szCs w:val="18"/>
        </w:rPr>
      </w:pPr>
    </w:p>
    <w:p w14:paraId="38EEA65E" w14:textId="36713346" w:rsidR="00F066C2" w:rsidRDefault="00F066C2" w:rsidP="004A2A77">
      <w:pPr>
        <w:spacing w:after="240"/>
        <w:rPr>
          <w:szCs w:val="18"/>
        </w:rPr>
      </w:pPr>
    </w:p>
    <w:p w14:paraId="2FC8D714" w14:textId="46EFDB27" w:rsidR="00F066C2" w:rsidRDefault="00F066C2" w:rsidP="004A2A77">
      <w:pPr>
        <w:spacing w:after="240"/>
        <w:rPr>
          <w:szCs w:val="18"/>
        </w:rPr>
      </w:pPr>
    </w:p>
    <w:p w14:paraId="7AB74C8B" w14:textId="6500677B" w:rsidR="00F066C2" w:rsidRDefault="00F066C2" w:rsidP="004A2A77">
      <w:pPr>
        <w:spacing w:after="240"/>
        <w:rPr>
          <w:szCs w:val="18"/>
        </w:rPr>
      </w:pPr>
    </w:p>
    <w:p w14:paraId="5B8EC49B" w14:textId="0F194FDE" w:rsidR="00F066C2" w:rsidRDefault="00F066C2" w:rsidP="004A2A77">
      <w:pPr>
        <w:spacing w:after="240"/>
        <w:rPr>
          <w:szCs w:val="18"/>
        </w:rPr>
      </w:pPr>
    </w:p>
    <w:p w14:paraId="5919BE28" w14:textId="4BA0DB73" w:rsidR="00F066C2" w:rsidRDefault="00F066C2" w:rsidP="004A2A77">
      <w:pPr>
        <w:spacing w:after="240"/>
        <w:rPr>
          <w:szCs w:val="18"/>
        </w:rPr>
      </w:pPr>
    </w:p>
    <w:p w14:paraId="750F9939" w14:textId="727626BA" w:rsidR="00F066C2" w:rsidRDefault="00F066C2" w:rsidP="004A2A77">
      <w:pPr>
        <w:spacing w:after="240"/>
        <w:rPr>
          <w:szCs w:val="18"/>
        </w:rPr>
      </w:pPr>
    </w:p>
    <w:p w14:paraId="39B893B3" w14:textId="790703AE" w:rsidR="00F066C2" w:rsidRDefault="00F066C2" w:rsidP="004A2A77">
      <w:pPr>
        <w:spacing w:after="240"/>
        <w:rPr>
          <w:szCs w:val="18"/>
        </w:rPr>
      </w:pPr>
    </w:p>
    <w:p w14:paraId="1D251942" w14:textId="77777777" w:rsidR="00F066C2" w:rsidRPr="00201AC2" w:rsidRDefault="00F066C2" w:rsidP="004A2A77">
      <w:pPr>
        <w:spacing w:after="240"/>
        <w:rPr>
          <w:szCs w:val="18"/>
        </w:rPr>
      </w:pPr>
    </w:p>
    <w:p w14:paraId="1F0810A4" w14:textId="77777777" w:rsidR="00F066C2" w:rsidRPr="00201AC2" w:rsidRDefault="00F066C2" w:rsidP="00F066C2">
      <w:pPr>
        <w:tabs>
          <w:tab w:val="left" w:pos="1020"/>
        </w:tabs>
        <w:spacing w:after="240"/>
        <w:rPr>
          <w:szCs w:val="18"/>
        </w:rPr>
      </w:pPr>
      <w:r>
        <w:rPr>
          <w:szCs w:val="18"/>
        </w:rPr>
        <w:tab/>
      </w:r>
    </w:p>
    <w:p w14:paraId="7F118120" w14:textId="7228B72C" w:rsidR="00201AC2" w:rsidRPr="00201AC2" w:rsidRDefault="00201AC2" w:rsidP="00F066C2">
      <w:pPr>
        <w:tabs>
          <w:tab w:val="left" w:pos="1020"/>
        </w:tabs>
        <w:spacing w:after="240"/>
        <w:rPr>
          <w:szCs w:val="18"/>
        </w:rPr>
      </w:pPr>
    </w:p>
    <w:p w14:paraId="5D93A275" w14:textId="77777777" w:rsidR="00201AC2" w:rsidRPr="00201AC2" w:rsidRDefault="00201AC2" w:rsidP="006F3279">
      <w:pPr>
        <w:spacing w:after="240"/>
        <w:rPr>
          <w:szCs w:val="18"/>
        </w:rPr>
      </w:pPr>
    </w:p>
    <w:p w14:paraId="03CC49D6"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4F39365D" w14:textId="5834D2A4"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F066C2">
        <w:rPr>
          <w:i/>
          <w:sz w:val="18"/>
          <w:szCs w:val="18"/>
        </w:rPr>
        <w:t>CCR: Chemical reactions</w:t>
      </w:r>
      <w:r>
        <w:rPr>
          <w:i/>
          <w:sz w:val="18"/>
          <w:szCs w:val="18"/>
        </w:rPr>
        <w:t xml:space="preserve"> Topic </w:t>
      </w:r>
      <w:r w:rsidR="00F066C2">
        <w:rPr>
          <w:i/>
          <w:sz w:val="18"/>
          <w:szCs w:val="18"/>
        </w:rPr>
        <w:t>CCR3: Energy and reactions</w:t>
      </w:r>
      <w:r w:rsidRPr="00CA4B46">
        <w:rPr>
          <w:i/>
          <w:sz w:val="18"/>
          <w:szCs w:val="18"/>
        </w:rPr>
        <w:t xml:space="preserve">&gt; </w:t>
      </w:r>
      <w:r>
        <w:rPr>
          <w:i/>
          <w:sz w:val="18"/>
          <w:szCs w:val="18"/>
        </w:rPr>
        <w:t>Key concept</w:t>
      </w:r>
      <w:r w:rsidRPr="00CA4B46">
        <w:rPr>
          <w:i/>
          <w:sz w:val="18"/>
          <w:szCs w:val="18"/>
        </w:rPr>
        <w:t xml:space="preserve"> </w:t>
      </w:r>
      <w:r w:rsidR="00F066C2">
        <w:rPr>
          <w:i/>
          <w:sz w:val="18"/>
          <w:szCs w:val="18"/>
        </w:rPr>
        <w:t>CCR3.1: Exothermic and endothermic</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67F8DD2" w14:textId="77777777" w:rsidTr="001C2E59">
        <w:tc>
          <w:tcPr>
            <w:tcW w:w="12021" w:type="dxa"/>
            <w:shd w:val="clear" w:color="auto" w:fill="FABF8F" w:themeFill="accent6" w:themeFillTint="99"/>
          </w:tcPr>
          <w:p w14:paraId="60E75A49"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21777DA3" w14:textId="77777777" w:rsidTr="001C2E59">
        <w:tc>
          <w:tcPr>
            <w:tcW w:w="12021" w:type="dxa"/>
            <w:shd w:val="clear" w:color="auto" w:fill="FBD4B4" w:themeFill="accent6" w:themeFillTint="66"/>
          </w:tcPr>
          <w:p w14:paraId="067068F7" w14:textId="485F4FA9" w:rsidR="006F3279" w:rsidRPr="00CA4B46" w:rsidRDefault="00F066C2" w:rsidP="006F3279">
            <w:pPr>
              <w:spacing w:after="60"/>
              <w:ind w:left="1304"/>
              <w:rPr>
                <w:b/>
                <w:sz w:val="40"/>
                <w:szCs w:val="40"/>
              </w:rPr>
            </w:pPr>
            <w:r>
              <w:rPr>
                <w:b/>
                <w:sz w:val="40"/>
                <w:szCs w:val="40"/>
              </w:rPr>
              <w:t>Magnesium powder</w:t>
            </w:r>
          </w:p>
        </w:tc>
      </w:tr>
    </w:tbl>
    <w:p w14:paraId="001B88A5" w14:textId="77777777" w:rsidR="006F3279" w:rsidRDefault="006F3279" w:rsidP="00E172C6">
      <w:pPr>
        <w:spacing w:after="180"/>
        <w:rPr>
          <w:b/>
        </w:rPr>
      </w:pPr>
    </w:p>
    <w:p w14:paraId="3B55DEC9"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066C2" w14:paraId="17320F35" w14:textId="77777777" w:rsidTr="00F066C2">
        <w:trPr>
          <w:trHeight w:val="340"/>
        </w:trPr>
        <w:tc>
          <w:tcPr>
            <w:tcW w:w="2196" w:type="dxa"/>
          </w:tcPr>
          <w:p w14:paraId="68508B60" w14:textId="77777777" w:rsidR="00F066C2" w:rsidRDefault="00F066C2" w:rsidP="00F066C2">
            <w:pPr>
              <w:spacing w:before="60" w:after="60"/>
            </w:pPr>
            <w:r>
              <w:t>Learning objective:</w:t>
            </w:r>
          </w:p>
        </w:tc>
        <w:tc>
          <w:tcPr>
            <w:tcW w:w="6820" w:type="dxa"/>
          </w:tcPr>
          <w:p w14:paraId="3E9F8A40" w14:textId="66D9B083" w:rsidR="00F066C2" w:rsidRPr="00B75483" w:rsidRDefault="00F066C2" w:rsidP="00F066C2">
            <w:pPr>
              <w:spacing w:before="60" w:after="60"/>
              <w:rPr>
                <w:highlight w:val="yellow"/>
              </w:rPr>
            </w:pPr>
            <w:r>
              <w:t>During a chemical reaction energy may be transferred to or from the surroundings.</w:t>
            </w:r>
          </w:p>
        </w:tc>
      </w:tr>
      <w:tr w:rsidR="00F066C2" w14:paraId="593C93BD" w14:textId="77777777" w:rsidTr="00F066C2">
        <w:trPr>
          <w:trHeight w:val="340"/>
        </w:trPr>
        <w:tc>
          <w:tcPr>
            <w:tcW w:w="2196" w:type="dxa"/>
          </w:tcPr>
          <w:p w14:paraId="767E2C42" w14:textId="77777777" w:rsidR="00F066C2" w:rsidRDefault="00F066C2" w:rsidP="00F066C2">
            <w:pPr>
              <w:spacing w:before="60" w:after="60"/>
            </w:pPr>
            <w:r>
              <w:t>Observable learning outcome:</w:t>
            </w:r>
          </w:p>
        </w:tc>
        <w:tc>
          <w:tcPr>
            <w:tcW w:w="6820" w:type="dxa"/>
          </w:tcPr>
          <w:p w14:paraId="2FC11AF0" w14:textId="485588A7" w:rsidR="00F066C2" w:rsidRPr="00B75483" w:rsidRDefault="00F066C2" w:rsidP="00F066C2">
            <w:pPr>
              <w:spacing w:before="60" w:after="60"/>
              <w:rPr>
                <w:highlight w:val="yellow"/>
              </w:rPr>
            </w:pPr>
            <w:r>
              <w:t>Recognise that energy is conserved during exothermic reactions.</w:t>
            </w:r>
          </w:p>
        </w:tc>
      </w:tr>
      <w:tr w:rsidR="00F066C2" w14:paraId="4312DD7E" w14:textId="77777777" w:rsidTr="00F066C2">
        <w:trPr>
          <w:trHeight w:val="340"/>
        </w:trPr>
        <w:tc>
          <w:tcPr>
            <w:tcW w:w="2196" w:type="dxa"/>
          </w:tcPr>
          <w:p w14:paraId="03FCA1D1" w14:textId="77777777" w:rsidR="00F066C2" w:rsidRDefault="00F066C2" w:rsidP="00F066C2">
            <w:pPr>
              <w:spacing w:before="60" w:after="60"/>
            </w:pPr>
            <w:r>
              <w:t>Activity type:</w:t>
            </w:r>
          </w:p>
        </w:tc>
        <w:tc>
          <w:tcPr>
            <w:tcW w:w="6820" w:type="dxa"/>
          </w:tcPr>
          <w:p w14:paraId="2B078A1C" w14:textId="734DD9A2" w:rsidR="00F066C2" w:rsidRPr="001915D4" w:rsidRDefault="00F066C2" w:rsidP="00F066C2">
            <w:pPr>
              <w:spacing w:before="60" w:after="60"/>
              <w:rPr>
                <w:highlight w:val="yellow"/>
              </w:rPr>
            </w:pPr>
            <w:r>
              <w:t xml:space="preserve">Diagnostic, </w:t>
            </w:r>
            <w:r w:rsidR="00AC3CD2">
              <w:t>application and practice</w:t>
            </w:r>
          </w:p>
        </w:tc>
      </w:tr>
      <w:tr w:rsidR="00F066C2" w14:paraId="4FCE6DA2" w14:textId="77777777" w:rsidTr="00F066C2">
        <w:trPr>
          <w:trHeight w:val="340"/>
        </w:trPr>
        <w:tc>
          <w:tcPr>
            <w:tcW w:w="2196" w:type="dxa"/>
          </w:tcPr>
          <w:p w14:paraId="45C7F3D4" w14:textId="77777777" w:rsidR="00F066C2" w:rsidRDefault="00F066C2" w:rsidP="00F066C2">
            <w:pPr>
              <w:spacing w:before="60" w:after="60"/>
            </w:pPr>
            <w:r>
              <w:t>Key words:</w:t>
            </w:r>
          </w:p>
        </w:tc>
        <w:tc>
          <w:tcPr>
            <w:tcW w:w="6820" w:type="dxa"/>
          </w:tcPr>
          <w:p w14:paraId="4763DFCE" w14:textId="2CBB89C5" w:rsidR="00F066C2" w:rsidRPr="001C4805" w:rsidRDefault="00F066C2" w:rsidP="00F066C2">
            <w:pPr>
              <w:spacing w:before="60" w:after="60"/>
              <w:rPr>
                <w:highlight w:val="yellow"/>
              </w:rPr>
            </w:pPr>
            <w:r>
              <w:t>energy</w:t>
            </w:r>
          </w:p>
        </w:tc>
      </w:tr>
    </w:tbl>
    <w:p w14:paraId="3D50CD3F" w14:textId="77777777" w:rsidR="00E172C6" w:rsidRDefault="00E172C6" w:rsidP="00E172C6">
      <w:pPr>
        <w:spacing w:after="180"/>
      </w:pPr>
    </w:p>
    <w:p w14:paraId="5FDECB38" w14:textId="38D0A5BC" w:rsidR="006A320F" w:rsidRDefault="006A320F" w:rsidP="006A320F">
      <w:pPr>
        <w:spacing w:after="180"/>
      </w:pPr>
      <w:r>
        <w:t xml:space="preserve">This activity can help develop students’ understanding by addressing the </w:t>
      </w:r>
      <w:r w:rsidR="0007028E">
        <w:t>misunderstandings</w:t>
      </w:r>
      <w:r>
        <w:t xml:space="preserve"> revealed by the following diagnostic question</w:t>
      </w:r>
      <w:r w:rsidRPr="006E0400">
        <w:t>:</w:t>
      </w:r>
    </w:p>
    <w:p w14:paraId="0126FB50" w14:textId="3E1299AE" w:rsidR="00456227" w:rsidRPr="00A6111E" w:rsidRDefault="00F066C2" w:rsidP="00456227">
      <w:pPr>
        <w:pStyle w:val="ListParagraph"/>
        <w:numPr>
          <w:ilvl w:val="0"/>
          <w:numId w:val="1"/>
        </w:numPr>
        <w:spacing w:after="180"/>
      </w:pPr>
      <w:r>
        <w:t>Burning fuel</w:t>
      </w:r>
    </w:p>
    <w:p w14:paraId="6845F5A6" w14:textId="77777777" w:rsidR="00F72ECC" w:rsidRDefault="00F72ECC" w:rsidP="00F72ECC"/>
    <w:p w14:paraId="5EEDBDEA"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6B6515A" w14:textId="61C1BBBA" w:rsidR="00F066C2" w:rsidRDefault="00F066C2" w:rsidP="00F066C2">
      <w:pPr>
        <w:spacing w:after="180"/>
      </w:pPr>
      <w:r>
        <w:t xml:space="preserve">Research into </w:t>
      </w:r>
      <w:r w:rsidR="0007028E">
        <w:t xml:space="preserve">chemistry </w:t>
      </w:r>
      <w:r>
        <w:t xml:space="preserve">misconceptions by Kind </w:t>
      </w:r>
      <w:r>
        <w:fldChar w:fldCharType="begin"/>
      </w:r>
      <w:r>
        <w:instrText xml:space="preserve"> ADDIN EN.CITE &lt;EndNote&gt;&lt;Cite ExcludeAuth="1"&gt;&lt;Author&gt;Kind&lt;/Author&gt;&lt;Year&gt;2004&lt;/Year&gt;&lt;IDText&gt;Beyond appearances: Students&amp;apos; misconceptions about basic chemical ideas&lt;/IDText&gt;&lt;DisplayText&gt;(2004)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fldChar w:fldCharType="separate"/>
      </w:r>
      <w:r>
        <w:rPr>
          <w:noProof/>
        </w:rPr>
        <w:t>(2004)</w:t>
      </w:r>
      <w:r>
        <w:fldChar w:fldCharType="end"/>
      </w:r>
      <w:r>
        <w:t xml:space="preserve"> found that the phrase ‘fuels contain energy’ can lead some students to think that energy is stored in a fuel and released when it burns. Use of language </w:t>
      </w:r>
      <w:r w:rsidR="0007028E">
        <w:t xml:space="preserve">in everyday life </w:t>
      </w:r>
      <w:r>
        <w:t>such as ‘energy running out’ can suggest to students that energy can be ‘used up’. Other misunderstandings about burning were found to lead to the misconception that burning creates energy. Both of these contradict the important idea of conservation of energy.</w:t>
      </w:r>
    </w:p>
    <w:p w14:paraId="2B6F1BE1"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30E7678D" w14:textId="77777777" w:rsidR="00F066C2" w:rsidRDefault="00F066C2" w:rsidP="00F066C2">
      <w:pPr>
        <w:spacing w:after="180"/>
      </w:pPr>
      <w:r>
        <w:t>This activity deliberately uses a chemical reaction that is not met in day to day life. This is to remove some of the preconceptions linked with the burning of a fuel.</w:t>
      </w:r>
    </w:p>
    <w:p w14:paraId="012936D2" w14:textId="77777777" w:rsidR="00AC3CD2" w:rsidRDefault="00AC3CD2" w:rsidP="00AC3CD2">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2528BCA8" w14:textId="77777777" w:rsidR="00AC3CD2" w:rsidRDefault="00AC3CD2" w:rsidP="00AC3CD2">
      <w:pPr>
        <w:spacing w:after="180"/>
      </w:pPr>
      <w:r>
        <w:t>Listening to individual groups as they work often highlights any difficulties they might have.  These can often be overcome, through a whole class clarification or redirection part way through the activity.</w:t>
      </w:r>
    </w:p>
    <w:p w14:paraId="26DA2C83" w14:textId="604BBF09" w:rsidR="00AC3CD2" w:rsidRDefault="00AC3CD2" w:rsidP="00AC3CD2">
      <w:pPr>
        <w:spacing w:after="180"/>
      </w:pPr>
      <w:r>
        <w:t xml:space="preserve">Asking students to share their answer is a useful check.  After a group has fed back, it might be helpful to model an even better answer.  You could do this, for example, by asking another group to add to, or clarify, the first observation.  </w:t>
      </w:r>
    </w:p>
    <w:p w14:paraId="146A1AFE" w14:textId="77777777" w:rsidR="00D23A76" w:rsidRDefault="00D23A76" w:rsidP="00F066C2">
      <w:pPr>
        <w:spacing w:after="180"/>
        <w:rPr>
          <w:i/>
        </w:rPr>
      </w:pPr>
    </w:p>
    <w:p w14:paraId="4A20A07F" w14:textId="77777777" w:rsidR="00D23A76" w:rsidRDefault="00D23A76" w:rsidP="00F066C2">
      <w:pPr>
        <w:spacing w:after="180"/>
        <w:rPr>
          <w:i/>
        </w:rPr>
      </w:pPr>
    </w:p>
    <w:p w14:paraId="44A1C217" w14:textId="459A439C" w:rsidR="00F066C2" w:rsidRPr="00A150A6" w:rsidRDefault="00F066C2" w:rsidP="00F066C2">
      <w:pPr>
        <w:spacing w:after="180"/>
        <w:rPr>
          <w:i/>
        </w:rPr>
      </w:pPr>
      <w:r w:rsidRPr="00A150A6">
        <w:rPr>
          <w:i/>
        </w:rPr>
        <w:lastRenderedPageBreak/>
        <w:t>Differentiation</w:t>
      </w:r>
    </w:p>
    <w:p w14:paraId="16F9374C" w14:textId="77777777" w:rsidR="0007028E" w:rsidRDefault="00AC3CD2" w:rsidP="00026DEC">
      <w:pPr>
        <w:spacing w:after="180"/>
      </w:pPr>
      <w:r>
        <w:t>It may help some students if the experiment is demonstrated.</w:t>
      </w:r>
      <w:r w:rsidR="00D23A76">
        <w:t xml:space="preserve"> </w:t>
      </w:r>
    </w:p>
    <w:p w14:paraId="698A6CD5" w14:textId="7D7B0E9B" w:rsidR="004177CE" w:rsidRDefault="00D23A76" w:rsidP="00026DEC">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26C5BB57" w14:textId="77777777" w:rsidR="0007028E" w:rsidRPr="00816065" w:rsidRDefault="0007028E" w:rsidP="0007028E">
      <w:pPr>
        <w:spacing w:after="180"/>
        <w:rPr>
          <w:rFonts w:cstheme="minorHAnsi"/>
        </w:rPr>
      </w:pPr>
      <w:r>
        <w:rPr>
          <w:rFonts w:cstheme="minorHAnsi"/>
        </w:rPr>
        <w:t xml:space="preserve">Practical guidance which includes this reaction may be found at </w:t>
      </w:r>
      <w:hyperlink r:id="rId9" w:history="1">
        <w:r w:rsidRPr="000034A8">
          <w:rPr>
            <w:rStyle w:val="Hyperlink"/>
            <w:rFonts w:cstheme="minorHAnsi"/>
          </w:rPr>
          <w:t>http://www.rsc.org/learn-chemistry/resource/res00000406/exothermic-or-endothermic?cmpid=CMP00005103</w:t>
        </w:r>
      </w:hyperlink>
      <w:r>
        <w:rPr>
          <w:rFonts w:cstheme="minorHAnsi"/>
        </w:rPr>
        <w:t xml:space="preserve"> </w:t>
      </w:r>
    </w:p>
    <w:p w14:paraId="016C3B56" w14:textId="2A2BB34D"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990FC53" w14:textId="5B943DDC" w:rsidR="00AC3CD2" w:rsidRDefault="00D23A76" w:rsidP="00026DEC">
      <w:pPr>
        <w:spacing w:after="180"/>
      </w:pPr>
      <w:r>
        <w:t>C</w:t>
      </w:r>
    </w:p>
    <w:p w14:paraId="4AC84F70" w14:textId="577D361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019C5EB6" w14:textId="061FEC87" w:rsidR="00D278E8" w:rsidRDefault="00D278E8" w:rsidP="00E172C6">
      <w:pPr>
        <w:spacing w:after="180"/>
      </w:pPr>
      <w:r>
        <w:t xml:space="preserve">Developed </w:t>
      </w:r>
      <w:r w:rsidR="0015356E">
        <w:t xml:space="preserve">by </w:t>
      </w:r>
      <w:r w:rsidR="00F066C2">
        <w:t>Helen Harden</w:t>
      </w:r>
      <w:r w:rsidR="0015356E">
        <w:t xml:space="preserve"> (UYSEG)</w:t>
      </w:r>
      <w:r w:rsidR="00F066C2">
        <w:t>.</w:t>
      </w:r>
    </w:p>
    <w:p w14:paraId="66EA0DD5" w14:textId="30628F73" w:rsidR="00CC78A5" w:rsidRDefault="00D278E8" w:rsidP="00E172C6">
      <w:pPr>
        <w:spacing w:after="180"/>
      </w:pPr>
      <w:r w:rsidRPr="0045323E">
        <w:t xml:space="preserve">Images: </w:t>
      </w:r>
      <w:r w:rsidR="00F066C2">
        <w:t>None</w:t>
      </w:r>
    </w:p>
    <w:p w14:paraId="2F1DF7E3" w14:textId="2793207F" w:rsidR="00F066C2" w:rsidRDefault="008D7667" w:rsidP="00026DEC">
      <w:pPr>
        <w:spacing w:after="180"/>
      </w:pPr>
      <w:r>
        <w:rPr>
          <w:b/>
          <w:color w:val="E36C0A" w:themeColor="accent6" w:themeShade="BF"/>
          <w:sz w:val="24"/>
        </w:rPr>
        <w:t>References</w:t>
      </w:r>
    </w:p>
    <w:p w14:paraId="56282C92" w14:textId="5CB4707A" w:rsidR="00F066C2" w:rsidRPr="00F066C2" w:rsidRDefault="00F066C2" w:rsidP="00F066C2">
      <w:pPr>
        <w:pStyle w:val="EndNoteBibliography"/>
      </w:pPr>
      <w:r>
        <w:fldChar w:fldCharType="begin"/>
      </w:r>
      <w:r>
        <w:instrText xml:space="preserve"> ADDIN EN.REFLIST </w:instrText>
      </w:r>
      <w:r>
        <w:fldChar w:fldCharType="separate"/>
      </w:r>
      <w:r w:rsidRPr="00F066C2">
        <w:t xml:space="preserve">Kind, V. (2004). Beyond appearances: Students' misconceptions about basic chemical ideas. [Online]. Available at: </w:t>
      </w:r>
      <w:hyperlink r:id="rId10" w:history="1">
        <w:r w:rsidRPr="00F066C2">
          <w:rPr>
            <w:rStyle w:val="Hyperlink"/>
          </w:rPr>
          <w:t>http://www.rsc.org/learn-chemistry/resource/res00002202/beyond-appearances?cmpid=CMP00007478</w:t>
        </w:r>
      </w:hyperlink>
      <w:r w:rsidRPr="00F066C2">
        <w:t>.</w:t>
      </w:r>
    </w:p>
    <w:p w14:paraId="70329698" w14:textId="5A0A3F38" w:rsidR="005E1205" w:rsidRPr="005E1205" w:rsidRDefault="00F066C2" w:rsidP="00026DEC">
      <w:pPr>
        <w:spacing w:after="180"/>
      </w:pPr>
      <w:r>
        <w:fldChar w:fldCharType="end"/>
      </w: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DFC1F" w14:textId="77777777" w:rsidR="00342A28" w:rsidRDefault="00342A28" w:rsidP="000B473B">
      <w:r>
        <w:separator/>
      </w:r>
    </w:p>
  </w:endnote>
  <w:endnote w:type="continuationSeparator" w:id="0">
    <w:p w14:paraId="15EACF02" w14:textId="77777777" w:rsidR="00342A28" w:rsidRDefault="00342A2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0BC08" w14:textId="2C2D00AA"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3331293" wp14:editId="295C3AB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9D801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86328">
      <w:rPr>
        <w:noProof/>
      </w:rPr>
      <w:t>3</w:t>
    </w:r>
    <w:r>
      <w:rPr>
        <w:noProof/>
      </w:rPr>
      <w:fldChar w:fldCharType="end"/>
    </w:r>
  </w:p>
  <w:p w14:paraId="3C6A65EF"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58D5524C"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AA9F5" w14:textId="77777777" w:rsidR="00342A28" w:rsidRDefault="00342A28" w:rsidP="000B473B">
      <w:r>
        <w:separator/>
      </w:r>
    </w:p>
  </w:footnote>
  <w:footnote w:type="continuationSeparator" w:id="0">
    <w:p w14:paraId="726FD1E6" w14:textId="77777777" w:rsidR="00342A28" w:rsidRDefault="00342A2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3ADC4"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7D2DDF3" wp14:editId="1F99B295">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664C8E8" wp14:editId="437C50C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66A5FF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A530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2444EFF" wp14:editId="21977D6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BB2C06B" wp14:editId="238CA73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DB9FD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01C8C"/>
    <w:rsid w:val="00015578"/>
    <w:rsid w:val="00024731"/>
    <w:rsid w:val="00026DEC"/>
    <w:rsid w:val="000505CA"/>
    <w:rsid w:val="0007028E"/>
    <w:rsid w:val="0007651D"/>
    <w:rsid w:val="0009089A"/>
    <w:rsid w:val="000947E2"/>
    <w:rsid w:val="00095E04"/>
    <w:rsid w:val="000B473B"/>
    <w:rsid w:val="000D0E89"/>
    <w:rsid w:val="000E2689"/>
    <w:rsid w:val="00142613"/>
    <w:rsid w:val="00144DA7"/>
    <w:rsid w:val="0015356E"/>
    <w:rsid w:val="00161D3F"/>
    <w:rsid w:val="001843F3"/>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42A28"/>
    <w:rsid w:val="003533B8"/>
    <w:rsid w:val="00366DD9"/>
    <w:rsid w:val="003752BE"/>
    <w:rsid w:val="003A346A"/>
    <w:rsid w:val="003A50A4"/>
    <w:rsid w:val="003B2917"/>
    <w:rsid w:val="003B541B"/>
    <w:rsid w:val="003E2B2F"/>
    <w:rsid w:val="003E6046"/>
    <w:rsid w:val="003F16F9"/>
    <w:rsid w:val="004177CE"/>
    <w:rsid w:val="00430C1F"/>
    <w:rsid w:val="00442595"/>
    <w:rsid w:val="0045323E"/>
    <w:rsid w:val="00456227"/>
    <w:rsid w:val="00486328"/>
    <w:rsid w:val="004A2A77"/>
    <w:rsid w:val="004B0EE1"/>
    <w:rsid w:val="004D0D83"/>
    <w:rsid w:val="004E1DF1"/>
    <w:rsid w:val="004E5592"/>
    <w:rsid w:val="0050055B"/>
    <w:rsid w:val="00524710"/>
    <w:rsid w:val="0055060C"/>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C25B7"/>
    <w:rsid w:val="007D1D65"/>
    <w:rsid w:val="007E0A9E"/>
    <w:rsid w:val="007E5309"/>
    <w:rsid w:val="00800DE1"/>
    <w:rsid w:val="00806B12"/>
    <w:rsid w:val="00813F47"/>
    <w:rsid w:val="00826C89"/>
    <w:rsid w:val="008450D6"/>
    <w:rsid w:val="00856FCA"/>
    <w:rsid w:val="00873B8C"/>
    <w:rsid w:val="00880E3B"/>
    <w:rsid w:val="008A405F"/>
    <w:rsid w:val="008B2ED6"/>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C3CD2"/>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8556B"/>
    <w:rsid w:val="00CC2E4D"/>
    <w:rsid w:val="00CC78A5"/>
    <w:rsid w:val="00CC7B16"/>
    <w:rsid w:val="00CE15FE"/>
    <w:rsid w:val="00CF6578"/>
    <w:rsid w:val="00D02E15"/>
    <w:rsid w:val="00D14F44"/>
    <w:rsid w:val="00D23A76"/>
    <w:rsid w:val="00D278E8"/>
    <w:rsid w:val="00D421E8"/>
    <w:rsid w:val="00D44604"/>
    <w:rsid w:val="00D479B3"/>
    <w:rsid w:val="00D52283"/>
    <w:rsid w:val="00D524E5"/>
    <w:rsid w:val="00D72FEF"/>
    <w:rsid w:val="00D755FA"/>
    <w:rsid w:val="00DC3D50"/>
    <w:rsid w:val="00DC4A4E"/>
    <w:rsid w:val="00DD1874"/>
    <w:rsid w:val="00DD63BD"/>
    <w:rsid w:val="00E01C8C"/>
    <w:rsid w:val="00E03772"/>
    <w:rsid w:val="00E172C6"/>
    <w:rsid w:val="00E24309"/>
    <w:rsid w:val="00E30F14"/>
    <w:rsid w:val="00E53D82"/>
    <w:rsid w:val="00E9330A"/>
    <w:rsid w:val="00EE6B97"/>
    <w:rsid w:val="00F066C2"/>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AB7D36"/>
  <w15:docId w15:val="{A3A6E5F1-1CF1-48ED-A41B-4CFD50EE1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4A2A77"/>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F066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066C2"/>
    <w:rPr>
      <w:rFonts w:ascii="Calibri" w:hAnsi="Calibri" w:cs="Calibri"/>
      <w:noProof/>
      <w:lang w:val="en-US"/>
    </w:rPr>
  </w:style>
  <w:style w:type="paragraph" w:customStyle="1" w:styleId="EndNoteBibliography">
    <w:name w:val="EndNote Bibliography"/>
    <w:basedOn w:val="Normal"/>
    <w:link w:val="EndNoteBibliographyChar"/>
    <w:rsid w:val="00F066C2"/>
    <w:rPr>
      <w:rFonts w:ascii="Calibri" w:hAnsi="Calibri" w:cs="Calibri"/>
      <w:noProof/>
      <w:lang w:val="en-US"/>
    </w:rPr>
  </w:style>
  <w:style w:type="character" w:customStyle="1" w:styleId="EndNoteBibliographyChar">
    <w:name w:val="EndNote Bibliography Char"/>
    <w:basedOn w:val="DefaultParagraphFont"/>
    <w:link w:val="EndNoteBibliography"/>
    <w:rsid w:val="00F066C2"/>
    <w:rPr>
      <w:rFonts w:ascii="Calibri" w:hAnsi="Calibri" w:cs="Calibri"/>
      <w:noProof/>
      <w:lang w:val="en-US"/>
    </w:rPr>
  </w:style>
  <w:style w:type="character" w:styleId="Hyperlink">
    <w:name w:val="Hyperlink"/>
    <w:basedOn w:val="DefaultParagraphFont"/>
    <w:uiPriority w:val="99"/>
    <w:unhideWhenUsed/>
    <w:rsid w:val="00F066C2"/>
    <w:rPr>
      <w:color w:val="0000FF" w:themeColor="hyperlink"/>
      <w:u w:val="single"/>
    </w:rPr>
  </w:style>
  <w:style w:type="character" w:customStyle="1" w:styleId="UnresolvedMention">
    <w:name w:val="Unresolved Mention"/>
    <w:basedOn w:val="DefaultParagraphFont"/>
    <w:uiPriority w:val="99"/>
    <w:semiHidden/>
    <w:unhideWhenUsed/>
    <w:rsid w:val="00F06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rsc.org/learn-chemistry/resource/res00002202/beyond-appearances?cmpid=CMP00007478" TargetMode="External"/><Relationship Id="rId4" Type="http://schemas.openxmlformats.org/officeDocument/2006/relationships/webSettings" Target="webSettings.xml"/><Relationship Id="rId9" Type="http://schemas.openxmlformats.org/officeDocument/2006/relationships/hyperlink" Target="http://www.rsc.org/learn-chemistry/resource/res00000406/exothermic-or-endothermic?cmpid=CMP000051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template_chemistry_item_response.dotx</Template>
  <TotalTime>33</TotalTime>
  <Pages>3</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Alistair Moore</cp:lastModifiedBy>
  <cp:revision>8</cp:revision>
  <cp:lastPrinted>2017-02-24T16:20:00Z</cp:lastPrinted>
  <dcterms:created xsi:type="dcterms:W3CDTF">2019-03-14T13:08:00Z</dcterms:created>
  <dcterms:modified xsi:type="dcterms:W3CDTF">2019-04-10T20:29:00Z</dcterms:modified>
</cp:coreProperties>
</file>