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D5E8F" w14:textId="3CC85186" w:rsidR="00201AC2" w:rsidRPr="001A40E2" w:rsidRDefault="00A63B78" w:rsidP="00201AC2">
      <w:pPr>
        <w:spacing w:after="180"/>
        <w:rPr>
          <w:b/>
          <w:sz w:val="44"/>
          <w:szCs w:val="44"/>
        </w:rPr>
      </w:pPr>
      <w:r>
        <w:rPr>
          <w:b/>
          <w:sz w:val="44"/>
          <w:szCs w:val="44"/>
        </w:rPr>
        <w:t>Energy change diagram</w:t>
      </w:r>
    </w:p>
    <w:p w14:paraId="7DC158A8" w14:textId="77777777" w:rsidR="00201AC2" w:rsidRDefault="00201AC2" w:rsidP="00201AC2">
      <w:pPr>
        <w:spacing w:after="180"/>
      </w:pPr>
    </w:p>
    <w:p w14:paraId="7D731485" w14:textId="1BD487D1" w:rsidR="00201AC2" w:rsidRDefault="00A63B78" w:rsidP="00201AC2">
      <w:pPr>
        <w:spacing w:after="180"/>
      </w:pPr>
      <w:r>
        <w:t>Carbon reacts with oxygen.</w:t>
      </w:r>
    </w:p>
    <w:p w14:paraId="6129482F" w14:textId="5EEE315C" w:rsidR="00A63B78" w:rsidRDefault="00A63B78" w:rsidP="00201AC2">
      <w:pPr>
        <w:spacing w:after="180"/>
      </w:pPr>
      <w:r>
        <w:t>C+O</w:t>
      </w:r>
      <w:r>
        <w:rPr>
          <w:vertAlign w:val="subscript"/>
        </w:rPr>
        <w:t>2</w:t>
      </w:r>
      <w:r>
        <w:t xml:space="preserve"> </w:t>
      </w:r>
      <w:r>
        <w:rPr>
          <w:rFonts w:ascii="Calibri Light" w:hAnsi="Calibri Light" w:cs="Calibri Light"/>
        </w:rPr>
        <w:t>→</w:t>
      </w:r>
      <w:r>
        <w:t xml:space="preserve"> CO</w:t>
      </w:r>
      <w:r>
        <w:rPr>
          <w:vertAlign w:val="subscript"/>
        </w:rPr>
        <w:t>2</w:t>
      </w:r>
    </w:p>
    <w:p w14:paraId="6496335B" w14:textId="05CA7317" w:rsidR="00A63B78" w:rsidRDefault="00A63B78" w:rsidP="00201AC2">
      <w:pPr>
        <w:spacing w:after="180"/>
      </w:pPr>
      <w:r>
        <w:t>As a result of this chemical reaction, energy is transferred to the surroundings.</w:t>
      </w:r>
    </w:p>
    <w:p w14:paraId="237574B4" w14:textId="77777777" w:rsidR="00A63B78" w:rsidRDefault="00A63B78" w:rsidP="00A63B78">
      <w:pPr>
        <w:spacing w:after="180"/>
      </w:pPr>
    </w:p>
    <w:p w14:paraId="6CFBA749" w14:textId="6B7375FF" w:rsidR="00201AC2" w:rsidRDefault="00A63B78" w:rsidP="00201AC2">
      <w:pPr>
        <w:pStyle w:val="ListParagraph"/>
        <w:numPr>
          <w:ilvl w:val="0"/>
          <w:numId w:val="2"/>
        </w:numPr>
        <w:spacing w:after="180"/>
        <w:ind w:left="567" w:hanging="567"/>
        <w:contextualSpacing w:val="0"/>
      </w:pPr>
      <w:r>
        <w:t>Which diagram best shows the energy changes that take place when the atoms rearrange?</w:t>
      </w:r>
    </w:p>
    <w:p w14:paraId="567F90DA" w14:textId="07CA3C35" w:rsidR="00D258D2" w:rsidRDefault="00D258D2" w:rsidP="006F3279">
      <w:pPr>
        <w:spacing w:after="240"/>
        <w:rPr>
          <w:b/>
          <w:szCs w:val="18"/>
        </w:rPr>
      </w:pPr>
      <w:r>
        <w:rPr>
          <w:b/>
          <w:noProof/>
          <w:szCs w:val="18"/>
        </w:rPr>
        <w:drawing>
          <wp:inline distT="0" distB="0" distL="0" distR="0" wp14:anchorId="2C5CFCDE" wp14:editId="065DA878">
            <wp:extent cx="2200275" cy="152556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xothermic energy change diagram incorrec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14242" cy="1535250"/>
                    </a:xfrm>
                    <a:prstGeom prst="rect">
                      <a:avLst/>
                    </a:prstGeom>
                  </pic:spPr>
                </pic:pic>
              </a:graphicData>
            </a:graphic>
          </wp:inline>
        </w:drawing>
      </w:r>
    </w:p>
    <w:p w14:paraId="6170E2B7" w14:textId="0CD4FD87" w:rsidR="00201AC2" w:rsidRDefault="00D258D2" w:rsidP="006F3279">
      <w:pPr>
        <w:spacing w:after="240"/>
        <w:rPr>
          <w:b/>
          <w:szCs w:val="18"/>
        </w:rPr>
      </w:pPr>
      <w:r w:rsidRPr="00D258D2">
        <w:rPr>
          <w:b/>
          <w:szCs w:val="18"/>
        </w:rPr>
        <w:t>A</w:t>
      </w:r>
    </w:p>
    <w:p w14:paraId="0FC9D5F5" w14:textId="6EBFBE50" w:rsidR="00D258D2" w:rsidRDefault="00D258D2" w:rsidP="006F3279">
      <w:pPr>
        <w:spacing w:after="240"/>
        <w:rPr>
          <w:b/>
          <w:szCs w:val="18"/>
        </w:rPr>
      </w:pPr>
      <w:r>
        <w:rPr>
          <w:noProof/>
          <w:szCs w:val="18"/>
        </w:rPr>
        <w:drawing>
          <wp:inline distT="0" distB="0" distL="0" distR="0" wp14:anchorId="4CF4E285" wp14:editId="69A2F20A">
            <wp:extent cx="2209800" cy="148775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ndothermic energychange diagra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3533" cy="1517201"/>
                    </a:xfrm>
                    <a:prstGeom prst="rect">
                      <a:avLst/>
                    </a:prstGeom>
                  </pic:spPr>
                </pic:pic>
              </a:graphicData>
            </a:graphic>
          </wp:inline>
        </w:drawing>
      </w:r>
    </w:p>
    <w:p w14:paraId="11EDCE04" w14:textId="7C11C858" w:rsidR="00D258D2" w:rsidRDefault="00D258D2" w:rsidP="006F3279">
      <w:pPr>
        <w:spacing w:after="240"/>
        <w:rPr>
          <w:b/>
          <w:szCs w:val="18"/>
        </w:rPr>
      </w:pPr>
      <w:r>
        <w:rPr>
          <w:b/>
          <w:szCs w:val="18"/>
        </w:rPr>
        <w:t>B</w:t>
      </w:r>
    </w:p>
    <w:p w14:paraId="50FA83D5" w14:textId="5D543F4E" w:rsidR="00D258D2" w:rsidRDefault="00D258D2" w:rsidP="006F3279">
      <w:pPr>
        <w:spacing w:after="240"/>
        <w:rPr>
          <w:b/>
          <w:szCs w:val="18"/>
        </w:rPr>
      </w:pPr>
      <w:r>
        <w:rPr>
          <w:b/>
          <w:noProof/>
          <w:szCs w:val="18"/>
        </w:rPr>
        <w:drawing>
          <wp:inline distT="0" distB="0" distL="0" distR="0" wp14:anchorId="38C319BC" wp14:editId="2FBF0987">
            <wp:extent cx="2307921" cy="1600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xothermic energy change diagra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6323" cy="1612959"/>
                    </a:xfrm>
                    <a:prstGeom prst="rect">
                      <a:avLst/>
                    </a:prstGeom>
                  </pic:spPr>
                </pic:pic>
              </a:graphicData>
            </a:graphic>
          </wp:inline>
        </w:drawing>
      </w:r>
    </w:p>
    <w:p w14:paraId="37CF0D25" w14:textId="2AA6D55E" w:rsidR="00D258D2" w:rsidRDefault="00D258D2" w:rsidP="006F3279">
      <w:pPr>
        <w:spacing w:after="240"/>
        <w:rPr>
          <w:b/>
          <w:szCs w:val="18"/>
        </w:rPr>
      </w:pPr>
      <w:r>
        <w:rPr>
          <w:b/>
          <w:szCs w:val="18"/>
        </w:rPr>
        <w:t>C</w:t>
      </w:r>
    </w:p>
    <w:p w14:paraId="73FE0157" w14:textId="77777777" w:rsidR="00D258D2" w:rsidRDefault="00D258D2" w:rsidP="006F3279">
      <w:pPr>
        <w:spacing w:after="240"/>
        <w:rPr>
          <w:b/>
          <w:szCs w:val="18"/>
        </w:rPr>
      </w:pPr>
    </w:p>
    <w:p w14:paraId="28B5A9DD" w14:textId="77777777" w:rsidR="00D258D2" w:rsidRDefault="00D258D2" w:rsidP="006F3279">
      <w:pPr>
        <w:spacing w:after="240"/>
        <w:rPr>
          <w:b/>
          <w:szCs w:val="18"/>
        </w:rPr>
      </w:pPr>
    </w:p>
    <w:p w14:paraId="4C9A48EF" w14:textId="1D5390F8" w:rsidR="00D258D2" w:rsidRPr="00D258D2" w:rsidRDefault="00D258D2" w:rsidP="006F3279">
      <w:pPr>
        <w:spacing w:after="240"/>
        <w:rPr>
          <w:b/>
          <w:szCs w:val="18"/>
        </w:rPr>
        <w:sectPr w:rsidR="00D258D2" w:rsidRPr="00D258D2" w:rsidSect="00642ECD">
          <w:headerReference w:type="default" r:id="rId10"/>
          <w:footerReference w:type="default" r:id="rId11"/>
          <w:pgSz w:w="11906" w:h="16838" w:code="9"/>
          <w:pgMar w:top="1440" w:right="1440" w:bottom="1440" w:left="1440" w:header="709" w:footer="567" w:gutter="0"/>
          <w:cols w:space="708"/>
          <w:docGrid w:linePitch="360"/>
        </w:sectPr>
      </w:pPr>
    </w:p>
    <w:p w14:paraId="55ECE35F" w14:textId="0B54F568"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D74E80">
        <w:rPr>
          <w:i/>
          <w:sz w:val="18"/>
          <w:szCs w:val="18"/>
        </w:rPr>
        <w:t>CCR: Chemical reactions</w:t>
      </w:r>
      <w:r>
        <w:rPr>
          <w:i/>
          <w:sz w:val="18"/>
          <w:szCs w:val="18"/>
        </w:rPr>
        <w:t xml:space="preserve"> Topic </w:t>
      </w:r>
      <w:r w:rsidR="00D74E80">
        <w:rPr>
          <w:i/>
          <w:sz w:val="18"/>
          <w:szCs w:val="18"/>
        </w:rPr>
        <w:t>CCR3: Energy and reactions</w:t>
      </w:r>
      <w:r w:rsidRPr="00CA4B46">
        <w:rPr>
          <w:i/>
          <w:sz w:val="18"/>
          <w:szCs w:val="18"/>
        </w:rPr>
        <w:t xml:space="preserve"> &gt; </w:t>
      </w:r>
      <w:r>
        <w:rPr>
          <w:i/>
          <w:sz w:val="18"/>
          <w:szCs w:val="18"/>
        </w:rPr>
        <w:t>Key concept</w:t>
      </w:r>
      <w:r w:rsidRPr="00CA4B46">
        <w:rPr>
          <w:i/>
          <w:sz w:val="18"/>
          <w:szCs w:val="18"/>
        </w:rPr>
        <w:t xml:space="preserve"> </w:t>
      </w:r>
      <w:r w:rsidR="00D74E80">
        <w:rPr>
          <w:i/>
          <w:sz w:val="18"/>
          <w:szCs w:val="18"/>
        </w:rPr>
        <w:t>CCR3.1: Exothermic and endothermic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279B3F8" w14:textId="77777777" w:rsidTr="001C2E59">
        <w:tc>
          <w:tcPr>
            <w:tcW w:w="12021" w:type="dxa"/>
            <w:shd w:val="clear" w:color="auto" w:fill="FABF8F" w:themeFill="accent6" w:themeFillTint="99"/>
          </w:tcPr>
          <w:p w14:paraId="7BDB9896"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6FCA4CC5" w14:textId="77777777" w:rsidTr="001C2E59">
        <w:tc>
          <w:tcPr>
            <w:tcW w:w="12021" w:type="dxa"/>
            <w:shd w:val="clear" w:color="auto" w:fill="FBD4B4" w:themeFill="accent6" w:themeFillTint="66"/>
          </w:tcPr>
          <w:p w14:paraId="01FA0624" w14:textId="7B84ED63" w:rsidR="006F3279" w:rsidRPr="00CA4B46" w:rsidRDefault="00D74E80" w:rsidP="006F3279">
            <w:pPr>
              <w:spacing w:after="60"/>
              <w:ind w:left="1304"/>
              <w:rPr>
                <w:b/>
                <w:sz w:val="40"/>
                <w:szCs w:val="40"/>
              </w:rPr>
            </w:pPr>
            <w:r>
              <w:rPr>
                <w:b/>
                <w:sz w:val="40"/>
                <w:szCs w:val="40"/>
              </w:rPr>
              <w:t>Energy change diagrams</w:t>
            </w:r>
          </w:p>
        </w:tc>
      </w:tr>
    </w:tbl>
    <w:p w14:paraId="3EF01C87" w14:textId="77777777" w:rsidR="006F3279" w:rsidRDefault="006F3279" w:rsidP="00E172C6">
      <w:pPr>
        <w:spacing w:after="180"/>
        <w:rPr>
          <w:b/>
        </w:rPr>
      </w:pPr>
    </w:p>
    <w:p w14:paraId="1C83344C"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74E80" w14:paraId="579F6E06" w14:textId="77777777" w:rsidTr="00D74E80">
        <w:trPr>
          <w:trHeight w:val="340"/>
        </w:trPr>
        <w:tc>
          <w:tcPr>
            <w:tcW w:w="2196" w:type="dxa"/>
          </w:tcPr>
          <w:p w14:paraId="707A057F" w14:textId="77777777" w:rsidR="00D74E80" w:rsidRDefault="00D74E80" w:rsidP="00D74E80">
            <w:pPr>
              <w:spacing w:before="60" w:after="60"/>
            </w:pPr>
            <w:r>
              <w:t>Learning objective:</w:t>
            </w:r>
          </w:p>
        </w:tc>
        <w:tc>
          <w:tcPr>
            <w:tcW w:w="6820" w:type="dxa"/>
          </w:tcPr>
          <w:p w14:paraId="10026626" w14:textId="22C17FC3" w:rsidR="00D74E80" w:rsidRPr="00B75483" w:rsidRDefault="00D74E80" w:rsidP="00D74E80">
            <w:pPr>
              <w:spacing w:before="60" w:after="60"/>
              <w:rPr>
                <w:highlight w:val="yellow"/>
              </w:rPr>
            </w:pPr>
            <w:r>
              <w:t>During a chemical reaction energy may be transferred to or from the surroundings.</w:t>
            </w:r>
          </w:p>
        </w:tc>
      </w:tr>
      <w:tr w:rsidR="00D74E80" w14:paraId="24743492" w14:textId="77777777" w:rsidTr="00D74E80">
        <w:trPr>
          <w:trHeight w:val="340"/>
        </w:trPr>
        <w:tc>
          <w:tcPr>
            <w:tcW w:w="2196" w:type="dxa"/>
          </w:tcPr>
          <w:p w14:paraId="1A4CBF16" w14:textId="77777777" w:rsidR="00D74E80" w:rsidRDefault="00D74E80" w:rsidP="00D74E80">
            <w:pPr>
              <w:spacing w:before="60" w:after="60"/>
            </w:pPr>
            <w:r>
              <w:t>Observable learning outcome:</w:t>
            </w:r>
          </w:p>
        </w:tc>
        <w:tc>
          <w:tcPr>
            <w:tcW w:w="6820" w:type="dxa"/>
          </w:tcPr>
          <w:p w14:paraId="1BD7CFA2" w14:textId="744F2258" w:rsidR="00D74E80" w:rsidRPr="00B75483" w:rsidRDefault="00D74E80" w:rsidP="00D74E80">
            <w:pPr>
              <w:spacing w:before="60" w:after="60"/>
              <w:rPr>
                <w:highlight w:val="yellow"/>
              </w:rPr>
            </w:pPr>
            <w:r w:rsidRPr="006320F0">
              <w:t>Recognise that the overall energy change of a chemical reaction depends on the relative amount of energy needed to separate and combine atoms during the reaction.</w:t>
            </w:r>
          </w:p>
        </w:tc>
      </w:tr>
      <w:tr w:rsidR="00D74E80" w14:paraId="40C7C350" w14:textId="77777777" w:rsidTr="00D74E80">
        <w:trPr>
          <w:trHeight w:val="340"/>
        </w:trPr>
        <w:tc>
          <w:tcPr>
            <w:tcW w:w="2196" w:type="dxa"/>
          </w:tcPr>
          <w:p w14:paraId="19119A3C" w14:textId="77777777" w:rsidR="00D74E80" w:rsidRDefault="00D74E80" w:rsidP="00D74E80">
            <w:pPr>
              <w:spacing w:before="60" w:after="60"/>
            </w:pPr>
            <w:r>
              <w:t>Activity type:</w:t>
            </w:r>
          </w:p>
        </w:tc>
        <w:tc>
          <w:tcPr>
            <w:tcW w:w="6820" w:type="dxa"/>
          </w:tcPr>
          <w:p w14:paraId="197DB7EF" w14:textId="204D7120" w:rsidR="00D74E80" w:rsidRPr="001915D4" w:rsidRDefault="00D74E80" w:rsidP="00D74E80">
            <w:pPr>
              <w:spacing w:before="60" w:after="60"/>
              <w:rPr>
                <w:highlight w:val="yellow"/>
              </w:rPr>
            </w:pPr>
            <w:r>
              <w:t xml:space="preserve">Response, </w:t>
            </w:r>
            <w:r w:rsidR="001960D0">
              <w:t>clarifying</w:t>
            </w:r>
          </w:p>
        </w:tc>
      </w:tr>
      <w:tr w:rsidR="00D74E80" w14:paraId="1883131C" w14:textId="77777777" w:rsidTr="00D74E80">
        <w:trPr>
          <w:trHeight w:val="340"/>
        </w:trPr>
        <w:tc>
          <w:tcPr>
            <w:tcW w:w="2196" w:type="dxa"/>
          </w:tcPr>
          <w:p w14:paraId="4A9CB16C" w14:textId="77777777" w:rsidR="00D74E80" w:rsidRDefault="00D74E80" w:rsidP="00D74E80">
            <w:pPr>
              <w:spacing w:before="60" w:after="60"/>
            </w:pPr>
            <w:r>
              <w:t>Key words:</w:t>
            </w:r>
          </w:p>
        </w:tc>
        <w:tc>
          <w:tcPr>
            <w:tcW w:w="6820" w:type="dxa"/>
          </w:tcPr>
          <w:p w14:paraId="1044AEED" w14:textId="728270B2" w:rsidR="00D74E80" w:rsidRPr="001C4805" w:rsidRDefault="00D74E80" w:rsidP="00D74E80">
            <w:pPr>
              <w:spacing w:before="60" w:after="60"/>
              <w:rPr>
                <w:highlight w:val="yellow"/>
              </w:rPr>
            </w:pPr>
            <w:r>
              <w:t>atom, energy change</w:t>
            </w:r>
          </w:p>
        </w:tc>
      </w:tr>
    </w:tbl>
    <w:p w14:paraId="7780D2A4" w14:textId="77777777" w:rsidR="00E172C6" w:rsidRDefault="00E172C6" w:rsidP="00E172C6">
      <w:pPr>
        <w:spacing w:after="180"/>
      </w:pPr>
    </w:p>
    <w:p w14:paraId="241DC3A2" w14:textId="65EBC33B" w:rsidR="006A320F" w:rsidRDefault="006A320F" w:rsidP="006A320F">
      <w:pPr>
        <w:spacing w:after="180"/>
      </w:pPr>
      <w:r>
        <w:t xml:space="preserve">This activity can help develop students’ understanding by addressing the </w:t>
      </w:r>
      <w:r w:rsidR="00D079EE">
        <w:t>misunderstandings</w:t>
      </w:r>
      <w:r>
        <w:t xml:space="preserve"> revealed by the following diagnostic question</w:t>
      </w:r>
      <w:r w:rsidRPr="006E0400">
        <w:t>:</w:t>
      </w:r>
    </w:p>
    <w:p w14:paraId="24E6E09D" w14:textId="64AAEAAA" w:rsidR="00456227" w:rsidRPr="00A6111E" w:rsidRDefault="001960D0" w:rsidP="00456227">
      <w:pPr>
        <w:pStyle w:val="ListParagraph"/>
        <w:numPr>
          <w:ilvl w:val="0"/>
          <w:numId w:val="1"/>
        </w:numPr>
        <w:spacing w:after="180"/>
      </w:pPr>
      <w:r>
        <w:t>Overall energy change</w:t>
      </w:r>
    </w:p>
    <w:p w14:paraId="15A1B8D5" w14:textId="77777777"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73331272" w14:textId="77777777" w:rsidTr="001C2E59">
        <w:tc>
          <w:tcPr>
            <w:tcW w:w="709" w:type="dxa"/>
            <w:shd w:val="clear" w:color="auto" w:fill="FABF8F" w:themeFill="accent6" w:themeFillTint="99"/>
            <w:tcMar>
              <w:left w:w="28" w:type="dxa"/>
              <w:bottom w:w="57" w:type="dxa"/>
              <w:right w:w="28" w:type="dxa"/>
            </w:tcMar>
            <w:vAlign w:val="center"/>
          </w:tcPr>
          <w:p w14:paraId="783C7B7F"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right w:w="113" w:type="dxa"/>
            </w:tcMar>
            <w:vAlign w:val="center"/>
          </w:tcPr>
          <w:p w14:paraId="435AB936" w14:textId="77777777" w:rsidR="00F72ECC" w:rsidRPr="001C2E59" w:rsidRDefault="00F72ECC" w:rsidP="00AD59C9">
            <w:pPr>
              <w:spacing w:after="60"/>
              <w:rPr>
                <w:color w:val="E36C0A" w:themeColor="accent6" w:themeShade="BF"/>
                <w:sz w:val="20"/>
              </w:rPr>
            </w:pPr>
            <w:r w:rsidRPr="001C2E59">
              <w:rPr>
                <w:b/>
                <w:color w:val="E36C0A" w:themeColor="accent6" w:themeShade="BF"/>
              </w:rPr>
              <w:t xml:space="preserve">BRIDGING </w:t>
            </w:r>
          </w:p>
          <w:p w14:paraId="0A80330C" w14:textId="77777777" w:rsidR="00F72ECC" w:rsidRDefault="00F72ECC" w:rsidP="00806B12">
            <w:r w:rsidRPr="00F72ECC">
              <w:rPr>
                <w:sz w:val="20"/>
              </w:rPr>
              <w:t xml:space="preserve">This activity </w:t>
            </w:r>
            <w:r w:rsidR="00806B12">
              <w:rPr>
                <w:sz w:val="20"/>
              </w:rPr>
              <w:t xml:space="preserve">explores ideas that are usually taught at age 14-16, to </w:t>
            </w:r>
            <w:r w:rsidRPr="00F72ECC">
              <w:rPr>
                <w:sz w:val="20"/>
              </w:rPr>
              <w:t xml:space="preserve">build a bridge to later </w:t>
            </w:r>
            <w:r w:rsidR="003A50A4">
              <w:rPr>
                <w:sz w:val="20"/>
              </w:rPr>
              <w:t xml:space="preserve">stages of </w:t>
            </w:r>
            <w:r w:rsidR="00806B12">
              <w:rPr>
                <w:sz w:val="20"/>
              </w:rPr>
              <w:t>learning</w:t>
            </w:r>
            <w:r w:rsidRPr="00F72ECC">
              <w:rPr>
                <w:sz w:val="20"/>
              </w:rPr>
              <w:t xml:space="preserve">. </w:t>
            </w:r>
          </w:p>
        </w:tc>
      </w:tr>
    </w:tbl>
    <w:p w14:paraId="09579D5F" w14:textId="77777777" w:rsidR="00F72ECC" w:rsidRDefault="00F72ECC" w:rsidP="00F72ECC"/>
    <w:p w14:paraId="013D0607"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1228DEE8" w14:textId="77777777" w:rsidR="00D079EE" w:rsidRDefault="00D079EE" w:rsidP="00D079EE">
      <w:pPr>
        <w:spacing w:after="180"/>
      </w:pPr>
      <w:bookmarkStart w:id="0" w:name="_Hlk4064125"/>
      <w:r>
        <w:t xml:space="preserve">Research into student misconceptions </w:t>
      </w:r>
      <w:r>
        <w:fldChar w:fldCharType="begin"/>
      </w:r>
      <w:r>
        <w:instrText xml:space="preserve"> ADDIN EN.CITE &lt;EndNote&gt;&lt;Cite&gt;&lt;Author&gt;Kind&lt;/Author&gt;&lt;Year&gt;2004&lt;/Year&gt;&lt;IDText&gt;Beyond appearances: Students&amp;apos; misconceptions about basic chemical ideas&lt;/IDText&gt;&lt;DisplayText&gt;(Kind, 2004)&lt;/DisplayText&gt;&lt;record&gt;&lt;urls&gt;&lt;related-urls&gt;&lt;url&gt;http://www.rsc.org/learn-chemistry/resource/res00002202/beyond-appearances?cmpid=CMP00007478&lt;/url&gt;&lt;/related-urls&gt;&lt;/urls&gt;&lt;titles&gt;&lt;title&gt;Beyond appearances: Students&amp;apos; misconceptions about basic chemical ideas&lt;/title&gt;&lt;/titles&gt;&lt;pages&gt;64-68&lt;/pages&gt;&lt;contributors&gt;&lt;authors&gt;&lt;author&gt;Kind, Vanessa&lt;/author&gt;&lt;/authors&gt;&lt;/contributors&gt;&lt;edition&gt;2nd&lt;/edition&gt;&lt;added-date format="utc"&gt;1551701967&lt;/added-date&gt;&lt;ref-type name="Electronic Article"&gt;43&lt;/ref-type&gt;&lt;dates&gt;&lt;year&gt;2004&lt;/year&gt;&lt;/dates&gt;&lt;rec-number&gt;47&lt;/rec-number&gt;&lt;publisher&gt;Royal Society of Chemistry&lt;/publisher&gt;&lt;last-updated-date format="utc"&gt;1551702828&lt;/last-updated-date&gt;&lt;/record&gt;&lt;/Cite&gt;&lt;/EndNote&gt;</w:instrText>
      </w:r>
      <w:r>
        <w:fldChar w:fldCharType="separate"/>
      </w:r>
      <w:r>
        <w:rPr>
          <w:noProof/>
        </w:rPr>
        <w:t>(Kind, 2004)</w:t>
      </w:r>
      <w:r>
        <w:fldChar w:fldCharType="end"/>
      </w:r>
      <w:r>
        <w:t xml:space="preserve"> found that everyday language such as “fuels contain energy” may lead to the misconception that “a fuel is an energy store” and hence the inference that energy is stored in chemical bonds. </w:t>
      </w:r>
    </w:p>
    <w:p w14:paraId="44FC26AC" w14:textId="77777777" w:rsidR="00D079EE" w:rsidRDefault="00D079EE" w:rsidP="00D079EE">
      <w:pPr>
        <w:spacing w:after="180"/>
      </w:pPr>
      <w:r>
        <w:t xml:space="preserve">As part of their research Cooper and Klymkowsky </w:t>
      </w:r>
      <w:r>
        <w:fldChar w:fldCharType="begin"/>
      </w:r>
      <w:r>
        <w:instrText xml:space="preserve"> ADDIN EN.CITE &lt;EndNote&gt;&lt;Cite ExcludeAuth="1"&gt;&lt;Author&gt;Cooper&lt;/Author&gt;&lt;Year&gt;2013&lt;/Year&gt;&lt;IDText&gt;The trouble with chemical energy: Why understanding bond energies requires an interdisciplinary systems approach&lt;/IDText&gt;&lt;DisplayText&gt;(2013)&lt;/DisplayText&gt;&lt;record&gt;&lt;titles&gt;&lt;title&gt;The trouble with chemical energy: Why understanding bond energies requires an interdisciplinary systems approach&lt;/title&gt;&lt;secondary-title&gt;CBE-Life Sciences Education&lt;/secondary-title&gt;&lt;/titles&gt;&lt;pages&gt;306-312&lt;/pages&gt;&lt;number&gt;2&lt;/number&gt;&lt;contributors&gt;&lt;authors&gt;&lt;author&gt;Cooper, Melanie M.&lt;/author&gt;&lt;author&gt;Klymkowsky, Michael W.&lt;/author&gt;&lt;/authors&gt;&lt;/contributors&gt;&lt;added-date format="utc"&gt;1549973689&lt;/added-date&gt;&lt;ref-type name="Journal Article"&gt;17&lt;/ref-type&gt;&lt;dates&gt;&lt;year&gt;2013&lt;/year&gt;&lt;/dates&gt;&lt;rec-number&gt;46&lt;/rec-number&gt;&lt;last-updated-date format="utc"&gt;1549975401&lt;/last-updated-date&gt;&lt;volume&gt;12&lt;/volume&gt;&lt;/record&gt;&lt;/Cite&gt;&lt;/EndNote&gt;</w:instrText>
      </w:r>
      <w:r>
        <w:fldChar w:fldCharType="separate"/>
      </w:r>
      <w:r>
        <w:rPr>
          <w:noProof/>
        </w:rPr>
        <w:t>(2013)</w:t>
      </w:r>
      <w:r>
        <w:fldChar w:fldCharType="end"/>
      </w:r>
      <w:r>
        <w:t xml:space="preserve"> reported on a survey of general chemistry texts which showed that the most common approach was to place the macroscopic (temperature changes) in a section on “thermochemistry”  and behaviour at atomic level (bonding) in a different section on “bonding”.  This approach, if used in teaching, does not help students move from one level of thinking about energy changes of reaction to another.</w:t>
      </w:r>
    </w:p>
    <w:bookmarkEnd w:id="0"/>
    <w:p w14:paraId="7C25CD7E"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16EB9727" w14:textId="442193ED" w:rsidR="001960D0" w:rsidRDefault="001960D0" w:rsidP="001960D0">
      <w:pPr>
        <w:spacing w:after="180"/>
      </w:pPr>
      <w:r>
        <w:t>This activity aims to support students in clarifying their understanding of the energy changes during a chemical reaction by using a diagrammatic representation. Student</w:t>
      </w:r>
      <w:r w:rsidR="00D079EE">
        <w:t>s</w:t>
      </w:r>
      <w:r>
        <w:t xml:space="preserve"> may also benefit from </w:t>
      </w:r>
      <w:r w:rsidR="00D079EE">
        <w:t>the opportunity</w:t>
      </w:r>
      <w:r>
        <w:t xml:space="preserve"> </w:t>
      </w:r>
      <w:bookmarkStart w:id="1" w:name="_GoBack"/>
      <w:bookmarkEnd w:id="1"/>
      <w:r>
        <w:t>to clarify their thinking through discussion. To support this, students should answer the question in pairs or small groups.</w:t>
      </w:r>
    </w:p>
    <w:p w14:paraId="671282D1" w14:textId="0A3A0CB7" w:rsidR="001960D0" w:rsidRDefault="001960D0" w:rsidP="001960D0">
      <w:pPr>
        <w:spacing w:after="180"/>
      </w:pPr>
      <w:r>
        <w:t xml:space="preserve">Asking students to share their answer is a useful check.  After a group has fed back, it might be helpful to model an even better answer.  You could do this, for example, by asking another group to add to, or clarify, the first observation.  </w:t>
      </w:r>
    </w:p>
    <w:p w14:paraId="4C3168FC" w14:textId="77777777" w:rsidR="001960D0" w:rsidRPr="00095A98" w:rsidRDefault="001960D0" w:rsidP="001960D0">
      <w:pPr>
        <w:spacing w:after="180"/>
        <w:rPr>
          <w:i/>
        </w:rPr>
      </w:pPr>
      <w:r w:rsidRPr="00095A98">
        <w:rPr>
          <w:i/>
        </w:rPr>
        <w:t>Differentiation</w:t>
      </w:r>
    </w:p>
    <w:p w14:paraId="1E957C51" w14:textId="4C1E6C94" w:rsidR="001960D0" w:rsidRPr="00DA3B6C" w:rsidRDefault="001960D0" w:rsidP="001960D0">
      <w:pPr>
        <w:spacing w:after="180"/>
      </w:pPr>
      <w:r>
        <w:t xml:space="preserve">If some students are working with a teaching assistant, then a list of prompt questions could help to make this activity more purposeful.  </w:t>
      </w:r>
    </w:p>
    <w:p w14:paraId="12E27419"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230B1A48" w14:textId="3FEB23E1" w:rsidR="001960D0" w:rsidRDefault="001960D0" w:rsidP="00BF6C8A">
      <w:pPr>
        <w:spacing w:after="180"/>
      </w:pPr>
      <w:r>
        <w:t>C</w:t>
      </w:r>
    </w:p>
    <w:p w14:paraId="71F42C8C"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3F5DEFB8" w14:textId="3BB6B31B" w:rsidR="00D278E8" w:rsidRDefault="00D278E8" w:rsidP="00E172C6">
      <w:pPr>
        <w:spacing w:after="180"/>
      </w:pPr>
      <w:r>
        <w:t xml:space="preserve">Developed </w:t>
      </w:r>
      <w:r w:rsidR="0015356E">
        <w:t>by</w:t>
      </w:r>
      <w:r w:rsidR="001960D0">
        <w:t xml:space="preserve"> Helen Harden</w:t>
      </w:r>
      <w:r w:rsidR="0015356E">
        <w:t xml:space="preserve"> (UYSEG)</w:t>
      </w:r>
      <w:r w:rsidR="001960D0">
        <w:t>.</w:t>
      </w:r>
    </w:p>
    <w:p w14:paraId="11C23F3D" w14:textId="0DB21B9B" w:rsidR="00CC78A5" w:rsidRDefault="00D278E8" w:rsidP="00E172C6">
      <w:pPr>
        <w:spacing w:after="180"/>
      </w:pPr>
      <w:r w:rsidRPr="0045323E">
        <w:t xml:space="preserve">Images: </w:t>
      </w:r>
      <w:r w:rsidR="001960D0">
        <w:t>Helen Harden</w:t>
      </w:r>
    </w:p>
    <w:p w14:paraId="1061641A" w14:textId="7D5F80C1" w:rsidR="001960D0" w:rsidRPr="001960D0" w:rsidRDefault="008D7667" w:rsidP="00026DEC">
      <w:pPr>
        <w:spacing w:after="180"/>
        <w:rPr>
          <w:b/>
          <w:color w:val="E36C0A" w:themeColor="accent6" w:themeShade="BF"/>
          <w:sz w:val="24"/>
        </w:rPr>
      </w:pPr>
      <w:r>
        <w:rPr>
          <w:b/>
          <w:color w:val="E36C0A" w:themeColor="accent6" w:themeShade="BF"/>
          <w:sz w:val="24"/>
        </w:rPr>
        <w:t>References</w:t>
      </w:r>
    </w:p>
    <w:p w14:paraId="4F4C700B" w14:textId="77777777" w:rsidR="001960D0" w:rsidRPr="001960D0" w:rsidRDefault="001960D0" w:rsidP="001960D0">
      <w:pPr>
        <w:pStyle w:val="EndNoteBibliography"/>
      </w:pPr>
      <w:r>
        <w:fldChar w:fldCharType="begin"/>
      </w:r>
      <w:r>
        <w:instrText xml:space="preserve"> ADDIN EN.REFLIST </w:instrText>
      </w:r>
      <w:r>
        <w:fldChar w:fldCharType="separate"/>
      </w:r>
      <w:r w:rsidRPr="001960D0">
        <w:t xml:space="preserve">Cooper, M. M. and Klymkowsky, M. W. (2013). The trouble with chemical energy: Why understanding bond energies requires an interdisciplinary systems approach. </w:t>
      </w:r>
      <w:r w:rsidRPr="001960D0">
        <w:rPr>
          <w:i/>
        </w:rPr>
        <w:t>CBE-Life Sciences Education,</w:t>
      </w:r>
      <w:r w:rsidRPr="001960D0">
        <w:t xml:space="preserve"> 12(2)</w:t>
      </w:r>
      <w:r w:rsidRPr="001960D0">
        <w:rPr>
          <w:b/>
        </w:rPr>
        <w:t>,</w:t>
      </w:r>
      <w:r w:rsidRPr="001960D0">
        <w:t xml:space="preserve"> 306-312.</w:t>
      </w:r>
    </w:p>
    <w:p w14:paraId="22158614" w14:textId="10F76161" w:rsidR="001960D0" w:rsidRPr="001960D0" w:rsidRDefault="001960D0" w:rsidP="001960D0">
      <w:pPr>
        <w:pStyle w:val="EndNoteBibliography"/>
      </w:pPr>
      <w:r w:rsidRPr="001960D0">
        <w:t xml:space="preserve">Kind, V. (2004). Beyond appearances: Students' misconceptions about basic chemical ideas. [Online]. Available at: </w:t>
      </w:r>
      <w:hyperlink r:id="rId12" w:history="1">
        <w:r w:rsidRPr="001960D0">
          <w:rPr>
            <w:rStyle w:val="Hyperlink"/>
          </w:rPr>
          <w:t>http://www.rsc.org/learn-chemistry/resource/res00002202/beyond-appearances?cmpid=CMP00007478</w:t>
        </w:r>
      </w:hyperlink>
      <w:r w:rsidRPr="001960D0">
        <w:t>.</w:t>
      </w:r>
    </w:p>
    <w:p w14:paraId="094744F0" w14:textId="59D38155" w:rsidR="005E1205" w:rsidRPr="005E1205" w:rsidRDefault="001960D0" w:rsidP="00026DEC">
      <w:pPr>
        <w:spacing w:after="180"/>
      </w:pPr>
      <w:r>
        <w:fldChar w:fldCharType="end"/>
      </w:r>
    </w:p>
    <w:sectPr w:rsidR="005E1205" w:rsidRPr="005E1205"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79E67" w14:textId="77777777" w:rsidR="006E0B65" w:rsidRDefault="006E0B65" w:rsidP="000B473B">
      <w:r>
        <w:separator/>
      </w:r>
    </w:p>
  </w:endnote>
  <w:endnote w:type="continuationSeparator" w:id="0">
    <w:p w14:paraId="1523096D" w14:textId="77777777" w:rsidR="006E0B65" w:rsidRDefault="006E0B6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AEA9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DD4BBFE" wp14:editId="653D025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8ED62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4E262926"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29057A89"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D50E0" w14:textId="77777777" w:rsidR="006E0B65" w:rsidRDefault="006E0B65" w:rsidP="000B473B">
      <w:r>
        <w:separator/>
      </w:r>
    </w:p>
  </w:footnote>
  <w:footnote w:type="continuationSeparator" w:id="0">
    <w:p w14:paraId="6953129F" w14:textId="77777777" w:rsidR="006E0B65" w:rsidRDefault="006E0B6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A841C"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FFEE969" wp14:editId="114D2CC0">
          <wp:simplePos x="0" y="0"/>
          <wp:positionH relativeFrom="column">
            <wp:posOffset>-9525</wp:posOffset>
          </wp:positionH>
          <wp:positionV relativeFrom="paragraph">
            <wp:posOffset>-177165</wp:posOffset>
          </wp:positionV>
          <wp:extent cx="867600" cy="363600"/>
          <wp:effectExtent l="0" t="0" r="0" b="0"/>
          <wp:wrapNone/>
          <wp:docPr id="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8BA7FCA" wp14:editId="05C5518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D25D1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D68FE"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08EF826" wp14:editId="37D2CD6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D1DDA95" wp14:editId="6D573F8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41149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63B78"/>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960D0"/>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E0B65"/>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63B78"/>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672E0"/>
    <w:rsid w:val="00C80257"/>
    <w:rsid w:val="00CC2E4D"/>
    <w:rsid w:val="00CC78A5"/>
    <w:rsid w:val="00CC7B16"/>
    <w:rsid w:val="00CE15FE"/>
    <w:rsid w:val="00CF6578"/>
    <w:rsid w:val="00D02E15"/>
    <w:rsid w:val="00D079EE"/>
    <w:rsid w:val="00D14F44"/>
    <w:rsid w:val="00D258D2"/>
    <w:rsid w:val="00D278E8"/>
    <w:rsid w:val="00D421E8"/>
    <w:rsid w:val="00D44604"/>
    <w:rsid w:val="00D479B3"/>
    <w:rsid w:val="00D52283"/>
    <w:rsid w:val="00D524E5"/>
    <w:rsid w:val="00D72FEF"/>
    <w:rsid w:val="00D74E80"/>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37E403"/>
  <w15:docId w15:val="{B639F08C-6502-48E8-80A8-EC679AB02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960D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960D0"/>
    <w:rPr>
      <w:rFonts w:ascii="Calibri" w:hAnsi="Calibri" w:cs="Calibri"/>
      <w:noProof/>
      <w:lang w:val="en-US"/>
    </w:rPr>
  </w:style>
  <w:style w:type="paragraph" w:customStyle="1" w:styleId="EndNoteBibliography">
    <w:name w:val="EndNote Bibliography"/>
    <w:basedOn w:val="Normal"/>
    <w:link w:val="EndNoteBibliographyChar"/>
    <w:rsid w:val="001960D0"/>
    <w:rPr>
      <w:rFonts w:ascii="Calibri" w:hAnsi="Calibri" w:cs="Calibri"/>
      <w:noProof/>
      <w:lang w:val="en-US"/>
    </w:rPr>
  </w:style>
  <w:style w:type="character" w:customStyle="1" w:styleId="EndNoteBibliographyChar">
    <w:name w:val="EndNote Bibliography Char"/>
    <w:basedOn w:val="DefaultParagraphFont"/>
    <w:link w:val="EndNoteBibliography"/>
    <w:rsid w:val="001960D0"/>
    <w:rPr>
      <w:rFonts w:ascii="Calibri" w:hAnsi="Calibri" w:cs="Calibri"/>
      <w:noProof/>
      <w:lang w:val="en-US"/>
    </w:rPr>
  </w:style>
  <w:style w:type="character" w:styleId="Hyperlink">
    <w:name w:val="Hyperlink"/>
    <w:basedOn w:val="DefaultParagraphFont"/>
    <w:uiPriority w:val="99"/>
    <w:unhideWhenUsed/>
    <w:rsid w:val="001960D0"/>
    <w:rPr>
      <w:color w:val="0000FF" w:themeColor="hyperlink"/>
      <w:u w:val="single"/>
    </w:rPr>
  </w:style>
  <w:style w:type="character" w:styleId="UnresolvedMention">
    <w:name w:val="Unresolved Mention"/>
    <w:basedOn w:val="DefaultParagraphFont"/>
    <w:uiPriority w:val="99"/>
    <w:semiHidden/>
    <w:unhideWhenUsed/>
    <w:rsid w:val="0019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rsc.org/learn-chemistry/resource/res00002202/beyond-appearances?cmpid=CMP0000747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33</TotalTime>
  <Pages>3</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3</cp:revision>
  <cp:lastPrinted>2017-02-24T16:20:00Z</cp:lastPrinted>
  <dcterms:created xsi:type="dcterms:W3CDTF">2019-03-21T12:09:00Z</dcterms:created>
  <dcterms:modified xsi:type="dcterms:W3CDTF">2019-03-29T15:12:00Z</dcterms:modified>
</cp:coreProperties>
</file>