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B63D9"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4238624</wp:posOffset>
            </wp:positionH>
            <wp:positionV relativeFrom="paragraph">
              <wp:posOffset>114300</wp:posOffset>
            </wp:positionV>
            <wp:extent cx="1501775" cy="1618909"/>
            <wp:effectExtent l="0" t="0" r="3175"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and drawin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06584" cy="1624093"/>
                    </a:xfrm>
                    <a:prstGeom prst="rect">
                      <a:avLst/>
                    </a:prstGeom>
                  </pic:spPr>
                </pic:pic>
              </a:graphicData>
            </a:graphic>
            <wp14:sizeRelH relativeFrom="margin">
              <wp14:pctWidth>0</wp14:pctWidth>
            </wp14:sizeRelH>
            <wp14:sizeRelV relativeFrom="margin">
              <wp14:pctHeight>0</wp14:pctHeight>
            </wp14:sizeRelV>
          </wp:anchor>
        </w:drawing>
      </w:r>
      <w:r w:rsidR="00FF5752" w:rsidRPr="00FF5752">
        <w:rPr>
          <w:b/>
          <w:sz w:val="44"/>
          <w:szCs w:val="44"/>
        </w:rPr>
        <w:t>What causes disease?</w:t>
      </w:r>
    </w:p>
    <w:p w:rsidR="00201AC2" w:rsidRDefault="00201AC2" w:rsidP="00201AC2">
      <w:pPr>
        <w:spacing w:after="180"/>
      </w:pPr>
    </w:p>
    <w:p w:rsidR="003B63D9" w:rsidRDefault="003B63D9" w:rsidP="003B63D9">
      <w:pPr>
        <w:spacing w:after="180"/>
        <w:ind w:right="3214"/>
      </w:pPr>
      <w:r>
        <w:t xml:space="preserve">Diseases are </w:t>
      </w:r>
      <w:r w:rsidR="00921582">
        <w:t>a</w:t>
      </w:r>
      <w:r>
        <w:t xml:space="preserve"> cause of ill health. </w:t>
      </w:r>
    </w:p>
    <w:p w:rsidR="003B63D9" w:rsidRDefault="003B63D9" w:rsidP="003B63D9">
      <w:pPr>
        <w:spacing w:after="180"/>
        <w:ind w:right="3214"/>
      </w:pPr>
    </w:p>
    <w:p w:rsidR="003B63D9" w:rsidRPr="009443F0" w:rsidRDefault="003B63D9" w:rsidP="003B63D9">
      <w:pPr>
        <w:spacing w:after="240"/>
        <w:ind w:right="3214"/>
        <w:rPr>
          <w:b/>
        </w:rPr>
      </w:pPr>
      <w:r>
        <w:t>Draw pictures of some things that you think can cause disease.</w:t>
      </w:r>
    </w:p>
    <w:p w:rsidR="003B63D9" w:rsidRDefault="003B63D9" w:rsidP="003B63D9">
      <w:pPr>
        <w:spacing w:after="240"/>
        <w:ind w:right="3214"/>
      </w:pPr>
    </w:p>
    <w:tbl>
      <w:tblPr>
        <w:tblStyle w:val="TableGrid"/>
        <w:tblW w:w="0" w:type="auto"/>
        <w:tblLook w:val="04A0" w:firstRow="1" w:lastRow="0" w:firstColumn="1" w:lastColumn="0" w:noHBand="0" w:noVBand="1"/>
      </w:tblPr>
      <w:tblGrid>
        <w:gridCol w:w="9016"/>
      </w:tblGrid>
      <w:tr w:rsidR="003B63D9" w:rsidTr="003B63D9">
        <w:trPr>
          <w:trHeight w:val="10483"/>
        </w:trPr>
        <w:tc>
          <w:tcPr>
            <w:tcW w:w="9016" w:type="dxa"/>
          </w:tcPr>
          <w:p w:rsidR="003B63D9" w:rsidRPr="00D57C98" w:rsidRDefault="003B63D9" w:rsidP="003D7CFC">
            <w:pPr>
              <w:spacing w:before="120" w:after="240"/>
              <w:jc w:val="center"/>
              <w:rPr>
                <w:b/>
                <w:szCs w:val="18"/>
              </w:rPr>
            </w:pPr>
            <w:r>
              <w:rPr>
                <w:b/>
                <w:szCs w:val="18"/>
              </w:rPr>
              <w:t>Things that can cause disease</w:t>
            </w: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p w:rsidR="003B63D9" w:rsidRDefault="003B63D9" w:rsidP="003D7CFC">
            <w:pPr>
              <w:spacing w:after="240"/>
              <w:rPr>
                <w:szCs w:val="18"/>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3B63D9" w:rsidP="006F3279">
      <w:pPr>
        <w:spacing w:after="240"/>
        <w:rPr>
          <w:i/>
          <w:sz w:val="18"/>
          <w:szCs w:val="18"/>
        </w:rPr>
      </w:pPr>
      <w:r w:rsidRPr="00240541">
        <w:rPr>
          <w:i/>
          <w:sz w:val="18"/>
          <w:szCs w:val="18"/>
        </w:rPr>
        <w:lastRenderedPageBreak/>
        <w:t>Biology &gt; Big idea BHD: Health and disease &gt; Topic BHD1: What are health and disease? &gt; Key concept BHD1.</w:t>
      </w:r>
      <w:r>
        <w:rPr>
          <w:i/>
          <w:sz w:val="18"/>
          <w:szCs w:val="18"/>
        </w:rPr>
        <w:t>2</w:t>
      </w:r>
      <w:r w:rsidRPr="00240541">
        <w:rPr>
          <w:i/>
          <w:sz w:val="18"/>
          <w:szCs w:val="18"/>
        </w:rPr>
        <w:t xml:space="preserve">: </w:t>
      </w:r>
      <w:r>
        <w:rPr>
          <w:i/>
          <w:sz w:val="18"/>
          <w:szCs w:val="18"/>
        </w:rPr>
        <w:t>Disease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F5752" w:rsidP="006F3279">
            <w:pPr>
              <w:spacing w:after="60"/>
              <w:ind w:left="1304"/>
              <w:rPr>
                <w:b/>
                <w:sz w:val="40"/>
                <w:szCs w:val="40"/>
              </w:rPr>
            </w:pPr>
            <w:r w:rsidRPr="00FF5752">
              <w:rPr>
                <w:b/>
                <w:sz w:val="40"/>
                <w:szCs w:val="40"/>
              </w:rPr>
              <w:t>What causes disease?</w:t>
            </w:r>
          </w:p>
        </w:tc>
      </w:tr>
    </w:tbl>
    <w:p w:rsidR="006F3279" w:rsidRDefault="006F3279" w:rsidP="001F0D20">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3B63D9" w:rsidP="0007651D">
            <w:pPr>
              <w:spacing w:before="60" w:after="60"/>
            </w:pPr>
            <w:r w:rsidRPr="003B63D9">
              <w:t>The good health of organisms can be compromised by infectious and non-infectious diseases, which can be caused by germs, lifestyle, environment, or information in the genome.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B63D9" w:rsidP="0007651D">
            <w:pPr>
              <w:spacing w:before="60" w:after="60"/>
              <w:rPr>
                <w:b/>
              </w:rPr>
            </w:pPr>
            <w:r w:rsidRPr="003B63D9">
              <w:t>Recall that diseases can be caused by germs, lifestyle, environment or information in the genome.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3B63D9" w:rsidP="0021607B">
            <w:pPr>
              <w:spacing w:before="60" w:after="60"/>
            </w:pPr>
            <w:r w:rsidRPr="003B63D9">
              <w:t>Drawing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3B63D9" w:rsidP="000505CA">
            <w:pPr>
              <w:spacing w:before="60" w:after="60"/>
            </w:pPr>
            <w:r>
              <w:t>Health, disease</w:t>
            </w:r>
          </w:p>
        </w:tc>
      </w:tr>
    </w:tbl>
    <w:p w:rsidR="00E172C6" w:rsidRDefault="00E172C6" w:rsidP="001F0D20"/>
    <w:p w:rsidR="00C05571" w:rsidRPr="005B372A" w:rsidRDefault="00BB44B4" w:rsidP="00C8167A">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3B63D9" w:rsidP="00C8167A">
      <w:pPr>
        <w:spacing w:after="180"/>
      </w:pPr>
      <w:r>
        <w:t xml:space="preserve">When children aged 14-15 in Turkey were asked to draw and write about disease, the major themes in their answers were names of specific diseases (most commonly measles, followed by flu, cold and cancer), causes of disease (most commonly microbes [58% of answers in which a cause was mentioned], malnutrition [15%], cigarettes and alcohol [11%] and dirty environment [9%]), consequences of disease (most commonly fatigue, being sick, death and pain) </w:t>
      </w:r>
      <w:r>
        <w:fldChar w:fldCharType="begin"/>
      </w:r>
      <w:r>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fldChar w:fldCharType="separate"/>
      </w:r>
      <w:r>
        <w:rPr>
          <w:noProof/>
        </w:rPr>
        <w:t>(Isik, Çetin and Özarslan, 2017)</w:t>
      </w:r>
      <w:r>
        <w:fldChar w:fldCharType="end"/>
      </w:r>
      <w:r>
        <w:t xml:space="preserve">. Similar results were observed when children aged 8-11 in Hungary were asked to draw and write about causes of disease </w:t>
      </w:r>
      <w:r>
        <w:fldChar w:fldCharType="begin"/>
      </w:r>
      <w:r>
        <w:instrText xml:space="preserve"> ADDIN EN.CITE &lt;EndNote&gt;&lt;Cite&gt;&lt;Author&gt;Piko&lt;/Author&gt;&lt;Year&gt;2006&lt;/Year&gt;&lt;IDText&gt;Children’s perceptions of health and illness: images and lay concepts in preadolescence&lt;/IDText&gt;&lt;DisplayText&gt;(Piko and Bak, 2006)&lt;/DisplayText&gt;&lt;record&gt;&lt;titles&gt;&lt;title&gt;Children’s perceptions of health and illness: images and lay concepts in preadolescence&lt;/title&gt;&lt;secondary-title&gt;Health Education Research, Theory and Practice&lt;/secondary-title&gt;&lt;/titles&gt;&lt;pages&gt;643-653&lt;/pages&gt;&lt;number&gt;5&lt;/number&gt;&lt;contributors&gt;&lt;authors&gt;&lt;author&gt;Piko,  Bettina F.&lt;/author&gt;&lt;author&gt;Bak,  Judit&lt;/author&gt;&lt;/authors&gt;&lt;/contributors&gt;&lt;added-date format="utc"&gt;1550398225&lt;/added-date&gt;&lt;ref-type name="Journal Article"&gt;17&lt;/ref-type&gt;&lt;dates&gt;&lt;year&gt;2006&lt;/year&gt;&lt;/dates&gt;&lt;rec-number&gt;8603&lt;/rec-number&gt;&lt;last-updated-date format="utc"&gt;1550398394&lt;/last-updated-date&gt;&lt;volume&gt;21&lt;/volume&gt;&lt;/record&gt;&lt;/Cite&gt;&lt;/EndNote&gt;</w:instrText>
      </w:r>
      <w:r>
        <w:fldChar w:fldCharType="separate"/>
      </w:r>
      <w:r>
        <w:rPr>
          <w:noProof/>
        </w:rPr>
        <w:t>(Piko and Bak, 2006)</w:t>
      </w:r>
      <w:r>
        <w:fldChar w:fldCharType="end"/>
      </w:r>
      <w:r>
        <w:t>. One student out of 81 in the Turkish study drew a “faded flower”</w:t>
      </w:r>
      <w:r w:rsidR="00EB55E0">
        <w:t xml:space="preserve"> that was said to be “sick”</w:t>
      </w:r>
      <w:r>
        <w:t>; all other answers pertained to humans. Ideas about mental health did not appear in the children’s drawings, but did appear in 17% of written answers.</w:t>
      </w:r>
    </w:p>
    <w:p w:rsidR="00E652C3" w:rsidRDefault="00E652C3" w:rsidP="00C8167A">
      <w:pPr>
        <w:spacing w:after="180"/>
      </w:pPr>
      <w:r>
        <w:t xml:space="preserve">There is evidence that children up to age 11 appreciate that environmental factors, which are not germs, can cause </w:t>
      </w:r>
      <w:r w:rsidR="00BF20F7">
        <w:t>ill health</w:t>
      </w:r>
      <w:r>
        <w:t xml:space="preserve">. </w:t>
      </w:r>
      <w:r w:rsidR="004147F8">
        <w:t xml:space="preserve">The most commonly cited factors were pollen, exhaust fumes from vehicles, and smoke from cigarettes (passive smoking); other factors mentioned included dust, “air pollution”, factories, rubbish dumps, and “polluted water” </w:t>
      </w:r>
      <w:r>
        <w:t xml:space="preserve"> </w:t>
      </w:r>
      <w:r w:rsidR="00265FF8">
        <w:fldChar w:fldCharType="begin"/>
      </w:r>
      <w:r w:rsidR="00C8167A">
        <w:instrText xml:space="preserve"> ADDIN EN.CITE &lt;EndNote&gt;&lt;Cite&gt;&lt;Author&gt;Woods&lt;/Author&gt;&lt;Year&gt;2005&lt;/Year&gt;&lt;IDText&gt;&amp;apos;Stop it, it&amp;apos;s bad for you and me&amp;apos;: experiences of and views on passive smoking among primary-school children in Liverpool&lt;/IDText&gt;&lt;DisplayText&gt;(Woods et al., 2005; Pluhar et al., 2009)&lt;/DisplayText&gt;&lt;record&gt;&lt;titles&gt;&lt;title&gt;&amp;apos;Stop it, it&amp;apos;s bad for you and me&amp;apos;: experiences of and views on passive smoking among primary-school children in Liverpool&lt;/title&gt;&lt;secondary-title&gt;Health Education Research, Theory and Practice&lt;/secondary-title&gt;&lt;/titles&gt;&lt;pages&gt;645-655&lt;/pages&gt;&lt;number&gt;6&lt;/number&gt;&lt;contributors&gt;&lt;authors&gt;&lt;author&gt;Woods,  Susan E.&lt;/author&gt;&lt;author&gt;Springett,  Jane&lt;/author&gt;&lt;author&gt;Porcellato,  Lorna&lt;/author&gt;&lt;author&gt;Dugdill,  Lindsey&lt;/author&gt;&lt;/authors&gt;&lt;/contributors&gt;&lt;added-date format="utc"&gt;1550398456&lt;/added-date&gt;&lt;ref-type name="Journal Article"&gt;17&lt;/ref-type&gt;&lt;dates&gt;&lt;year&gt;2005&lt;/year&gt;&lt;/dates&gt;&lt;rec-number&gt;8604&lt;/rec-number&gt;&lt;last-updated-date format="utc"&gt;1550398573&lt;/last-updated-date&gt;&lt;volume&gt;20&lt;/volume&gt;&lt;/record&gt;&lt;/Cite&gt;&lt;Cite&gt;&lt;Author&gt;Pluhar&lt;/Author&gt;&lt;Year&gt;2009&lt;/Year&gt;&lt;IDText&gt;&amp;quot;Air pollution is bad for my health&amp;quot;: Hungarian children&amp;apos;s knowledge of the role of environment in health and disease&lt;/IDText&gt;&lt;record&gt;&lt;titles&gt;&lt;title&gt;&amp;quot;Air pollution is bad for my health&amp;quot;: Hungarian children&amp;apos;s knowledge of the role of environment in health and disease&lt;/title&gt;&lt;secondary-title&gt;Health &amp;amp; Place&lt;/secondary-title&gt;&lt;/titles&gt;&lt;pages&gt;239-246&lt;/pages&gt;&lt;number&gt;1&lt;/number&gt;&lt;contributors&gt;&lt;authors&gt;&lt;author&gt;Pluhar, Zsuzsanna F.&lt;/author&gt;&lt;author&gt;Piko, Bettina F.&lt;/author&gt;&lt;author&gt;Kovacs, Szilvia&lt;/author&gt;&lt;author&gt;Uzzoli, Annamaria&lt;/author&gt;&lt;/authors&gt;&lt;/contributors&gt;&lt;added-date format="utc"&gt;1550397780&lt;/added-date&gt;&lt;ref-type name="Journal Article"&gt;17&lt;/ref-type&gt;&lt;dates&gt;&lt;year&gt;2009&lt;/year&gt;&lt;/dates&gt;&lt;rec-number&gt;8601&lt;/rec-number&gt;&lt;last-updated-date format="utc"&gt;1550397871&lt;/last-updated-date&gt;&lt;volume&gt;15&lt;/volume&gt;&lt;/record&gt;&lt;/Cite&gt;&lt;/EndNote&gt;</w:instrText>
      </w:r>
      <w:r w:rsidR="00265FF8">
        <w:fldChar w:fldCharType="separate"/>
      </w:r>
      <w:r w:rsidR="00C8167A">
        <w:rPr>
          <w:noProof/>
        </w:rPr>
        <w:t>(Woods et al., 2005; Pluhar et al., 2009)</w:t>
      </w:r>
      <w:r w:rsidR="00265FF8">
        <w:fldChar w:fldCharType="end"/>
      </w:r>
      <w:r>
        <w:t>.</w:t>
      </w:r>
    </w:p>
    <w:p w:rsidR="003B63D9" w:rsidRDefault="003B63D9" w:rsidP="00C8167A">
      <w:pPr>
        <w:spacing w:after="180"/>
      </w:pPr>
      <w:r>
        <w:t xml:space="preserve">Asking children to draw, discuss and write is an established technique for probing their understanding of health and disease, which has been said to enhance participation by children; the drawing aspect in particular enables children to convey personal preferences and concepts that may be beyond their current vocabulary </w: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 </w:instrText>
      </w:r>
      <w:r>
        <w:fldChar w:fldCharType="begin">
          <w:fldData xml:space="preserve">PEVuZE5vdGU+PENpdGU+PEF1dGhvcj5XZXR0b248L0F1dGhvcj48WWVhcj4xOTk4PC9ZZWFyPjxJ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</w:fldData>
        </w:fldChar>
      </w:r>
      <w:r>
        <w:instrText xml:space="preserve"> ADDIN EN.CITE.DATA </w:instrText>
      </w:r>
      <w:r>
        <w:fldChar w:fldCharType="end"/>
      </w:r>
      <w:r>
        <w:fldChar w:fldCharType="separate"/>
      </w:r>
      <w:r>
        <w:rPr>
          <w:noProof/>
        </w:rPr>
        <w:t>(Wetton and McWhirter, 1998; Backett-Milburn and McKie, 1999; Harrison, 2002)</w:t>
      </w:r>
      <w:r>
        <w:fldChar w:fldCharType="end"/>
      </w:r>
      <w:r>
        <w:t>.</w:t>
      </w:r>
    </w:p>
    <w:p w:rsidR="007A748B" w:rsidRPr="005B372A" w:rsidRDefault="007A748B" w:rsidP="00C8167A">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F474A5" w:rsidRDefault="00F474A5" w:rsidP="00C8167A">
      <w:pPr>
        <w:spacing w:after="180"/>
      </w:pPr>
      <w:r w:rsidRPr="00D57C98">
        <w:t xml:space="preserve">Students should complete </w:t>
      </w:r>
      <w:r>
        <w:t>the drawing tasks individually (the drawings will be discussed in small groups in the response activity ‘</w:t>
      </w:r>
      <w:proofErr w:type="gramStart"/>
      <w:r w:rsidRPr="00F474A5">
        <w:t>What</w:t>
      </w:r>
      <w:proofErr w:type="gramEnd"/>
      <w:r w:rsidRPr="00F474A5">
        <w:t xml:space="preserve"> would happen if…</w:t>
      </w:r>
      <w:r>
        <w:t xml:space="preserve">’). To reduce sensitivities when the drawings are shared, students could be told </w:t>
      </w:r>
      <w:r w:rsidRPr="00593786">
        <w:rPr>
          <w:b/>
        </w:rPr>
        <w:t>not</w:t>
      </w:r>
      <w:r>
        <w:t xml:space="preserve"> to put their names on their drawings.</w:t>
      </w:r>
    </w:p>
    <w:p w:rsidR="00F474A5" w:rsidRPr="00D57C98" w:rsidRDefault="00F474A5" w:rsidP="00C8167A">
      <w:pPr>
        <w:spacing w:after="180"/>
        <w:rPr>
          <w:i/>
        </w:rPr>
      </w:pPr>
      <w:r w:rsidRPr="00D57C98">
        <w:rPr>
          <w:i/>
        </w:rPr>
        <w:t>Differentiation</w:t>
      </w:r>
    </w:p>
    <w:p w:rsidR="00FD60D7" w:rsidRPr="00C54711" w:rsidRDefault="00F474A5" w:rsidP="00C8167A">
      <w:pPr>
        <w:spacing w:after="180"/>
        <w:rPr>
          <w:highlight w:val="yellow"/>
        </w:rPr>
      </w:pPr>
      <w:r>
        <w:t xml:space="preserve">In some cases it may be helpful to prompt students to think about things </w:t>
      </w:r>
      <w:r w:rsidR="00EB55E0">
        <w:t>that</w:t>
      </w:r>
      <w:r>
        <w:t xml:space="preserve"> they have been told not to do (by </w:t>
      </w:r>
      <w:r w:rsidR="00EB55E0">
        <w:t>p</w:t>
      </w:r>
      <w:r>
        <w:t xml:space="preserve">arents/teachers/TV/books) because they </w:t>
      </w:r>
      <w:r w:rsidR="00EB55E0">
        <w:t xml:space="preserve">might cause them to </w:t>
      </w:r>
      <w:r w:rsidR="00EB55E0">
        <w:t>get a disease or to get</w:t>
      </w:r>
      <w:r w:rsidR="00EB55E0">
        <w:t xml:space="preserve"> “sick”</w:t>
      </w:r>
      <w:r>
        <w:t>.</w:t>
      </w:r>
      <w:bookmarkStart w:id="0" w:name="_GoBack"/>
      <w:bookmarkEnd w:id="0"/>
    </w:p>
    <w:p w:rsidR="00F474A5" w:rsidRPr="00F26884" w:rsidRDefault="00F474A5" w:rsidP="00C8167A">
      <w:pPr>
        <w:spacing w:after="120"/>
        <w:rPr>
          <w:b/>
          <w:color w:val="76923C" w:themeColor="accent3" w:themeShade="BF"/>
          <w:sz w:val="24"/>
        </w:rPr>
      </w:pPr>
      <w:r w:rsidRPr="00D57C98">
        <w:rPr>
          <w:b/>
          <w:color w:val="538135"/>
          <w:sz w:val="24"/>
        </w:rPr>
        <w:lastRenderedPageBreak/>
        <w:t>Equipment</w:t>
      </w:r>
    </w:p>
    <w:p w:rsidR="00F474A5" w:rsidRDefault="00F474A5" w:rsidP="00C8167A">
      <w:pPr>
        <w:spacing w:after="120"/>
      </w:pPr>
      <w:r w:rsidRPr="00C57FA2">
        <w:t>For each student:</w:t>
      </w:r>
    </w:p>
    <w:p w:rsidR="00F474A5" w:rsidRDefault="00F474A5" w:rsidP="00C8167A">
      <w:pPr>
        <w:pStyle w:val="ListParagraph"/>
        <w:numPr>
          <w:ilvl w:val="0"/>
          <w:numId w:val="1"/>
        </w:numPr>
        <w:spacing w:after="120"/>
      </w:pPr>
      <w:r>
        <w:t>pencils, pens or crayons</w:t>
      </w:r>
    </w:p>
    <w:p w:rsidR="00F474A5" w:rsidRDefault="00F474A5" w:rsidP="00C8167A">
      <w:pPr>
        <w:pStyle w:val="ListParagraph"/>
        <w:numPr>
          <w:ilvl w:val="0"/>
          <w:numId w:val="1"/>
        </w:numPr>
        <w:spacing w:after="180"/>
        <w:ind w:left="714" w:hanging="357"/>
      </w:pPr>
      <w:r>
        <w:t>paper (if not drawing on the student worksheet)</w:t>
      </w:r>
    </w:p>
    <w:p w:rsidR="00E172C6" w:rsidRPr="005B372A" w:rsidRDefault="00BB44B4" w:rsidP="00C8167A">
      <w:pPr>
        <w:spacing w:after="120"/>
        <w:rPr>
          <w:b/>
          <w:color w:val="538135"/>
          <w:sz w:val="24"/>
        </w:rPr>
      </w:pPr>
      <w:r w:rsidRPr="005B372A">
        <w:rPr>
          <w:b/>
          <w:color w:val="538135"/>
          <w:sz w:val="24"/>
        </w:rPr>
        <w:t>Expected answers</w:t>
      </w:r>
    </w:p>
    <w:p w:rsidR="00BF6C8A" w:rsidRDefault="00F474A5" w:rsidP="00C8167A">
      <w:r>
        <w:t xml:space="preserve">There is likely to be a wide range of depictions, but in the study by </w:t>
      </w:r>
      <w:proofErr w:type="spellStart"/>
      <w:r w:rsidR="00260F11" w:rsidRPr="00260F11">
        <w:t>Isik</w:t>
      </w:r>
      <w:proofErr w:type="spellEnd"/>
      <w:r w:rsidR="00260F11" w:rsidRPr="00260F11">
        <w:t xml:space="preserve">, </w:t>
      </w:r>
      <w:proofErr w:type="spellStart"/>
      <w:r w:rsidR="00260F11" w:rsidRPr="00260F11">
        <w:t>Çetin</w:t>
      </w:r>
      <w:proofErr w:type="spellEnd"/>
      <w:r w:rsidR="00260F11" w:rsidRPr="00260F11">
        <w:t xml:space="preserve"> and </w:t>
      </w:r>
      <w:proofErr w:type="spellStart"/>
      <w:r w:rsidR="00260F11" w:rsidRPr="00260F11">
        <w:t>Özarslan</w:t>
      </w:r>
      <w:proofErr w:type="spellEnd"/>
      <w:r w:rsidR="00260F11">
        <w:t xml:space="preserve"> (</w:t>
      </w:r>
      <w:r w:rsidR="00260F11" w:rsidRPr="00260F11">
        <w:t>2017</w:t>
      </w:r>
      <w:r w:rsidR="00260F11">
        <w:t>)</w:t>
      </w:r>
      <w:r>
        <w:t xml:space="preserve"> most drawings on the theme of ‘causes of disease’ related to microbes. Fewer drawings related to diet or malnutrition, cigarettes or alcohol, or dirty environment.</w:t>
      </w:r>
      <w:r w:rsidR="00260F11">
        <w:t xml:space="preserve"> It was not reported that any drawings depicted genes or the genome as a cause of disease.</w:t>
      </w:r>
    </w:p>
    <w:p w:rsidR="001F0D20" w:rsidRDefault="001F0D20" w:rsidP="00C8167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0"/>
        <w:gridCol w:w="4536"/>
      </w:tblGrid>
      <w:tr w:rsidR="000045F4" w:rsidTr="000045F4">
        <w:tc>
          <w:tcPr>
            <w:tcW w:w="9016" w:type="dxa"/>
            <w:gridSpan w:val="2"/>
          </w:tcPr>
          <w:p w:rsidR="000045F4" w:rsidRDefault="000045F4" w:rsidP="000045F4">
            <w:pPr>
              <w:spacing w:after="180"/>
              <w:jc w:val="center"/>
            </w:pPr>
            <w:r>
              <w:rPr>
                <w:noProof/>
                <w:lang w:eastAsia="en-GB"/>
              </w:rPr>
              <w:drawing>
                <wp:inline distT="0" distB="0" distL="0" distR="0">
                  <wp:extent cx="4495800" cy="95833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isease_example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42231" cy="968231"/>
                          </a:xfrm>
                          <a:prstGeom prst="rect">
                            <a:avLst/>
                          </a:prstGeom>
                        </pic:spPr>
                      </pic:pic>
                    </a:graphicData>
                  </a:graphic>
                </wp:inline>
              </w:drawing>
            </w:r>
          </w:p>
          <w:p w:rsidR="000045F4" w:rsidRDefault="000045F4" w:rsidP="000045F4">
            <w:pPr>
              <w:spacing w:after="180"/>
              <w:jc w:val="center"/>
              <w:rPr>
                <w:i/>
              </w:rPr>
            </w:pPr>
            <w:r w:rsidRPr="000045F4">
              <w:rPr>
                <w:i/>
              </w:rPr>
              <w:t xml:space="preserve">Example 1: A boy with fever. “Illness is the result of germs and bacteria getting into the body somehow” (from </w:t>
            </w:r>
            <w:proofErr w:type="spellStart"/>
            <w:r w:rsidRPr="000045F4">
              <w:rPr>
                <w:i/>
              </w:rPr>
              <w:t>Isik</w:t>
            </w:r>
            <w:proofErr w:type="spellEnd"/>
            <w:r w:rsidRPr="000045F4">
              <w:rPr>
                <w:i/>
              </w:rPr>
              <w:t xml:space="preserve">, </w:t>
            </w:r>
            <w:proofErr w:type="spellStart"/>
            <w:r w:rsidRPr="000045F4">
              <w:rPr>
                <w:i/>
              </w:rPr>
              <w:t>Çetin</w:t>
            </w:r>
            <w:proofErr w:type="spellEnd"/>
            <w:r w:rsidRPr="000045F4">
              <w:rPr>
                <w:i/>
              </w:rPr>
              <w:t xml:space="preserve"> and </w:t>
            </w:r>
            <w:proofErr w:type="spellStart"/>
            <w:r w:rsidRPr="000045F4">
              <w:rPr>
                <w:i/>
              </w:rPr>
              <w:t>Özarslan</w:t>
            </w:r>
            <w:proofErr w:type="spellEnd"/>
            <w:r w:rsidRPr="000045F4">
              <w:rPr>
                <w:i/>
              </w:rPr>
              <w:t>, 2017)</w:t>
            </w:r>
          </w:p>
          <w:p w:rsidR="000045F4" w:rsidRDefault="000045F4" w:rsidP="000045F4">
            <w:pPr>
              <w:spacing w:after="180"/>
              <w:jc w:val="center"/>
              <w:rPr>
                <w:i/>
              </w:rPr>
            </w:pPr>
          </w:p>
          <w:p w:rsidR="001F0D20" w:rsidRPr="000045F4" w:rsidRDefault="001F0D20" w:rsidP="000045F4">
            <w:pPr>
              <w:spacing w:after="180"/>
              <w:jc w:val="center"/>
              <w:rPr>
                <w:i/>
              </w:rPr>
            </w:pPr>
          </w:p>
        </w:tc>
      </w:tr>
      <w:tr w:rsidR="000045F4" w:rsidTr="000045F4">
        <w:tc>
          <w:tcPr>
            <w:tcW w:w="9016" w:type="dxa"/>
            <w:gridSpan w:val="2"/>
          </w:tcPr>
          <w:p w:rsidR="000045F4" w:rsidRDefault="000045F4" w:rsidP="000045F4">
            <w:pPr>
              <w:spacing w:after="180"/>
              <w:jc w:val="center"/>
            </w:pPr>
            <w:r>
              <w:rPr>
                <w:noProof/>
                <w:lang w:eastAsia="en-GB"/>
              </w:rPr>
              <w:drawing>
                <wp:inline distT="0" distB="0" distL="0" distR="0">
                  <wp:extent cx="4496400" cy="1024717"/>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isease_example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96400" cy="1024717"/>
                          </a:xfrm>
                          <a:prstGeom prst="rect">
                            <a:avLst/>
                          </a:prstGeom>
                        </pic:spPr>
                      </pic:pic>
                    </a:graphicData>
                  </a:graphic>
                </wp:inline>
              </w:drawing>
            </w:r>
          </w:p>
          <w:p w:rsidR="000045F4" w:rsidRDefault="000045F4" w:rsidP="000045F4">
            <w:pPr>
              <w:spacing w:after="180"/>
              <w:jc w:val="center"/>
              <w:rPr>
                <w:i/>
              </w:rPr>
            </w:pPr>
            <w:r w:rsidRPr="000045F4">
              <w:rPr>
                <w:i/>
              </w:rPr>
              <w:t xml:space="preserve">Example </w:t>
            </w:r>
            <w:r>
              <w:rPr>
                <w:i/>
              </w:rPr>
              <w:t>2</w:t>
            </w:r>
            <w:r w:rsidRPr="000045F4">
              <w:rPr>
                <w:i/>
              </w:rPr>
              <w:t xml:space="preserve">: A </w:t>
            </w:r>
            <w:r>
              <w:rPr>
                <w:i/>
              </w:rPr>
              <w:t>girl</w:t>
            </w:r>
            <w:r w:rsidRPr="000045F4">
              <w:rPr>
                <w:i/>
              </w:rPr>
              <w:t xml:space="preserve"> with </w:t>
            </w:r>
            <w:r>
              <w:rPr>
                <w:i/>
              </w:rPr>
              <w:t>measles</w:t>
            </w:r>
            <w:r w:rsidRPr="000045F4">
              <w:rPr>
                <w:i/>
              </w:rPr>
              <w:t xml:space="preserve">. </w:t>
            </w:r>
            <w:r>
              <w:rPr>
                <w:i/>
              </w:rPr>
              <w:t>The text refers to “catching an infection” and “when you eat unhealthy food” as causes of disease</w:t>
            </w:r>
            <w:r w:rsidRPr="000045F4">
              <w:rPr>
                <w:i/>
              </w:rPr>
              <w:t xml:space="preserve"> (from </w:t>
            </w:r>
            <w:proofErr w:type="spellStart"/>
            <w:r w:rsidRPr="000045F4">
              <w:rPr>
                <w:i/>
              </w:rPr>
              <w:t>Isik</w:t>
            </w:r>
            <w:proofErr w:type="spellEnd"/>
            <w:r w:rsidRPr="000045F4">
              <w:rPr>
                <w:i/>
              </w:rPr>
              <w:t xml:space="preserve">, </w:t>
            </w:r>
            <w:proofErr w:type="spellStart"/>
            <w:r w:rsidRPr="000045F4">
              <w:rPr>
                <w:i/>
              </w:rPr>
              <w:t>Çetin</w:t>
            </w:r>
            <w:proofErr w:type="spellEnd"/>
            <w:r w:rsidRPr="000045F4">
              <w:rPr>
                <w:i/>
              </w:rPr>
              <w:t xml:space="preserve"> and </w:t>
            </w:r>
            <w:proofErr w:type="spellStart"/>
            <w:r w:rsidRPr="000045F4">
              <w:rPr>
                <w:i/>
              </w:rPr>
              <w:t>Özarslan</w:t>
            </w:r>
            <w:proofErr w:type="spellEnd"/>
            <w:r w:rsidRPr="000045F4">
              <w:rPr>
                <w:i/>
              </w:rPr>
              <w:t>, 2017)</w:t>
            </w:r>
          </w:p>
          <w:p w:rsidR="000045F4" w:rsidRDefault="000045F4" w:rsidP="000045F4">
            <w:pPr>
              <w:spacing w:after="180"/>
              <w:jc w:val="center"/>
            </w:pPr>
          </w:p>
          <w:p w:rsidR="001F0D20" w:rsidRDefault="001F0D20" w:rsidP="000045F4">
            <w:pPr>
              <w:spacing w:after="180"/>
              <w:jc w:val="center"/>
            </w:pPr>
          </w:p>
        </w:tc>
      </w:tr>
      <w:tr w:rsidR="000045F4" w:rsidTr="000045F4">
        <w:tc>
          <w:tcPr>
            <w:tcW w:w="4508" w:type="dxa"/>
          </w:tcPr>
          <w:p w:rsidR="000045F4" w:rsidRDefault="000045F4" w:rsidP="000045F4">
            <w:pPr>
              <w:spacing w:after="180"/>
              <w:jc w:val="center"/>
            </w:pPr>
            <w:r>
              <w:rPr>
                <w:noProof/>
                <w:lang w:eastAsia="en-GB"/>
              </w:rPr>
              <w:drawing>
                <wp:inline distT="0" distB="0" distL="0" distR="0">
                  <wp:extent cx="2520000" cy="1596986"/>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isease_example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20000" cy="1596986"/>
                          </a:xfrm>
                          <a:prstGeom prst="rect">
                            <a:avLst/>
                          </a:prstGeom>
                        </pic:spPr>
                      </pic:pic>
                    </a:graphicData>
                  </a:graphic>
                </wp:inline>
              </w:drawing>
            </w:r>
          </w:p>
        </w:tc>
        <w:tc>
          <w:tcPr>
            <w:tcW w:w="4508" w:type="dxa"/>
          </w:tcPr>
          <w:p w:rsidR="000045F4" w:rsidRDefault="000045F4" w:rsidP="000045F4">
            <w:pPr>
              <w:spacing w:after="180"/>
              <w:jc w:val="center"/>
            </w:pPr>
            <w:r>
              <w:rPr>
                <w:noProof/>
                <w:lang w:eastAsia="en-GB"/>
              </w:rPr>
              <w:drawing>
                <wp:inline distT="0" distB="0" distL="0" distR="0">
                  <wp:extent cx="2736000" cy="1572304"/>
                  <wp:effectExtent l="0" t="0" r="762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isease_example4.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36000" cy="1572304"/>
                          </a:xfrm>
                          <a:prstGeom prst="rect">
                            <a:avLst/>
                          </a:prstGeom>
                        </pic:spPr>
                      </pic:pic>
                    </a:graphicData>
                  </a:graphic>
                </wp:inline>
              </w:drawing>
            </w:r>
          </w:p>
        </w:tc>
      </w:tr>
      <w:tr w:rsidR="000045F4" w:rsidTr="000045F4">
        <w:tc>
          <w:tcPr>
            <w:tcW w:w="4508" w:type="dxa"/>
          </w:tcPr>
          <w:p w:rsidR="000045F4" w:rsidRPr="000045F4" w:rsidRDefault="000045F4" w:rsidP="000045F4">
            <w:pPr>
              <w:spacing w:after="180"/>
              <w:jc w:val="center"/>
              <w:rPr>
                <w:i/>
                <w:noProof/>
                <w:lang w:eastAsia="en-GB"/>
              </w:rPr>
            </w:pPr>
            <w:r w:rsidRPr="000045F4">
              <w:rPr>
                <w:i/>
                <w:noProof/>
                <w:lang w:eastAsia="en-GB"/>
              </w:rPr>
              <w:t xml:space="preserve">Example 3: </w:t>
            </w:r>
            <w:r>
              <w:rPr>
                <w:i/>
                <w:noProof/>
                <w:lang w:eastAsia="en-GB"/>
              </w:rPr>
              <w:t xml:space="preserve">Transmission of bacteria from a person who is ill, and air pollution from road vehicles (from </w:t>
            </w:r>
            <w:r w:rsidRPr="000045F4">
              <w:rPr>
                <w:i/>
                <w:noProof/>
                <w:lang w:eastAsia="en-GB"/>
              </w:rPr>
              <w:t>Piko and Bak, 2006</w:t>
            </w:r>
            <w:r>
              <w:rPr>
                <w:i/>
                <w:noProof/>
                <w:lang w:eastAsia="en-GB"/>
              </w:rPr>
              <w:t>)</w:t>
            </w:r>
          </w:p>
        </w:tc>
        <w:tc>
          <w:tcPr>
            <w:tcW w:w="4508" w:type="dxa"/>
          </w:tcPr>
          <w:p w:rsidR="000045F4" w:rsidRDefault="000045F4" w:rsidP="000045F4">
            <w:pPr>
              <w:spacing w:after="180"/>
              <w:jc w:val="center"/>
              <w:rPr>
                <w:noProof/>
                <w:lang w:eastAsia="en-GB"/>
              </w:rPr>
            </w:pPr>
            <w:r w:rsidRPr="000045F4">
              <w:rPr>
                <w:i/>
              </w:rPr>
              <w:t xml:space="preserve">Example </w:t>
            </w:r>
            <w:r>
              <w:rPr>
                <w:i/>
              </w:rPr>
              <w:t>4</w:t>
            </w:r>
            <w:r w:rsidRPr="000045F4">
              <w:rPr>
                <w:i/>
              </w:rPr>
              <w:t xml:space="preserve">: </w:t>
            </w:r>
            <w:r>
              <w:rPr>
                <w:i/>
              </w:rPr>
              <w:t>Dirty environment</w:t>
            </w:r>
            <w:r w:rsidRPr="000045F4">
              <w:rPr>
                <w:i/>
              </w:rPr>
              <w:t xml:space="preserve">. </w:t>
            </w:r>
            <w:r>
              <w:rPr>
                <w:i/>
              </w:rPr>
              <w:t>“Dirty tree, garbage, garbage, garbage”</w:t>
            </w:r>
            <w:r w:rsidRPr="000045F4">
              <w:rPr>
                <w:i/>
              </w:rPr>
              <w:t xml:space="preserve"> (from </w:t>
            </w:r>
            <w:proofErr w:type="spellStart"/>
            <w:r w:rsidRPr="000045F4">
              <w:rPr>
                <w:i/>
              </w:rPr>
              <w:t>Isik</w:t>
            </w:r>
            <w:proofErr w:type="spellEnd"/>
            <w:r w:rsidRPr="000045F4">
              <w:rPr>
                <w:i/>
              </w:rPr>
              <w:t xml:space="preserve">, </w:t>
            </w:r>
            <w:proofErr w:type="spellStart"/>
            <w:r w:rsidRPr="000045F4">
              <w:rPr>
                <w:i/>
              </w:rPr>
              <w:t>Çetin</w:t>
            </w:r>
            <w:proofErr w:type="spellEnd"/>
            <w:r w:rsidRPr="000045F4">
              <w:rPr>
                <w:i/>
              </w:rPr>
              <w:t xml:space="preserve"> and </w:t>
            </w:r>
            <w:proofErr w:type="spellStart"/>
            <w:r w:rsidRPr="000045F4">
              <w:rPr>
                <w:i/>
              </w:rPr>
              <w:t>Özarslan</w:t>
            </w:r>
            <w:proofErr w:type="spellEnd"/>
            <w:r w:rsidRPr="000045F4">
              <w:rPr>
                <w:i/>
              </w:rPr>
              <w:t>, 2017)</w:t>
            </w:r>
          </w:p>
        </w:tc>
      </w:tr>
    </w:tbl>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F474A5" w:rsidRDefault="00F474A5" w:rsidP="00F474A5">
      <w:pPr>
        <w:spacing w:after="180"/>
        <w:rPr>
          <w:highlight w:val="yellow"/>
        </w:rPr>
      </w:pPr>
      <w:r w:rsidRPr="00BD6BC9">
        <w:t>Asking children to draw, discuss and write is an established technique for probing their understanding of health and disease (</w:t>
      </w:r>
      <w:proofErr w:type="spellStart"/>
      <w:r w:rsidRPr="00BD6BC9">
        <w:t>Wetton</w:t>
      </w:r>
      <w:proofErr w:type="spellEnd"/>
      <w:r w:rsidRPr="00BD6BC9">
        <w:t xml:space="preserve"> and </w:t>
      </w:r>
      <w:proofErr w:type="spellStart"/>
      <w:r w:rsidRPr="00BD6BC9">
        <w:t>McWhirter</w:t>
      </w:r>
      <w:proofErr w:type="spellEnd"/>
      <w:r w:rsidRPr="00BD6BC9">
        <w:t>, 1998; Harrison, 2002).</w:t>
      </w:r>
      <w:r>
        <w:t xml:space="preserve"> Thus, the drawings that students have produced could be used as the basis for small group discussions, which give students the opportunity to explore their thinking and </w:t>
      </w:r>
      <w:r w:rsidRPr="003F560D">
        <w:t xml:space="preserve">encourage social construction of new ideas </w:t>
      </w:r>
      <w:r>
        <w:t xml:space="preserve">(meaning making) </w:t>
      </w:r>
      <w:r w:rsidRPr="003F560D">
        <w:t>through dialogue.</w:t>
      </w:r>
    </w:p>
    <w:p w:rsidR="00F474A5" w:rsidRPr="00FB0C5D" w:rsidRDefault="00F474A5" w:rsidP="00F474A5">
      <w:pPr>
        <w:spacing w:after="180"/>
      </w:pPr>
      <w:r w:rsidRPr="00FB0C5D">
        <w:t>The following BEST ‘response activity’ describes just such a small group discussion activity and could be used in follow-up to this diagnostic question:</w:t>
      </w:r>
    </w:p>
    <w:p w:rsidR="00F474A5" w:rsidRPr="00FB0C5D" w:rsidRDefault="00F474A5" w:rsidP="00F474A5">
      <w:pPr>
        <w:pStyle w:val="ListParagraph"/>
        <w:numPr>
          <w:ilvl w:val="0"/>
          <w:numId w:val="1"/>
        </w:numPr>
        <w:spacing w:after="180"/>
      </w:pPr>
      <w:r w:rsidRPr="00FB0C5D">
        <w:t xml:space="preserve">Response activity: </w:t>
      </w:r>
      <w:r w:rsidRPr="00F474A5">
        <w:t>What would happen if…</w:t>
      </w:r>
    </w:p>
    <w:p w:rsidR="003117F6" w:rsidRPr="005B372A" w:rsidRDefault="00CC78A5" w:rsidP="00026DEC">
      <w:pPr>
        <w:spacing w:after="180"/>
        <w:rPr>
          <w:b/>
          <w:color w:val="538135"/>
          <w:sz w:val="24"/>
        </w:rPr>
      </w:pPr>
      <w:r w:rsidRPr="005B372A">
        <w:rPr>
          <w:b/>
          <w:color w:val="538135"/>
          <w:sz w:val="24"/>
        </w:rPr>
        <w:t>Acknowledgments</w:t>
      </w:r>
    </w:p>
    <w:p w:rsidR="00D278E8" w:rsidRDefault="003B63D9" w:rsidP="00E172C6">
      <w:pPr>
        <w:spacing w:after="180"/>
      </w:pPr>
      <w:r w:rsidRPr="00242827">
        <w:t xml:space="preserve">Developed by Alistair Moore (UYSEG), from techniques described by </w:t>
      </w:r>
      <w:proofErr w:type="spellStart"/>
      <w:r w:rsidRPr="00242827">
        <w:t>Wetton</w:t>
      </w:r>
      <w:proofErr w:type="spellEnd"/>
      <w:r w:rsidRPr="00242827">
        <w:t xml:space="preserve"> and </w:t>
      </w:r>
      <w:proofErr w:type="spellStart"/>
      <w:r w:rsidRPr="00242827">
        <w:t>McWhirter</w:t>
      </w:r>
      <w:proofErr w:type="spellEnd"/>
      <w:r w:rsidRPr="00242827">
        <w:t xml:space="preserve"> (1998), Harrison (2002)</w:t>
      </w:r>
      <w:r>
        <w:t xml:space="preserve">, </w:t>
      </w:r>
      <w:proofErr w:type="spellStart"/>
      <w:r w:rsidRPr="003B63D9">
        <w:t>Isik</w:t>
      </w:r>
      <w:proofErr w:type="spellEnd"/>
      <w:r w:rsidRPr="003B63D9">
        <w:t xml:space="preserve">, </w:t>
      </w:r>
      <w:proofErr w:type="spellStart"/>
      <w:r w:rsidRPr="003B63D9">
        <w:t>Çetin</w:t>
      </w:r>
      <w:proofErr w:type="spellEnd"/>
      <w:r w:rsidRPr="003B63D9">
        <w:t xml:space="preserve"> and </w:t>
      </w:r>
      <w:proofErr w:type="spellStart"/>
      <w:r w:rsidRPr="003B63D9">
        <w:t>Özarslan</w:t>
      </w:r>
      <w:proofErr w:type="spellEnd"/>
      <w:r>
        <w:t xml:space="preserve"> (</w:t>
      </w:r>
      <w:r w:rsidRPr="003B63D9">
        <w:t>2017)</w:t>
      </w:r>
      <w:r>
        <w:t xml:space="preserve">, and </w:t>
      </w:r>
      <w:proofErr w:type="spellStart"/>
      <w:r w:rsidRPr="003B63D9">
        <w:t>Piko</w:t>
      </w:r>
      <w:proofErr w:type="spellEnd"/>
      <w:r w:rsidRPr="003B63D9">
        <w:t xml:space="preserve"> and </w:t>
      </w:r>
      <w:proofErr w:type="spellStart"/>
      <w:r w:rsidRPr="003B63D9">
        <w:t>Bak</w:t>
      </w:r>
      <w:proofErr w:type="spellEnd"/>
      <w:r>
        <w:t xml:space="preserve"> (</w:t>
      </w:r>
      <w:r w:rsidRPr="003B63D9">
        <w:t>2006)</w:t>
      </w:r>
      <w:r>
        <w:t>.</w:t>
      </w:r>
    </w:p>
    <w:p w:rsidR="003B63D9" w:rsidRPr="00242827" w:rsidRDefault="003B63D9" w:rsidP="003B63D9">
      <w:pPr>
        <w:spacing w:after="180"/>
      </w:pPr>
      <w:r w:rsidRPr="00242827">
        <w:t>Images: hand holding pencil - pixabay.com/</w:t>
      </w:r>
      <w:proofErr w:type="spellStart"/>
      <w:r w:rsidRPr="00242827">
        <w:t>HeatherPaque</w:t>
      </w:r>
      <w:proofErr w:type="spellEnd"/>
      <w:r w:rsidRPr="00242827">
        <w:t xml:space="preserve"> (1515895)</w:t>
      </w:r>
    </w:p>
    <w:p w:rsidR="00B46FF9" w:rsidRDefault="003117F6" w:rsidP="00E24309">
      <w:pPr>
        <w:spacing w:after="180"/>
        <w:rPr>
          <w:b/>
          <w:color w:val="538135"/>
          <w:sz w:val="24"/>
        </w:rPr>
      </w:pPr>
      <w:r w:rsidRPr="005B372A">
        <w:rPr>
          <w:b/>
          <w:color w:val="538135"/>
          <w:sz w:val="24"/>
        </w:rPr>
        <w:t>References</w:t>
      </w:r>
    </w:p>
    <w:p w:rsidR="00C8167A" w:rsidRPr="00C8167A" w:rsidRDefault="003B63D9" w:rsidP="00C8167A">
      <w:pPr>
        <w:pStyle w:val="EndNoteBibliography"/>
        <w:spacing w:after="120"/>
        <w:rPr>
          <w:sz w:val="20"/>
          <w:szCs w:val="20"/>
        </w:rPr>
      </w:pPr>
      <w:r w:rsidRPr="00C8167A">
        <w:rPr>
          <w:sz w:val="20"/>
          <w:szCs w:val="20"/>
        </w:rPr>
        <w:fldChar w:fldCharType="begin"/>
      </w:r>
      <w:r w:rsidRPr="00C8167A">
        <w:rPr>
          <w:sz w:val="20"/>
          <w:szCs w:val="20"/>
        </w:rPr>
        <w:instrText xml:space="preserve"> ADDIN EN.REFLIST </w:instrText>
      </w:r>
      <w:r w:rsidRPr="00C8167A">
        <w:rPr>
          <w:sz w:val="20"/>
          <w:szCs w:val="20"/>
        </w:rPr>
        <w:fldChar w:fldCharType="separate"/>
      </w:r>
      <w:r w:rsidR="00C8167A" w:rsidRPr="00C8167A">
        <w:rPr>
          <w:sz w:val="20"/>
          <w:szCs w:val="20"/>
        </w:rPr>
        <w:t xml:space="preserve">Backett-Milburn, K. and McKie, L. (1999). A critical appraisal of the draw and write technique. </w:t>
      </w:r>
      <w:r w:rsidR="00C8167A" w:rsidRPr="00C8167A">
        <w:rPr>
          <w:i/>
          <w:sz w:val="20"/>
          <w:szCs w:val="20"/>
        </w:rPr>
        <w:t>Health Education Research,</w:t>
      </w:r>
      <w:r w:rsidR="00C8167A" w:rsidRPr="00C8167A">
        <w:rPr>
          <w:sz w:val="20"/>
          <w:szCs w:val="20"/>
        </w:rPr>
        <w:t xml:space="preserve"> 14(3)</w:t>
      </w:r>
      <w:r w:rsidR="00C8167A" w:rsidRPr="00C8167A">
        <w:rPr>
          <w:b/>
          <w:sz w:val="20"/>
          <w:szCs w:val="20"/>
        </w:rPr>
        <w:t>,</w:t>
      </w:r>
      <w:r w:rsidR="00C8167A" w:rsidRPr="00C8167A">
        <w:rPr>
          <w:sz w:val="20"/>
          <w:szCs w:val="20"/>
        </w:rPr>
        <w:t xml:space="preserve"> 387-398.</w:t>
      </w:r>
    </w:p>
    <w:p w:rsidR="00C8167A" w:rsidRPr="00C8167A" w:rsidRDefault="00C8167A" w:rsidP="00C8167A">
      <w:pPr>
        <w:pStyle w:val="EndNoteBibliography"/>
        <w:spacing w:after="120"/>
        <w:rPr>
          <w:sz w:val="20"/>
          <w:szCs w:val="20"/>
        </w:rPr>
      </w:pPr>
      <w:r w:rsidRPr="00C8167A">
        <w:rPr>
          <w:sz w:val="20"/>
          <w:szCs w:val="20"/>
        </w:rPr>
        <w:t xml:space="preserve">Harrison, B. (2002). Seeing health and illness worlds – using visual methodologies in a sociology of health and illness: a methodological review. </w:t>
      </w:r>
      <w:r w:rsidRPr="00C8167A">
        <w:rPr>
          <w:i/>
          <w:sz w:val="20"/>
          <w:szCs w:val="20"/>
        </w:rPr>
        <w:t>Sociology of Health Illness,</w:t>
      </w:r>
      <w:r w:rsidRPr="00C8167A">
        <w:rPr>
          <w:sz w:val="20"/>
          <w:szCs w:val="20"/>
        </w:rPr>
        <w:t xml:space="preserve"> 24(6)</w:t>
      </w:r>
      <w:r w:rsidRPr="00C8167A">
        <w:rPr>
          <w:b/>
          <w:sz w:val="20"/>
          <w:szCs w:val="20"/>
        </w:rPr>
        <w:t>,</w:t>
      </w:r>
      <w:r w:rsidRPr="00C8167A">
        <w:rPr>
          <w:sz w:val="20"/>
          <w:szCs w:val="20"/>
        </w:rPr>
        <w:t xml:space="preserve"> 856-872.</w:t>
      </w:r>
    </w:p>
    <w:p w:rsidR="00C8167A" w:rsidRPr="00C8167A" w:rsidRDefault="00C8167A" w:rsidP="00C8167A">
      <w:pPr>
        <w:pStyle w:val="EndNoteBibliography"/>
        <w:spacing w:after="120"/>
        <w:rPr>
          <w:sz w:val="20"/>
          <w:szCs w:val="20"/>
        </w:rPr>
      </w:pPr>
      <w:r w:rsidRPr="00C8167A">
        <w:rPr>
          <w:sz w:val="20"/>
          <w:szCs w:val="20"/>
        </w:rPr>
        <w:t xml:space="preserve">Isik, E., Çetin, G. and Özarslan, M. (2017). Students' views about disease concept: drawing and writing technique. </w:t>
      </w:r>
      <w:r w:rsidRPr="00C8167A">
        <w:rPr>
          <w:i/>
          <w:sz w:val="20"/>
          <w:szCs w:val="20"/>
        </w:rPr>
        <w:t>Asia-Pacific Forum on Science Learning and Teaching,</w:t>
      </w:r>
      <w:r w:rsidRPr="00C8167A">
        <w:rPr>
          <w:sz w:val="20"/>
          <w:szCs w:val="20"/>
        </w:rPr>
        <w:t xml:space="preserve"> 18(2).</w:t>
      </w:r>
    </w:p>
    <w:p w:rsidR="00C8167A" w:rsidRPr="00C8167A" w:rsidRDefault="00C8167A" w:rsidP="00C8167A">
      <w:pPr>
        <w:pStyle w:val="EndNoteBibliography"/>
        <w:spacing w:after="120"/>
        <w:rPr>
          <w:sz w:val="20"/>
          <w:szCs w:val="20"/>
        </w:rPr>
      </w:pPr>
      <w:r w:rsidRPr="00C8167A">
        <w:rPr>
          <w:sz w:val="20"/>
          <w:szCs w:val="20"/>
        </w:rPr>
        <w:t xml:space="preserve">Piko, B. F. and Bak, J. (2006). Children’s perceptions of health and illness: images and lay concepts in preadolescence. </w:t>
      </w:r>
      <w:r w:rsidRPr="00C8167A">
        <w:rPr>
          <w:i/>
          <w:sz w:val="20"/>
          <w:szCs w:val="20"/>
        </w:rPr>
        <w:t>Health Education Research, Theory and Practice,</w:t>
      </w:r>
      <w:r w:rsidRPr="00C8167A">
        <w:rPr>
          <w:sz w:val="20"/>
          <w:szCs w:val="20"/>
        </w:rPr>
        <w:t xml:space="preserve"> 21(5)</w:t>
      </w:r>
      <w:r w:rsidRPr="00C8167A">
        <w:rPr>
          <w:b/>
          <w:sz w:val="20"/>
          <w:szCs w:val="20"/>
        </w:rPr>
        <w:t>,</w:t>
      </w:r>
      <w:r w:rsidRPr="00C8167A">
        <w:rPr>
          <w:sz w:val="20"/>
          <w:szCs w:val="20"/>
        </w:rPr>
        <w:t xml:space="preserve"> 643-653.</w:t>
      </w:r>
    </w:p>
    <w:p w:rsidR="00C8167A" w:rsidRPr="00C8167A" w:rsidRDefault="00C8167A" w:rsidP="00C8167A">
      <w:pPr>
        <w:pStyle w:val="EndNoteBibliography"/>
        <w:spacing w:after="120"/>
        <w:rPr>
          <w:sz w:val="20"/>
          <w:szCs w:val="20"/>
        </w:rPr>
      </w:pPr>
      <w:r w:rsidRPr="00C8167A">
        <w:rPr>
          <w:sz w:val="20"/>
          <w:szCs w:val="20"/>
        </w:rPr>
        <w:t xml:space="preserve">Pluhar, Z. F., et al. (2009). "Air pollution is bad for my health": Hungarian children's knowledge of the role of environment in health and disease. </w:t>
      </w:r>
      <w:r w:rsidRPr="00C8167A">
        <w:rPr>
          <w:i/>
          <w:sz w:val="20"/>
          <w:szCs w:val="20"/>
        </w:rPr>
        <w:t>Health &amp; Place,</w:t>
      </w:r>
      <w:r w:rsidRPr="00C8167A">
        <w:rPr>
          <w:sz w:val="20"/>
          <w:szCs w:val="20"/>
        </w:rPr>
        <w:t xml:space="preserve"> 15(1)</w:t>
      </w:r>
      <w:r w:rsidRPr="00C8167A">
        <w:rPr>
          <w:b/>
          <w:sz w:val="20"/>
          <w:szCs w:val="20"/>
        </w:rPr>
        <w:t>,</w:t>
      </w:r>
      <w:r w:rsidRPr="00C8167A">
        <w:rPr>
          <w:sz w:val="20"/>
          <w:szCs w:val="20"/>
        </w:rPr>
        <w:t xml:space="preserve"> 239-246.</w:t>
      </w:r>
    </w:p>
    <w:p w:rsidR="00C8167A" w:rsidRPr="00C8167A" w:rsidRDefault="00C8167A" w:rsidP="00C8167A">
      <w:pPr>
        <w:pStyle w:val="EndNoteBibliography"/>
        <w:spacing w:after="120"/>
        <w:rPr>
          <w:sz w:val="20"/>
          <w:szCs w:val="20"/>
        </w:rPr>
      </w:pPr>
      <w:r w:rsidRPr="00C8167A">
        <w:rPr>
          <w:sz w:val="20"/>
          <w:szCs w:val="20"/>
        </w:rPr>
        <w:t xml:space="preserve">Wetton, N. M. and McWhirter, J. (1998). </w:t>
      </w:r>
      <w:r w:rsidRPr="00C8167A">
        <w:rPr>
          <w:i/>
          <w:sz w:val="20"/>
          <w:szCs w:val="20"/>
        </w:rPr>
        <w:t xml:space="preserve">Images and Curriculum Development in Health Education, </w:t>
      </w:r>
      <w:r w:rsidRPr="00C8167A">
        <w:rPr>
          <w:sz w:val="20"/>
          <w:szCs w:val="20"/>
        </w:rPr>
        <w:t>London, UK: Falmer Press.</w:t>
      </w:r>
    </w:p>
    <w:p w:rsidR="00C8167A" w:rsidRPr="00C8167A" w:rsidRDefault="00C8167A" w:rsidP="00C8167A">
      <w:pPr>
        <w:pStyle w:val="EndNoteBibliography"/>
        <w:spacing w:after="120"/>
        <w:rPr>
          <w:sz w:val="20"/>
          <w:szCs w:val="20"/>
        </w:rPr>
      </w:pPr>
      <w:r w:rsidRPr="00C8167A">
        <w:rPr>
          <w:sz w:val="20"/>
          <w:szCs w:val="20"/>
        </w:rPr>
        <w:t xml:space="preserve">Woods, S. E., et al. (2005). 'Stop it, it's bad for you and me': experiences of and views on passive smoking among primary-school children in Liverpool. </w:t>
      </w:r>
      <w:r w:rsidRPr="00C8167A">
        <w:rPr>
          <w:i/>
          <w:sz w:val="20"/>
          <w:szCs w:val="20"/>
        </w:rPr>
        <w:t>Health Education Research, Theory and Practice,</w:t>
      </w:r>
      <w:r w:rsidRPr="00C8167A">
        <w:rPr>
          <w:sz w:val="20"/>
          <w:szCs w:val="20"/>
        </w:rPr>
        <w:t xml:space="preserve"> 20(6)</w:t>
      </w:r>
      <w:r w:rsidRPr="00C8167A">
        <w:rPr>
          <w:b/>
          <w:sz w:val="20"/>
          <w:szCs w:val="20"/>
        </w:rPr>
        <w:t>,</w:t>
      </w:r>
      <w:r w:rsidRPr="00C8167A">
        <w:rPr>
          <w:sz w:val="20"/>
          <w:szCs w:val="20"/>
        </w:rPr>
        <w:t xml:space="preserve"> 645-655.</w:t>
      </w:r>
    </w:p>
    <w:p w:rsidR="005B372A" w:rsidRPr="005B372A" w:rsidRDefault="003B63D9" w:rsidP="00C8167A">
      <w:pPr>
        <w:spacing w:after="120"/>
      </w:pPr>
      <w:r w:rsidRPr="00C8167A">
        <w:rPr>
          <w:sz w:val="20"/>
          <w:szCs w:val="20"/>
        </w:rPr>
        <w:fldChar w:fldCharType="end"/>
      </w:r>
    </w:p>
    <w:sectPr w:rsidR="005B372A" w:rsidRPr="005B372A"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752" w:rsidRDefault="00FF5752" w:rsidP="000B473B">
      <w:r>
        <w:separator/>
      </w:r>
    </w:p>
  </w:endnote>
  <w:endnote w:type="continuationSeparator" w:id="0">
    <w:p w:rsidR="00FF5752" w:rsidRDefault="00FF575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46039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B55E0">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752" w:rsidRDefault="00FF5752" w:rsidP="000B473B">
      <w:r>
        <w:separator/>
      </w:r>
    </w:p>
  </w:footnote>
  <w:footnote w:type="continuationSeparator" w:id="0">
    <w:p w:rsidR="00FF5752" w:rsidRDefault="00FF575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64A9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3048D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F5752"/>
    <w:rsid w:val="000045F4"/>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F0B9D"/>
    <w:rsid w:val="001F0D20"/>
    <w:rsid w:val="00201AC2"/>
    <w:rsid w:val="00214608"/>
    <w:rsid w:val="0021607B"/>
    <w:rsid w:val="002178AC"/>
    <w:rsid w:val="0022547C"/>
    <w:rsid w:val="0025410A"/>
    <w:rsid w:val="00260F11"/>
    <w:rsid w:val="00265FF8"/>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B63D9"/>
    <w:rsid w:val="003E2B2F"/>
    <w:rsid w:val="003E6046"/>
    <w:rsid w:val="003F16F9"/>
    <w:rsid w:val="004147F8"/>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A6D4E"/>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1582"/>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84395"/>
    <w:rsid w:val="00BA69C4"/>
    <w:rsid w:val="00BA7952"/>
    <w:rsid w:val="00BB44B4"/>
    <w:rsid w:val="00BF0BBF"/>
    <w:rsid w:val="00BF20F7"/>
    <w:rsid w:val="00BF6C8A"/>
    <w:rsid w:val="00C05571"/>
    <w:rsid w:val="00C246CE"/>
    <w:rsid w:val="00C30819"/>
    <w:rsid w:val="00C54711"/>
    <w:rsid w:val="00C57FA2"/>
    <w:rsid w:val="00C8167A"/>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652C3"/>
    <w:rsid w:val="00E9330A"/>
    <w:rsid w:val="00EB55E0"/>
    <w:rsid w:val="00EE6B97"/>
    <w:rsid w:val="00F12C3B"/>
    <w:rsid w:val="00F26884"/>
    <w:rsid w:val="00F474A5"/>
    <w:rsid w:val="00F72ECC"/>
    <w:rsid w:val="00F8355F"/>
    <w:rsid w:val="00FA3196"/>
    <w:rsid w:val="00FD60D7"/>
    <w:rsid w:val="00FF57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C62781"/>
  <w15:docId w15:val="{DEF0C20F-3D6B-4949-A211-7F0C400F3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B63D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B63D9"/>
    <w:rPr>
      <w:rFonts w:ascii="Calibri" w:hAnsi="Calibri" w:cs="Calibri"/>
      <w:noProof/>
      <w:lang w:val="en-US"/>
    </w:rPr>
  </w:style>
  <w:style w:type="paragraph" w:customStyle="1" w:styleId="EndNoteBibliography">
    <w:name w:val="EndNote Bibliography"/>
    <w:basedOn w:val="Normal"/>
    <w:link w:val="EndNoteBibliographyChar"/>
    <w:rsid w:val="003B63D9"/>
    <w:rPr>
      <w:rFonts w:ascii="Calibri" w:hAnsi="Calibri" w:cs="Calibri"/>
      <w:noProof/>
      <w:lang w:val="en-US"/>
    </w:rPr>
  </w:style>
  <w:style w:type="character" w:customStyle="1" w:styleId="EndNoteBibliographyChar">
    <w:name w:val="EndNote Bibliography Char"/>
    <w:basedOn w:val="DefaultParagraphFont"/>
    <w:link w:val="EndNoteBibliography"/>
    <w:rsid w:val="003B63D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60</TotalTime>
  <Pages>4</Pages>
  <Words>1605</Words>
  <Characters>9149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17</cp:revision>
  <cp:lastPrinted>2017-02-24T16:20:00Z</cp:lastPrinted>
  <dcterms:created xsi:type="dcterms:W3CDTF">2019-02-18T09:04:00Z</dcterms:created>
  <dcterms:modified xsi:type="dcterms:W3CDTF">2019-04-17T11:46:00Z</dcterms:modified>
</cp:coreProperties>
</file>