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248AF" w:rsidP="00201AC2">
      <w:pPr>
        <w:spacing w:after="180"/>
        <w:rPr>
          <w:b/>
          <w:sz w:val="44"/>
          <w:szCs w:val="44"/>
        </w:rPr>
      </w:pPr>
      <w:r>
        <w:rPr>
          <w:b/>
          <w:sz w:val="44"/>
          <w:szCs w:val="44"/>
        </w:rPr>
        <w:t>Health</w:t>
      </w:r>
      <w:r w:rsidR="0008698A">
        <w:rPr>
          <w:b/>
          <w:sz w:val="44"/>
          <w:szCs w:val="44"/>
        </w:rPr>
        <w:t xml:space="preserve"> check</w:t>
      </w:r>
    </w:p>
    <w:p w:rsidR="00201AC2" w:rsidRDefault="00201AC2" w:rsidP="00201AC2">
      <w:pPr>
        <w:spacing w:after="180"/>
      </w:pPr>
    </w:p>
    <w:p w:rsidR="0008698A" w:rsidRDefault="0008698A" w:rsidP="0008698A">
      <w:pPr>
        <w:spacing w:after="180"/>
        <w:ind w:right="-46"/>
        <w:jc w:val="center"/>
      </w:pPr>
      <w:r>
        <w:rPr>
          <w:noProof/>
          <w:lang w:eastAsia="en-GB"/>
        </w:rPr>
        <w:drawing>
          <wp:inline distT="0" distB="0" distL="0" distR="0">
            <wp:extent cx="1871268" cy="2362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ctor-1703644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79294" cy="2372332"/>
                    </a:xfrm>
                    <a:prstGeom prst="rect">
                      <a:avLst/>
                    </a:prstGeom>
                  </pic:spPr>
                </pic:pic>
              </a:graphicData>
            </a:graphic>
          </wp:inline>
        </w:drawing>
      </w:r>
    </w:p>
    <w:p w:rsidR="0008698A" w:rsidRDefault="0008698A" w:rsidP="00CD32EC">
      <w:pPr>
        <w:spacing w:after="180"/>
        <w:ind w:right="3497"/>
      </w:pPr>
    </w:p>
    <w:p w:rsidR="006B1B89" w:rsidRPr="006B1B89" w:rsidRDefault="006B1B89" w:rsidP="006B1B89">
      <w:pPr>
        <w:spacing w:after="240"/>
        <w:ind w:right="3498"/>
        <w:rPr>
          <w:b/>
        </w:rPr>
      </w:pPr>
      <w:r w:rsidRPr="006B1B89">
        <w:rPr>
          <w:b/>
        </w:rPr>
        <w:t>Part 1</w:t>
      </w:r>
    </w:p>
    <w:p w:rsidR="00CD32EC" w:rsidRDefault="00CD32EC" w:rsidP="006B1B89">
      <w:pPr>
        <w:spacing w:after="180"/>
        <w:ind w:right="3497"/>
      </w:pPr>
      <w:r>
        <w:t>Read the statements in the table about health.</w:t>
      </w:r>
    </w:p>
    <w:p w:rsidR="00CD32EC" w:rsidRDefault="00CD32EC" w:rsidP="006B1B89">
      <w:pPr>
        <w:spacing w:after="180"/>
        <w:ind w:right="3497"/>
      </w:pPr>
      <w:r>
        <w:t xml:space="preserve">Some are </w:t>
      </w:r>
      <w:r w:rsidRPr="00CD32EC">
        <w:rPr>
          <w:b/>
        </w:rPr>
        <w:t>right</w:t>
      </w:r>
      <w:r>
        <w:t xml:space="preserve"> and some are </w:t>
      </w:r>
      <w:r w:rsidRPr="00CD32EC">
        <w:rPr>
          <w:b/>
        </w:rPr>
        <w:t>wrong</w:t>
      </w:r>
      <w:r>
        <w:t>.</w:t>
      </w:r>
    </w:p>
    <w:p w:rsidR="00CD32EC" w:rsidRDefault="00CD32EC" w:rsidP="006B1B89">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08698A" w:rsidRDefault="0008698A" w:rsidP="00CD32EC">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CD32EC" w:rsidTr="00395E2F">
        <w:tc>
          <w:tcPr>
            <w:tcW w:w="4649" w:type="dxa"/>
            <w:gridSpan w:val="2"/>
            <w:vAlign w:val="center"/>
          </w:tcPr>
          <w:p w:rsidR="00CD32EC" w:rsidRDefault="00CD32EC" w:rsidP="00395E2F">
            <w:pPr>
              <w:spacing w:before="60" w:after="60"/>
            </w:pPr>
            <w:r>
              <w:rPr>
                <w:b/>
              </w:rPr>
              <w:t>Statements</w:t>
            </w:r>
          </w:p>
        </w:tc>
        <w:tc>
          <w:tcPr>
            <w:tcW w:w="1098" w:type="dxa"/>
            <w:vAlign w:val="center"/>
          </w:tcPr>
          <w:p w:rsidR="00CD32EC" w:rsidRDefault="00CD32EC" w:rsidP="00395E2F">
            <w:pPr>
              <w:spacing w:before="60" w:after="60"/>
              <w:jc w:val="center"/>
            </w:pPr>
            <w:r>
              <w:t xml:space="preserve">I am </w:t>
            </w:r>
            <w:r w:rsidRPr="009269FA">
              <w:rPr>
                <w:b/>
              </w:rPr>
              <w:t>sure</w:t>
            </w:r>
            <w:r>
              <w:t xml:space="preserve"> this is right</w:t>
            </w:r>
          </w:p>
        </w:tc>
        <w:tc>
          <w:tcPr>
            <w:tcW w:w="1099" w:type="dxa"/>
            <w:vAlign w:val="center"/>
          </w:tcPr>
          <w:p w:rsidR="00CD32EC" w:rsidRDefault="00CD32EC" w:rsidP="00395E2F">
            <w:pPr>
              <w:spacing w:before="60" w:after="60"/>
              <w:jc w:val="center"/>
            </w:pPr>
            <w:r>
              <w:t xml:space="preserve">I </w:t>
            </w:r>
            <w:r w:rsidRPr="009269FA">
              <w:rPr>
                <w:b/>
              </w:rPr>
              <w:t>think</w:t>
            </w:r>
            <w:r>
              <w:t xml:space="preserve"> this is right</w:t>
            </w:r>
          </w:p>
        </w:tc>
        <w:tc>
          <w:tcPr>
            <w:tcW w:w="1098" w:type="dxa"/>
            <w:vAlign w:val="center"/>
          </w:tcPr>
          <w:p w:rsidR="00CD32EC" w:rsidRDefault="00CD32EC" w:rsidP="00395E2F">
            <w:pPr>
              <w:spacing w:before="60" w:after="60"/>
              <w:jc w:val="center"/>
            </w:pPr>
            <w:r>
              <w:t xml:space="preserve">I </w:t>
            </w:r>
            <w:r w:rsidRPr="009269FA">
              <w:rPr>
                <w:b/>
              </w:rPr>
              <w:t>think</w:t>
            </w:r>
            <w:r>
              <w:t xml:space="preserve"> this is wrong</w:t>
            </w:r>
          </w:p>
        </w:tc>
        <w:tc>
          <w:tcPr>
            <w:tcW w:w="1099" w:type="dxa"/>
            <w:vAlign w:val="center"/>
          </w:tcPr>
          <w:p w:rsidR="00CD32EC" w:rsidRDefault="00CD32EC" w:rsidP="00395E2F">
            <w:pPr>
              <w:spacing w:before="60" w:after="60"/>
              <w:jc w:val="center"/>
            </w:pPr>
            <w:r>
              <w:t xml:space="preserve">I am </w:t>
            </w:r>
            <w:r w:rsidRPr="009269FA">
              <w:rPr>
                <w:b/>
              </w:rPr>
              <w:t>sure</w:t>
            </w:r>
            <w:r>
              <w:t xml:space="preserve"> this is wrong</w:t>
            </w:r>
          </w:p>
        </w:tc>
      </w:tr>
      <w:tr w:rsidR="00CD32EC" w:rsidTr="00395E2F">
        <w:trPr>
          <w:trHeight w:val="907"/>
        </w:trPr>
        <w:tc>
          <w:tcPr>
            <w:tcW w:w="425" w:type="dxa"/>
            <w:vAlign w:val="center"/>
          </w:tcPr>
          <w:p w:rsidR="00CD32EC" w:rsidRPr="009269FA" w:rsidRDefault="00CD32EC" w:rsidP="00395E2F">
            <w:pPr>
              <w:spacing w:before="60" w:after="60"/>
              <w:jc w:val="center"/>
              <w:rPr>
                <w:b/>
              </w:rPr>
            </w:pPr>
            <w:r w:rsidRPr="009269FA">
              <w:rPr>
                <w:b/>
              </w:rPr>
              <w:t>1</w:t>
            </w:r>
          </w:p>
        </w:tc>
        <w:tc>
          <w:tcPr>
            <w:tcW w:w="4224" w:type="dxa"/>
            <w:vAlign w:val="center"/>
          </w:tcPr>
          <w:p w:rsidR="00CD32EC" w:rsidRDefault="006B1B89" w:rsidP="00395E2F">
            <w:pPr>
              <w:spacing w:before="60" w:after="60"/>
            </w:pPr>
            <w:r>
              <w:rPr>
                <w:szCs w:val="18"/>
              </w:rPr>
              <w:t>You only need to think about your health when you’re ill.</w:t>
            </w: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r>
      <w:tr w:rsidR="00CD32EC" w:rsidTr="00395E2F">
        <w:trPr>
          <w:trHeight w:val="907"/>
        </w:trPr>
        <w:tc>
          <w:tcPr>
            <w:tcW w:w="425" w:type="dxa"/>
            <w:vAlign w:val="center"/>
          </w:tcPr>
          <w:p w:rsidR="00CD32EC" w:rsidRPr="009269FA" w:rsidRDefault="00CD32EC" w:rsidP="00395E2F">
            <w:pPr>
              <w:spacing w:before="60" w:after="60"/>
              <w:jc w:val="center"/>
              <w:rPr>
                <w:b/>
              </w:rPr>
            </w:pPr>
            <w:r w:rsidRPr="009269FA">
              <w:rPr>
                <w:b/>
              </w:rPr>
              <w:t>2</w:t>
            </w:r>
          </w:p>
        </w:tc>
        <w:tc>
          <w:tcPr>
            <w:tcW w:w="4224" w:type="dxa"/>
            <w:vAlign w:val="center"/>
          </w:tcPr>
          <w:p w:rsidR="00CD32EC" w:rsidRDefault="006B1B89" w:rsidP="006B1B89">
            <w:pPr>
              <w:spacing w:before="60" w:after="60"/>
            </w:pPr>
            <w:r>
              <w:rPr>
                <w:szCs w:val="18"/>
              </w:rPr>
              <w:t>You are either healthy or ill. There is nothing in-between.</w:t>
            </w: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r>
      <w:tr w:rsidR="00CD32EC" w:rsidTr="00395E2F">
        <w:trPr>
          <w:trHeight w:val="907"/>
        </w:trPr>
        <w:tc>
          <w:tcPr>
            <w:tcW w:w="425" w:type="dxa"/>
            <w:vAlign w:val="center"/>
          </w:tcPr>
          <w:p w:rsidR="00CD32EC" w:rsidRPr="009269FA" w:rsidRDefault="00CD32EC" w:rsidP="00395E2F">
            <w:pPr>
              <w:spacing w:before="60" w:after="60"/>
              <w:jc w:val="center"/>
              <w:rPr>
                <w:b/>
              </w:rPr>
            </w:pPr>
            <w:r w:rsidRPr="009269FA">
              <w:rPr>
                <w:b/>
              </w:rPr>
              <w:t>3</w:t>
            </w:r>
          </w:p>
        </w:tc>
        <w:tc>
          <w:tcPr>
            <w:tcW w:w="4224" w:type="dxa"/>
            <w:vAlign w:val="center"/>
          </w:tcPr>
          <w:p w:rsidR="00CD32EC" w:rsidRDefault="006B1B89" w:rsidP="00395E2F">
            <w:pPr>
              <w:spacing w:before="60" w:after="60"/>
            </w:pPr>
            <w:r>
              <w:rPr>
                <w:szCs w:val="18"/>
              </w:rPr>
              <w:t>You can’t do anything to change your health.</w:t>
            </w: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r>
      <w:tr w:rsidR="00CD32EC" w:rsidTr="00395E2F">
        <w:trPr>
          <w:trHeight w:val="907"/>
        </w:trPr>
        <w:tc>
          <w:tcPr>
            <w:tcW w:w="425" w:type="dxa"/>
            <w:vAlign w:val="center"/>
          </w:tcPr>
          <w:p w:rsidR="00CD32EC" w:rsidRPr="009269FA" w:rsidRDefault="00CD32EC" w:rsidP="00395E2F">
            <w:pPr>
              <w:spacing w:before="60" w:after="60"/>
              <w:jc w:val="center"/>
              <w:rPr>
                <w:b/>
              </w:rPr>
            </w:pPr>
            <w:r>
              <w:rPr>
                <w:b/>
              </w:rPr>
              <w:t>4</w:t>
            </w:r>
          </w:p>
        </w:tc>
        <w:tc>
          <w:tcPr>
            <w:tcW w:w="4224" w:type="dxa"/>
            <w:vAlign w:val="center"/>
          </w:tcPr>
          <w:p w:rsidR="00CD32EC" w:rsidRDefault="006B1B89" w:rsidP="00395E2F">
            <w:pPr>
              <w:spacing w:before="60" w:after="60"/>
            </w:pPr>
            <w:r>
              <w:rPr>
                <w:szCs w:val="18"/>
              </w:rPr>
              <w:t>Health and fitness are the same thing.</w:t>
            </w: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c>
          <w:tcPr>
            <w:tcW w:w="1098" w:type="dxa"/>
            <w:vAlign w:val="center"/>
          </w:tcPr>
          <w:p w:rsidR="00CD32EC" w:rsidRDefault="00CD32EC" w:rsidP="00395E2F">
            <w:pPr>
              <w:spacing w:before="60" w:after="60"/>
              <w:jc w:val="center"/>
            </w:pPr>
          </w:p>
        </w:tc>
        <w:tc>
          <w:tcPr>
            <w:tcW w:w="1099" w:type="dxa"/>
            <w:vAlign w:val="center"/>
          </w:tcPr>
          <w:p w:rsidR="00CD32EC" w:rsidRDefault="00CD32EC" w:rsidP="00395E2F">
            <w:pPr>
              <w:spacing w:before="60" w:after="60"/>
              <w:jc w:val="center"/>
            </w:pPr>
          </w:p>
        </w:tc>
      </w:tr>
    </w:tbl>
    <w:p w:rsidR="00CD32EC" w:rsidRDefault="00CD32EC" w:rsidP="00CD32EC">
      <w:pPr>
        <w:spacing w:after="240"/>
        <w:rPr>
          <w:szCs w:val="18"/>
        </w:rPr>
      </w:pPr>
    </w:p>
    <w:p w:rsidR="006B1B89" w:rsidRDefault="006B1B89">
      <w:pPr>
        <w:spacing w:after="200" w:line="276" w:lineRule="auto"/>
        <w:rPr>
          <w:szCs w:val="18"/>
        </w:rPr>
      </w:pPr>
      <w:r>
        <w:rPr>
          <w:szCs w:val="18"/>
        </w:rPr>
        <w:br w:type="page"/>
      </w:r>
    </w:p>
    <w:p w:rsidR="006B1B89" w:rsidRPr="001A40E2" w:rsidRDefault="006B1B89" w:rsidP="006B1B89">
      <w:pPr>
        <w:spacing w:after="180"/>
        <w:rPr>
          <w:b/>
          <w:sz w:val="44"/>
          <w:szCs w:val="44"/>
        </w:rPr>
      </w:pPr>
      <w:r>
        <w:rPr>
          <w:b/>
          <w:sz w:val="44"/>
          <w:szCs w:val="44"/>
        </w:rPr>
        <w:lastRenderedPageBreak/>
        <w:t>Health check</w:t>
      </w:r>
    </w:p>
    <w:p w:rsidR="006B1B89" w:rsidRDefault="006B1B89" w:rsidP="006B1B89">
      <w:pPr>
        <w:spacing w:after="180"/>
      </w:pPr>
    </w:p>
    <w:p w:rsidR="006B1B89" w:rsidRDefault="006B1B89" w:rsidP="006B1B89">
      <w:pPr>
        <w:spacing w:after="180"/>
        <w:ind w:right="-46"/>
        <w:jc w:val="center"/>
      </w:pPr>
      <w:r>
        <w:rPr>
          <w:noProof/>
          <w:lang w:eastAsia="en-GB"/>
        </w:rPr>
        <w:drawing>
          <wp:inline distT="0" distB="0" distL="0" distR="0" wp14:anchorId="33CDC444" wp14:editId="77EF40DD">
            <wp:extent cx="1871268" cy="2362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ctor-1703644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79294" cy="2372332"/>
                    </a:xfrm>
                    <a:prstGeom prst="rect">
                      <a:avLst/>
                    </a:prstGeom>
                  </pic:spPr>
                </pic:pic>
              </a:graphicData>
            </a:graphic>
          </wp:inline>
        </w:drawing>
      </w:r>
    </w:p>
    <w:p w:rsidR="006B1B89" w:rsidRDefault="006B1B89" w:rsidP="006B1B89">
      <w:pPr>
        <w:spacing w:after="180"/>
        <w:ind w:right="3497"/>
      </w:pPr>
    </w:p>
    <w:p w:rsidR="006B1B89" w:rsidRPr="006B1B89" w:rsidRDefault="006B1B89" w:rsidP="006B1B89">
      <w:pPr>
        <w:spacing w:after="240"/>
        <w:ind w:right="3498"/>
        <w:rPr>
          <w:b/>
        </w:rPr>
      </w:pPr>
      <w:r>
        <w:rPr>
          <w:b/>
        </w:rPr>
        <w:t>Part 2</w:t>
      </w:r>
    </w:p>
    <w:p w:rsidR="006B1B89" w:rsidRDefault="006B1B89" w:rsidP="006B1B89">
      <w:pPr>
        <w:spacing w:after="180"/>
        <w:ind w:right="3497"/>
      </w:pPr>
      <w:r>
        <w:t>Read the statements in the table about health.</w:t>
      </w:r>
    </w:p>
    <w:p w:rsidR="006B1B89" w:rsidRDefault="006B1B89" w:rsidP="006B1B89">
      <w:pPr>
        <w:spacing w:after="180"/>
        <w:ind w:right="3497"/>
      </w:pPr>
      <w:r>
        <w:t xml:space="preserve">Some are </w:t>
      </w:r>
      <w:r w:rsidRPr="00CD32EC">
        <w:rPr>
          <w:b/>
        </w:rPr>
        <w:t>right</w:t>
      </w:r>
      <w:r>
        <w:t xml:space="preserve"> and some are </w:t>
      </w:r>
      <w:r w:rsidRPr="00CD32EC">
        <w:rPr>
          <w:b/>
        </w:rPr>
        <w:t>wrong</w:t>
      </w:r>
      <w:r>
        <w:t>.</w:t>
      </w:r>
    </w:p>
    <w:p w:rsidR="006B1B89" w:rsidRDefault="006B1B89" w:rsidP="006B1B89">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6B1B89" w:rsidRDefault="006B1B89" w:rsidP="006B1B89">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B1B89" w:rsidTr="00395E2F">
        <w:tc>
          <w:tcPr>
            <w:tcW w:w="4649" w:type="dxa"/>
            <w:gridSpan w:val="2"/>
            <w:vAlign w:val="center"/>
          </w:tcPr>
          <w:p w:rsidR="006B1B89" w:rsidRDefault="006B1B89" w:rsidP="00395E2F">
            <w:pPr>
              <w:spacing w:before="60" w:after="60"/>
            </w:pPr>
            <w:r>
              <w:rPr>
                <w:b/>
              </w:rPr>
              <w:t>Statements</w:t>
            </w:r>
          </w:p>
        </w:tc>
        <w:tc>
          <w:tcPr>
            <w:tcW w:w="1098" w:type="dxa"/>
            <w:vAlign w:val="center"/>
          </w:tcPr>
          <w:p w:rsidR="006B1B89" w:rsidRDefault="006B1B89" w:rsidP="00395E2F">
            <w:pPr>
              <w:spacing w:before="60" w:after="60"/>
              <w:jc w:val="center"/>
            </w:pPr>
            <w:r>
              <w:t xml:space="preserve">I am </w:t>
            </w:r>
            <w:r w:rsidRPr="009269FA">
              <w:rPr>
                <w:b/>
              </w:rPr>
              <w:t>sure</w:t>
            </w:r>
            <w:r>
              <w:t xml:space="preserve"> this is right</w:t>
            </w:r>
          </w:p>
        </w:tc>
        <w:tc>
          <w:tcPr>
            <w:tcW w:w="1099" w:type="dxa"/>
            <w:vAlign w:val="center"/>
          </w:tcPr>
          <w:p w:rsidR="006B1B89" w:rsidRDefault="006B1B89" w:rsidP="00395E2F">
            <w:pPr>
              <w:spacing w:before="60" w:after="60"/>
              <w:jc w:val="center"/>
            </w:pPr>
            <w:r>
              <w:t xml:space="preserve">I </w:t>
            </w:r>
            <w:r w:rsidRPr="009269FA">
              <w:rPr>
                <w:b/>
              </w:rPr>
              <w:t>think</w:t>
            </w:r>
            <w:r>
              <w:t xml:space="preserve"> this is right</w:t>
            </w:r>
          </w:p>
        </w:tc>
        <w:tc>
          <w:tcPr>
            <w:tcW w:w="1098" w:type="dxa"/>
            <w:vAlign w:val="center"/>
          </w:tcPr>
          <w:p w:rsidR="006B1B89" w:rsidRDefault="006B1B89" w:rsidP="00395E2F">
            <w:pPr>
              <w:spacing w:before="60" w:after="60"/>
              <w:jc w:val="center"/>
            </w:pPr>
            <w:r>
              <w:t xml:space="preserve">I </w:t>
            </w:r>
            <w:r w:rsidRPr="009269FA">
              <w:rPr>
                <w:b/>
              </w:rPr>
              <w:t>think</w:t>
            </w:r>
            <w:r>
              <w:t xml:space="preserve"> this is wrong</w:t>
            </w:r>
          </w:p>
        </w:tc>
        <w:tc>
          <w:tcPr>
            <w:tcW w:w="1099" w:type="dxa"/>
            <w:vAlign w:val="center"/>
          </w:tcPr>
          <w:p w:rsidR="006B1B89" w:rsidRDefault="006B1B89" w:rsidP="00395E2F">
            <w:pPr>
              <w:spacing w:before="60" w:after="60"/>
              <w:jc w:val="center"/>
            </w:pPr>
            <w:r>
              <w:t xml:space="preserve">I am </w:t>
            </w:r>
            <w:r w:rsidRPr="009269FA">
              <w:rPr>
                <w:b/>
              </w:rPr>
              <w:t>sure</w:t>
            </w:r>
            <w:r>
              <w:t xml:space="preserve"> this is wrong</w:t>
            </w:r>
          </w:p>
        </w:tc>
      </w:tr>
      <w:tr w:rsidR="006B1B89" w:rsidTr="00395E2F">
        <w:trPr>
          <w:trHeight w:val="907"/>
        </w:trPr>
        <w:tc>
          <w:tcPr>
            <w:tcW w:w="425" w:type="dxa"/>
            <w:vAlign w:val="center"/>
          </w:tcPr>
          <w:p w:rsidR="006B1B89" w:rsidRPr="009269FA" w:rsidRDefault="006B1B89" w:rsidP="00395E2F">
            <w:pPr>
              <w:spacing w:before="60" w:after="60"/>
              <w:jc w:val="center"/>
              <w:rPr>
                <w:b/>
              </w:rPr>
            </w:pPr>
            <w:r w:rsidRPr="009269FA">
              <w:rPr>
                <w:b/>
              </w:rPr>
              <w:t>1</w:t>
            </w:r>
          </w:p>
        </w:tc>
        <w:tc>
          <w:tcPr>
            <w:tcW w:w="4224" w:type="dxa"/>
            <w:vAlign w:val="center"/>
          </w:tcPr>
          <w:p w:rsidR="006B1B89" w:rsidRDefault="006B1B89" w:rsidP="00395E2F">
            <w:pPr>
              <w:spacing w:before="60" w:after="60"/>
            </w:pPr>
            <w:r>
              <w:rPr>
                <w:szCs w:val="18"/>
              </w:rPr>
              <w:t>Everybody can have ill health.</w:t>
            </w: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r>
      <w:tr w:rsidR="006B1B89" w:rsidTr="00395E2F">
        <w:trPr>
          <w:trHeight w:val="907"/>
        </w:trPr>
        <w:tc>
          <w:tcPr>
            <w:tcW w:w="425" w:type="dxa"/>
            <w:vAlign w:val="center"/>
          </w:tcPr>
          <w:p w:rsidR="006B1B89" w:rsidRPr="009269FA" w:rsidRDefault="006B1B89" w:rsidP="00395E2F">
            <w:pPr>
              <w:spacing w:before="60" w:after="60"/>
              <w:jc w:val="center"/>
              <w:rPr>
                <w:b/>
              </w:rPr>
            </w:pPr>
            <w:r w:rsidRPr="009269FA">
              <w:rPr>
                <w:b/>
              </w:rPr>
              <w:t>2</w:t>
            </w:r>
          </w:p>
        </w:tc>
        <w:tc>
          <w:tcPr>
            <w:tcW w:w="4224" w:type="dxa"/>
            <w:vAlign w:val="center"/>
          </w:tcPr>
          <w:p w:rsidR="006B1B89" w:rsidRDefault="00D8779D" w:rsidP="00AE5CBF">
            <w:pPr>
              <w:spacing w:before="60" w:after="60"/>
            </w:pPr>
            <w:r>
              <w:rPr>
                <w:szCs w:val="18"/>
              </w:rPr>
              <w:t>To stay healthy you must take care of both your body and your mind.</w:t>
            </w: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r>
      <w:tr w:rsidR="00AE5CBF" w:rsidTr="00395E2F">
        <w:trPr>
          <w:trHeight w:val="907"/>
        </w:trPr>
        <w:tc>
          <w:tcPr>
            <w:tcW w:w="425" w:type="dxa"/>
            <w:vAlign w:val="center"/>
          </w:tcPr>
          <w:p w:rsidR="00AE5CBF" w:rsidRPr="009269FA" w:rsidRDefault="00D8779D" w:rsidP="00395E2F">
            <w:pPr>
              <w:spacing w:before="60" w:after="60"/>
              <w:jc w:val="center"/>
              <w:rPr>
                <w:b/>
              </w:rPr>
            </w:pPr>
            <w:r>
              <w:rPr>
                <w:b/>
              </w:rPr>
              <w:t>3</w:t>
            </w:r>
          </w:p>
        </w:tc>
        <w:tc>
          <w:tcPr>
            <w:tcW w:w="4224" w:type="dxa"/>
            <w:vAlign w:val="center"/>
          </w:tcPr>
          <w:p w:rsidR="00AE5CBF" w:rsidRDefault="00D8779D" w:rsidP="00BB695F">
            <w:pPr>
              <w:spacing w:before="60" w:after="60"/>
              <w:rPr>
                <w:szCs w:val="18"/>
              </w:rPr>
            </w:pPr>
            <w:r>
              <w:rPr>
                <w:szCs w:val="18"/>
              </w:rPr>
              <w:t xml:space="preserve">The health of your </w:t>
            </w:r>
            <w:r w:rsidR="00BB695F">
              <w:rPr>
                <w:szCs w:val="18"/>
              </w:rPr>
              <w:t>thoughts</w:t>
            </w:r>
            <w:r>
              <w:rPr>
                <w:szCs w:val="18"/>
              </w:rPr>
              <w:t xml:space="preserve"> and your emotions is called your physical health.</w:t>
            </w:r>
          </w:p>
        </w:tc>
        <w:tc>
          <w:tcPr>
            <w:tcW w:w="1098" w:type="dxa"/>
            <w:vAlign w:val="center"/>
          </w:tcPr>
          <w:p w:rsidR="00AE5CBF" w:rsidRDefault="00AE5CBF" w:rsidP="00395E2F">
            <w:pPr>
              <w:spacing w:before="60" w:after="60"/>
              <w:jc w:val="center"/>
            </w:pPr>
          </w:p>
        </w:tc>
        <w:tc>
          <w:tcPr>
            <w:tcW w:w="1099" w:type="dxa"/>
            <w:vAlign w:val="center"/>
          </w:tcPr>
          <w:p w:rsidR="00AE5CBF" w:rsidRDefault="00AE5CBF" w:rsidP="00395E2F">
            <w:pPr>
              <w:spacing w:before="60" w:after="60"/>
              <w:jc w:val="center"/>
            </w:pPr>
          </w:p>
        </w:tc>
        <w:tc>
          <w:tcPr>
            <w:tcW w:w="1098" w:type="dxa"/>
            <w:vAlign w:val="center"/>
          </w:tcPr>
          <w:p w:rsidR="00AE5CBF" w:rsidRDefault="00AE5CBF" w:rsidP="00395E2F">
            <w:pPr>
              <w:spacing w:before="60" w:after="60"/>
              <w:jc w:val="center"/>
            </w:pPr>
          </w:p>
        </w:tc>
        <w:tc>
          <w:tcPr>
            <w:tcW w:w="1099" w:type="dxa"/>
            <w:vAlign w:val="center"/>
          </w:tcPr>
          <w:p w:rsidR="00AE5CBF" w:rsidRDefault="00AE5CBF" w:rsidP="00395E2F">
            <w:pPr>
              <w:spacing w:before="60" w:after="60"/>
              <w:jc w:val="center"/>
            </w:pPr>
          </w:p>
        </w:tc>
      </w:tr>
      <w:tr w:rsidR="006B1B89" w:rsidTr="00395E2F">
        <w:trPr>
          <w:trHeight w:val="907"/>
        </w:trPr>
        <w:tc>
          <w:tcPr>
            <w:tcW w:w="425" w:type="dxa"/>
            <w:vAlign w:val="center"/>
          </w:tcPr>
          <w:p w:rsidR="006B1B89" w:rsidRPr="009269FA" w:rsidRDefault="00D8779D" w:rsidP="00395E2F">
            <w:pPr>
              <w:spacing w:before="60" w:after="60"/>
              <w:jc w:val="center"/>
              <w:rPr>
                <w:b/>
              </w:rPr>
            </w:pPr>
            <w:r>
              <w:rPr>
                <w:b/>
              </w:rPr>
              <w:t>4</w:t>
            </w:r>
          </w:p>
        </w:tc>
        <w:tc>
          <w:tcPr>
            <w:tcW w:w="4224" w:type="dxa"/>
            <w:vAlign w:val="center"/>
          </w:tcPr>
          <w:p w:rsidR="006B1B89" w:rsidRDefault="00D8779D" w:rsidP="00D8779D">
            <w:pPr>
              <w:spacing w:before="60" w:after="60"/>
            </w:pPr>
            <w:r>
              <w:rPr>
                <w:szCs w:val="18"/>
              </w:rPr>
              <w:t>The health of your body is called your mental health.</w:t>
            </w: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r>
    </w:tbl>
    <w:p w:rsidR="008016E2" w:rsidRDefault="008016E2" w:rsidP="00DA7D96">
      <w:pPr>
        <w:spacing w:after="240"/>
        <w:rPr>
          <w:szCs w:val="18"/>
        </w:rPr>
      </w:pPr>
    </w:p>
    <w:p w:rsidR="006B1B89" w:rsidRDefault="006B1B89">
      <w:pPr>
        <w:spacing w:after="200" w:line="276" w:lineRule="auto"/>
        <w:rPr>
          <w:szCs w:val="18"/>
        </w:rPr>
      </w:pPr>
      <w:r>
        <w:rPr>
          <w:szCs w:val="18"/>
        </w:rPr>
        <w:br w:type="page"/>
      </w:r>
    </w:p>
    <w:p w:rsidR="006B1B89" w:rsidRPr="001A40E2" w:rsidRDefault="006B1B89" w:rsidP="006B1B89">
      <w:pPr>
        <w:spacing w:after="180"/>
        <w:rPr>
          <w:b/>
          <w:sz w:val="44"/>
          <w:szCs w:val="44"/>
        </w:rPr>
      </w:pPr>
      <w:r>
        <w:rPr>
          <w:b/>
          <w:sz w:val="44"/>
          <w:szCs w:val="44"/>
        </w:rPr>
        <w:lastRenderedPageBreak/>
        <w:t>Health check</w:t>
      </w:r>
    </w:p>
    <w:p w:rsidR="006B1B89" w:rsidRDefault="006B1B89" w:rsidP="006B1B89">
      <w:pPr>
        <w:spacing w:after="180"/>
      </w:pPr>
    </w:p>
    <w:p w:rsidR="006B1B89" w:rsidRDefault="006B1B89" w:rsidP="006B1B89">
      <w:pPr>
        <w:spacing w:after="180"/>
        <w:ind w:right="-46"/>
        <w:jc w:val="center"/>
      </w:pPr>
      <w:r>
        <w:rPr>
          <w:noProof/>
          <w:lang w:eastAsia="en-GB"/>
        </w:rPr>
        <w:drawing>
          <wp:inline distT="0" distB="0" distL="0" distR="0" wp14:anchorId="33CDC444" wp14:editId="77EF40DD">
            <wp:extent cx="1871268" cy="2362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ctor-1703644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79294" cy="2372332"/>
                    </a:xfrm>
                    <a:prstGeom prst="rect">
                      <a:avLst/>
                    </a:prstGeom>
                  </pic:spPr>
                </pic:pic>
              </a:graphicData>
            </a:graphic>
          </wp:inline>
        </w:drawing>
      </w:r>
    </w:p>
    <w:p w:rsidR="006B1B89" w:rsidRDefault="006B1B89" w:rsidP="006B1B89">
      <w:pPr>
        <w:spacing w:after="180"/>
        <w:ind w:right="3497"/>
      </w:pPr>
    </w:p>
    <w:p w:rsidR="006B1B89" w:rsidRPr="006B1B89" w:rsidRDefault="006B1B89" w:rsidP="006B1B89">
      <w:pPr>
        <w:spacing w:after="240"/>
        <w:ind w:right="3498"/>
        <w:rPr>
          <w:b/>
        </w:rPr>
      </w:pPr>
      <w:r>
        <w:rPr>
          <w:b/>
        </w:rPr>
        <w:t>Part 3</w:t>
      </w:r>
    </w:p>
    <w:p w:rsidR="006B1B89" w:rsidRDefault="006B1B89" w:rsidP="006B1B89">
      <w:pPr>
        <w:spacing w:after="180"/>
        <w:ind w:right="3497"/>
      </w:pPr>
      <w:r>
        <w:t>Read the statements in the table about health.</w:t>
      </w:r>
    </w:p>
    <w:p w:rsidR="006B1B89" w:rsidRDefault="006B1B89" w:rsidP="006B1B89">
      <w:pPr>
        <w:spacing w:after="180"/>
        <w:ind w:right="3497"/>
      </w:pPr>
      <w:r>
        <w:t xml:space="preserve">Some are </w:t>
      </w:r>
      <w:r w:rsidRPr="00CD32EC">
        <w:rPr>
          <w:b/>
        </w:rPr>
        <w:t>right</w:t>
      </w:r>
      <w:r>
        <w:t xml:space="preserve"> and some are </w:t>
      </w:r>
      <w:r w:rsidRPr="00CD32EC">
        <w:rPr>
          <w:b/>
        </w:rPr>
        <w:t>wrong</w:t>
      </w:r>
      <w:r>
        <w:t>.</w:t>
      </w:r>
    </w:p>
    <w:p w:rsidR="006B1B89" w:rsidRDefault="006B1B89" w:rsidP="006B1B89">
      <w:pPr>
        <w:spacing w:after="180"/>
      </w:pPr>
      <w:r w:rsidRPr="007805CD">
        <w:t xml:space="preserve">Tick </w:t>
      </w:r>
      <w:r w:rsidRPr="00267298">
        <w:rPr>
          <w:b/>
        </w:rPr>
        <w:t>one</w:t>
      </w:r>
      <w:r w:rsidRPr="007805CD">
        <w:t xml:space="preserve"> box </w:t>
      </w:r>
      <w:r>
        <w:t xml:space="preserve">for </w:t>
      </w:r>
      <w:r w:rsidRPr="00267298">
        <w:t>each</w:t>
      </w:r>
      <w:r>
        <w:t xml:space="preserve"> statement.</w:t>
      </w:r>
    </w:p>
    <w:p w:rsidR="006B1B89" w:rsidRDefault="006B1B89" w:rsidP="006B1B89">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B1B89" w:rsidTr="00395E2F">
        <w:tc>
          <w:tcPr>
            <w:tcW w:w="4649" w:type="dxa"/>
            <w:gridSpan w:val="2"/>
            <w:vAlign w:val="center"/>
          </w:tcPr>
          <w:p w:rsidR="006B1B89" w:rsidRDefault="006B1B89" w:rsidP="00395E2F">
            <w:pPr>
              <w:spacing w:before="60" w:after="60"/>
            </w:pPr>
            <w:r>
              <w:rPr>
                <w:b/>
              </w:rPr>
              <w:t>Statements</w:t>
            </w:r>
          </w:p>
        </w:tc>
        <w:tc>
          <w:tcPr>
            <w:tcW w:w="1098" w:type="dxa"/>
            <w:vAlign w:val="center"/>
          </w:tcPr>
          <w:p w:rsidR="006B1B89" w:rsidRDefault="006B1B89" w:rsidP="00395E2F">
            <w:pPr>
              <w:spacing w:before="60" w:after="60"/>
              <w:jc w:val="center"/>
            </w:pPr>
            <w:r>
              <w:t xml:space="preserve">I am </w:t>
            </w:r>
            <w:r w:rsidRPr="009269FA">
              <w:rPr>
                <w:b/>
              </w:rPr>
              <w:t>sure</w:t>
            </w:r>
            <w:r>
              <w:t xml:space="preserve"> this is right</w:t>
            </w:r>
          </w:p>
        </w:tc>
        <w:tc>
          <w:tcPr>
            <w:tcW w:w="1099" w:type="dxa"/>
            <w:vAlign w:val="center"/>
          </w:tcPr>
          <w:p w:rsidR="006B1B89" w:rsidRDefault="006B1B89" w:rsidP="00395E2F">
            <w:pPr>
              <w:spacing w:before="60" w:after="60"/>
              <w:jc w:val="center"/>
            </w:pPr>
            <w:r>
              <w:t xml:space="preserve">I </w:t>
            </w:r>
            <w:r w:rsidRPr="009269FA">
              <w:rPr>
                <w:b/>
              </w:rPr>
              <w:t>think</w:t>
            </w:r>
            <w:r>
              <w:t xml:space="preserve"> this is right</w:t>
            </w:r>
          </w:p>
        </w:tc>
        <w:tc>
          <w:tcPr>
            <w:tcW w:w="1098" w:type="dxa"/>
            <w:vAlign w:val="center"/>
          </w:tcPr>
          <w:p w:rsidR="006B1B89" w:rsidRDefault="006B1B89" w:rsidP="00395E2F">
            <w:pPr>
              <w:spacing w:before="60" w:after="60"/>
              <w:jc w:val="center"/>
            </w:pPr>
            <w:r>
              <w:t xml:space="preserve">I </w:t>
            </w:r>
            <w:r w:rsidRPr="009269FA">
              <w:rPr>
                <w:b/>
              </w:rPr>
              <w:t>think</w:t>
            </w:r>
            <w:r>
              <w:t xml:space="preserve"> this is wrong</w:t>
            </w:r>
          </w:p>
        </w:tc>
        <w:tc>
          <w:tcPr>
            <w:tcW w:w="1099" w:type="dxa"/>
            <w:vAlign w:val="center"/>
          </w:tcPr>
          <w:p w:rsidR="006B1B89" w:rsidRDefault="006B1B89" w:rsidP="00395E2F">
            <w:pPr>
              <w:spacing w:before="60" w:after="60"/>
              <w:jc w:val="center"/>
            </w:pPr>
            <w:r>
              <w:t xml:space="preserve">I am </w:t>
            </w:r>
            <w:r w:rsidRPr="009269FA">
              <w:rPr>
                <w:b/>
              </w:rPr>
              <w:t>sure</w:t>
            </w:r>
            <w:r>
              <w:t xml:space="preserve"> this is wrong</w:t>
            </w:r>
          </w:p>
        </w:tc>
      </w:tr>
      <w:tr w:rsidR="006B1B89" w:rsidTr="00395E2F">
        <w:trPr>
          <w:trHeight w:val="907"/>
        </w:trPr>
        <w:tc>
          <w:tcPr>
            <w:tcW w:w="425" w:type="dxa"/>
            <w:vAlign w:val="center"/>
          </w:tcPr>
          <w:p w:rsidR="006B1B89" w:rsidRPr="009269FA" w:rsidRDefault="006B1B89" w:rsidP="00395E2F">
            <w:pPr>
              <w:spacing w:before="60" w:after="60"/>
              <w:jc w:val="center"/>
              <w:rPr>
                <w:b/>
              </w:rPr>
            </w:pPr>
            <w:r w:rsidRPr="009269FA">
              <w:rPr>
                <w:b/>
              </w:rPr>
              <w:t>1</w:t>
            </w:r>
          </w:p>
        </w:tc>
        <w:tc>
          <w:tcPr>
            <w:tcW w:w="4224" w:type="dxa"/>
            <w:vAlign w:val="center"/>
          </w:tcPr>
          <w:p w:rsidR="006B1B89" w:rsidRDefault="006B1B89" w:rsidP="00395E2F">
            <w:pPr>
              <w:spacing w:before="60" w:after="60"/>
            </w:pPr>
            <w:r>
              <w:rPr>
                <w:szCs w:val="18"/>
              </w:rPr>
              <w:t>Everybody has mental health.</w:t>
            </w: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r>
      <w:tr w:rsidR="006B1B89" w:rsidTr="00395E2F">
        <w:trPr>
          <w:trHeight w:val="907"/>
        </w:trPr>
        <w:tc>
          <w:tcPr>
            <w:tcW w:w="425" w:type="dxa"/>
            <w:vAlign w:val="center"/>
          </w:tcPr>
          <w:p w:rsidR="006B1B89" w:rsidRPr="009269FA" w:rsidRDefault="006B1B89" w:rsidP="00395E2F">
            <w:pPr>
              <w:spacing w:before="60" w:after="60"/>
              <w:jc w:val="center"/>
              <w:rPr>
                <w:b/>
              </w:rPr>
            </w:pPr>
            <w:r w:rsidRPr="009269FA">
              <w:rPr>
                <w:b/>
              </w:rPr>
              <w:t>2</w:t>
            </w:r>
          </w:p>
        </w:tc>
        <w:tc>
          <w:tcPr>
            <w:tcW w:w="4224" w:type="dxa"/>
            <w:vAlign w:val="center"/>
          </w:tcPr>
          <w:p w:rsidR="006B1B89" w:rsidRDefault="006B1B89" w:rsidP="00395E2F">
            <w:pPr>
              <w:spacing w:before="60" w:after="60"/>
            </w:pPr>
            <w:r>
              <w:rPr>
                <w:szCs w:val="18"/>
              </w:rPr>
              <w:t>Mental ill health affects lots of people.</w:t>
            </w: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r>
      <w:tr w:rsidR="006B1B89" w:rsidTr="00395E2F">
        <w:trPr>
          <w:trHeight w:val="907"/>
        </w:trPr>
        <w:tc>
          <w:tcPr>
            <w:tcW w:w="425" w:type="dxa"/>
            <w:vAlign w:val="center"/>
          </w:tcPr>
          <w:p w:rsidR="006B1B89" w:rsidRPr="009269FA" w:rsidRDefault="006B1B89" w:rsidP="00395E2F">
            <w:pPr>
              <w:spacing w:before="60" w:after="60"/>
              <w:jc w:val="center"/>
              <w:rPr>
                <w:b/>
              </w:rPr>
            </w:pPr>
            <w:r w:rsidRPr="009269FA">
              <w:rPr>
                <w:b/>
              </w:rPr>
              <w:t>3</w:t>
            </w:r>
          </w:p>
        </w:tc>
        <w:tc>
          <w:tcPr>
            <w:tcW w:w="4224" w:type="dxa"/>
            <w:vAlign w:val="center"/>
          </w:tcPr>
          <w:p w:rsidR="006B1B89" w:rsidRDefault="006B1B89" w:rsidP="00395E2F">
            <w:pPr>
              <w:spacing w:before="60" w:after="60"/>
            </w:pPr>
            <w:r>
              <w:rPr>
                <w:szCs w:val="18"/>
              </w:rPr>
              <w:t>Your physical health can affect your mental health.</w:t>
            </w: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r>
      <w:tr w:rsidR="006B1B89" w:rsidTr="00395E2F">
        <w:trPr>
          <w:trHeight w:val="907"/>
        </w:trPr>
        <w:tc>
          <w:tcPr>
            <w:tcW w:w="425" w:type="dxa"/>
            <w:vAlign w:val="center"/>
          </w:tcPr>
          <w:p w:rsidR="006B1B89" w:rsidRPr="009269FA" w:rsidRDefault="006B1B89" w:rsidP="00395E2F">
            <w:pPr>
              <w:spacing w:before="60" w:after="60"/>
              <w:jc w:val="center"/>
              <w:rPr>
                <w:b/>
              </w:rPr>
            </w:pPr>
            <w:r>
              <w:rPr>
                <w:b/>
              </w:rPr>
              <w:t>4</w:t>
            </w:r>
          </w:p>
        </w:tc>
        <w:tc>
          <w:tcPr>
            <w:tcW w:w="4224" w:type="dxa"/>
            <w:vAlign w:val="center"/>
          </w:tcPr>
          <w:p w:rsidR="006B1B89" w:rsidRDefault="006B1B89" w:rsidP="00395E2F">
            <w:pPr>
              <w:spacing w:before="60" w:after="60"/>
            </w:pPr>
            <w:r>
              <w:rPr>
                <w:szCs w:val="18"/>
              </w:rPr>
              <w:t>Your mental health can affect your physical health.</w:t>
            </w: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c>
          <w:tcPr>
            <w:tcW w:w="1098" w:type="dxa"/>
            <w:vAlign w:val="center"/>
          </w:tcPr>
          <w:p w:rsidR="006B1B89" w:rsidRDefault="006B1B89" w:rsidP="00395E2F">
            <w:pPr>
              <w:spacing w:before="60" w:after="60"/>
              <w:jc w:val="center"/>
            </w:pPr>
          </w:p>
        </w:tc>
        <w:tc>
          <w:tcPr>
            <w:tcW w:w="1099" w:type="dxa"/>
            <w:vAlign w:val="center"/>
          </w:tcPr>
          <w:p w:rsidR="006B1B89" w:rsidRDefault="006B1B89" w:rsidP="00395E2F">
            <w:pPr>
              <w:spacing w:before="60" w:after="60"/>
              <w:jc w:val="center"/>
            </w:pPr>
          </w:p>
        </w:tc>
      </w:tr>
    </w:tbl>
    <w:p w:rsidR="008016E2" w:rsidRDefault="008016E2" w:rsidP="006F3279">
      <w:pPr>
        <w:spacing w:after="240"/>
        <w:rPr>
          <w:szCs w:val="18"/>
        </w:rPr>
      </w:pPr>
    </w:p>
    <w:p w:rsidR="00F94524" w:rsidRDefault="00F94524" w:rsidP="006F3279">
      <w:pPr>
        <w:spacing w:after="240"/>
        <w:rPr>
          <w:szCs w:val="18"/>
        </w:rPr>
      </w:pPr>
    </w:p>
    <w:p w:rsidR="00F94524" w:rsidRPr="00201AC2" w:rsidRDefault="00F94524" w:rsidP="006F3279">
      <w:pPr>
        <w:spacing w:after="240"/>
        <w:rPr>
          <w:szCs w:val="18"/>
        </w:rPr>
        <w:sectPr w:rsidR="00F9452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6F3279" w:rsidP="006F3279">
      <w:pPr>
        <w:spacing w:after="240"/>
        <w:rPr>
          <w:i/>
          <w:sz w:val="18"/>
          <w:szCs w:val="18"/>
        </w:rPr>
      </w:pPr>
      <w:r w:rsidRPr="00240541">
        <w:rPr>
          <w:i/>
          <w:sz w:val="18"/>
          <w:szCs w:val="18"/>
        </w:rPr>
        <w:lastRenderedPageBreak/>
        <w:t xml:space="preserve">Biology &gt; </w:t>
      </w:r>
      <w:r w:rsidR="0007651D" w:rsidRPr="00240541">
        <w:rPr>
          <w:i/>
          <w:sz w:val="18"/>
          <w:szCs w:val="18"/>
        </w:rPr>
        <w:t>Big idea B</w:t>
      </w:r>
      <w:r w:rsidR="00240541" w:rsidRPr="00240541">
        <w:rPr>
          <w:i/>
          <w:sz w:val="18"/>
          <w:szCs w:val="18"/>
        </w:rPr>
        <w:t>HD</w:t>
      </w:r>
      <w:r w:rsidR="0007651D" w:rsidRPr="00240541">
        <w:rPr>
          <w:i/>
          <w:sz w:val="18"/>
          <w:szCs w:val="18"/>
        </w:rPr>
        <w:t xml:space="preserve">: </w:t>
      </w:r>
      <w:r w:rsidR="00240541" w:rsidRPr="00240541">
        <w:rPr>
          <w:i/>
          <w:sz w:val="18"/>
          <w:szCs w:val="18"/>
        </w:rPr>
        <w:t>Health and disease</w:t>
      </w:r>
      <w:r w:rsidR="0007651D" w:rsidRPr="00240541">
        <w:rPr>
          <w:i/>
          <w:sz w:val="18"/>
          <w:szCs w:val="18"/>
        </w:rPr>
        <w:t xml:space="preserve"> &gt; Topic B</w:t>
      </w:r>
      <w:r w:rsidR="00240541" w:rsidRPr="00240541">
        <w:rPr>
          <w:i/>
          <w:sz w:val="18"/>
          <w:szCs w:val="18"/>
        </w:rPr>
        <w:t>HD1</w:t>
      </w:r>
      <w:r w:rsidR="0007651D" w:rsidRPr="00240541">
        <w:rPr>
          <w:i/>
          <w:sz w:val="18"/>
          <w:szCs w:val="18"/>
        </w:rPr>
        <w:t xml:space="preserve">: </w:t>
      </w:r>
      <w:r w:rsidR="00240541" w:rsidRPr="00240541">
        <w:rPr>
          <w:i/>
          <w:sz w:val="18"/>
          <w:szCs w:val="18"/>
        </w:rPr>
        <w:t>What are health and disease?</w:t>
      </w:r>
      <w:r w:rsidRPr="00240541">
        <w:rPr>
          <w:i/>
          <w:sz w:val="18"/>
          <w:szCs w:val="18"/>
        </w:rPr>
        <w:t xml:space="preserve"> &gt; </w:t>
      </w:r>
      <w:r w:rsidR="0007651D" w:rsidRPr="00240541">
        <w:rPr>
          <w:i/>
          <w:sz w:val="18"/>
          <w:szCs w:val="18"/>
        </w:rPr>
        <w:t>Key concept</w:t>
      </w:r>
      <w:r w:rsidRPr="00240541">
        <w:rPr>
          <w:i/>
          <w:sz w:val="18"/>
          <w:szCs w:val="18"/>
        </w:rPr>
        <w:t xml:space="preserve"> B</w:t>
      </w:r>
      <w:r w:rsidR="00240541" w:rsidRPr="00240541">
        <w:rPr>
          <w:i/>
          <w:sz w:val="18"/>
          <w:szCs w:val="18"/>
        </w:rPr>
        <w:t>HD1</w:t>
      </w:r>
      <w:r w:rsidRPr="00240541">
        <w:rPr>
          <w:i/>
          <w:sz w:val="18"/>
          <w:szCs w:val="18"/>
        </w:rPr>
        <w:t>.</w:t>
      </w:r>
      <w:r w:rsidR="00240541" w:rsidRPr="00240541">
        <w:rPr>
          <w:i/>
          <w:sz w:val="18"/>
          <w:szCs w:val="18"/>
        </w:rPr>
        <w:t>1</w:t>
      </w:r>
      <w:r w:rsidRPr="00240541">
        <w:rPr>
          <w:i/>
          <w:sz w:val="18"/>
          <w:szCs w:val="18"/>
        </w:rPr>
        <w:t xml:space="preserve">: </w:t>
      </w:r>
      <w:r w:rsidR="00240541" w:rsidRPr="00240541">
        <w:rPr>
          <w:i/>
          <w:sz w:val="18"/>
          <w:szCs w:val="18"/>
        </w:rPr>
        <w:t>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40541" w:rsidP="006F3279">
            <w:pPr>
              <w:spacing w:after="60"/>
              <w:ind w:left="1304"/>
              <w:rPr>
                <w:b/>
                <w:sz w:val="40"/>
                <w:szCs w:val="40"/>
              </w:rPr>
            </w:pPr>
            <w:r w:rsidRPr="00240541">
              <w:rPr>
                <w:b/>
                <w:sz w:val="40"/>
                <w:szCs w:val="40"/>
              </w:rPr>
              <w:t>Health</w:t>
            </w:r>
          </w:p>
        </w:tc>
      </w:tr>
    </w:tbl>
    <w:p w:rsidR="006F3279" w:rsidRDefault="006F3279" w:rsidP="00D16FE5">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536D77" w:rsidP="0007651D">
            <w:pPr>
              <w:spacing w:before="60" w:after="60"/>
            </w:pPr>
            <w:r w:rsidRPr="00536D77">
              <w:t>The physical health and the mental health of an organism can range from good to ill, and are affected by numerous factors.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536D77" w:rsidP="0007651D">
            <w:pPr>
              <w:spacing w:before="60" w:after="60"/>
              <w:rPr>
                <w:b/>
              </w:rPr>
            </w:pPr>
            <w:r w:rsidRPr="00536D77">
              <w:t>Recall that people have both physical health and mental health, which can range from good to ill.</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0E66C0" w:rsidP="0021607B">
            <w:pPr>
              <w:spacing w:before="60" w:after="60"/>
            </w:pPr>
            <w:r w:rsidRPr="000E66C0">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40541" w:rsidP="000505CA">
            <w:pPr>
              <w:spacing w:before="60" w:after="60"/>
            </w:pPr>
            <w:r>
              <w:t>Health, disease</w:t>
            </w:r>
          </w:p>
        </w:tc>
      </w:tr>
    </w:tbl>
    <w:p w:rsidR="00E172C6" w:rsidRDefault="00E172C6" w:rsidP="00D16F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354F5D">
      <w:pPr>
        <w:spacing w:after="120"/>
      </w:pPr>
    </w:p>
    <w:p w:rsidR="00C05571" w:rsidRPr="005B372A" w:rsidRDefault="00BB44B4" w:rsidP="00354F5D">
      <w:pPr>
        <w:spacing w:after="120"/>
        <w:rPr>
          <w:b/>
          <w:color w:val="538135"/>
          <w:sz w:val="24"/>
        </w:rPr>
      </w:pPr>
      <w:r w:rsidRPr="005B372A">
        <w:rPr>
          <w:b/>
          <w:color w:val="538135"/>
          <w:sz w:val="24"/>
        </w:rPr>
        <w:t>What does the research say</w:t>
      </w:r>
      <w:r w:rsidR="00C05571" w:rsidRPr="005B372A">
        <w:rPr>
          <w:b/>
          <w:color w:val="538135"/>
          <w:sz w:val="24"/>
        </w:rPr>
        <w:t>?</w:t>
      </w:r>
    </w:p>
    <w:p w:rsidR="00743E01" w:rsidRDefault="00743E01" w:rsidP="00354F5D">
      <w:pPr>
        <w:spacing w:after="120"/>
      </w:pPr>
      <w:r>
        <w:t xml:space="preserve">Learning about health at school </w:t>
      </w:r>
      <w:r w:rsidR="00195CD0">
        <w:t>should aim</w:t>
      </w:r>
      <w:r>
        <w:t xml:space="preserve"> to improve students’ understanding of both physical and mental health </w:t>
      </w:r>
      <w:r>
        <w:fldChar w:fldCharType="begin">
          <w:fldData xml:space="preserve">PEVuZE5vdGU+PENpdGU+PEF1dGhvcj5QYWFra2FyaTwvQXV0aG9yPjxZZWFyPjIwMTI8L1llYXI+
PElEVGV4dD5IZWFsdGggbGl0ZXJhY3kgYXMgYSBsZWFybmluZyBvdXRjb21lIGluIHNjaG9vbHM8
L0lEVGV4dD48RGlzcGxheVRleHQ+KFBhYWtrYXJpIGFuZCBQYWFra2FyaSwgMjAxMjsgS3V0Y2hl
ciBldCBhbC4sIDIwMTY7IE1lbnRhbCBIZWFsdGggRm91bmRhdGlvbiwgMjAxOSk8L0Rpc3BsYXlU
ZXh0PjxyZWNvcmQ+PHRpdGxlcz48dGl0bGU+SGVhbHRoIGxpdGVyYWN5IGFzIGEgbGVhcm5pbmcg
b3V0Y29tZSBpbiBzY2hvb2xzPC90aXRsZT48c2Vjb25kYXJ5LXRpdGxlPkhlYWx0aCBFZHVjYXRp
b248L3NlY29uZGFyeS10aXRsZT48L3RpdGxlcz48cGFnZXM+MTMzLTE1MjwvcGFnZXM+PG51bWJl
cj4yPC9udW1iZXI+PGNvbnRyaWJ1dG9ycz48YXV0aG9ycz48YXV0aG9yPlBhYWtrYXJpLCBMPC9h
dXRob3I+PGF1dGhvcj5QYWFra2FyaSwgTzwvYXV0aG9yPjwvYXV0aG9ycz48L2NvbnRyaWJ1dG9y
cz48YWRkZWQtZGF0ZSBmb3JtYXQ9InV0YyI+MTU0OTM4OTk5MzwvYWRkZWQtZGF0ZT48cmVmLXR5
cGUgbmFtZT0iSm91cm5hbCBBcnRpY2xlIj4xNzwvcmVmLXR5cGU+PGRhdGVzPjx5ZWFyPjIwMTI8
L3llYXI+PC9kYXRlcz48cmVjLW51bWJlcj44NTc0PC9yZWMtbnVtYmVyPjxsYXN0LXVwZGF0ZWQt
ZGF0ZSBmb3JtYXQ9InV0YyI+MTU0OTM5MDAyOTwvbGFzdC11cGRhdGVkLWRhdGU+PHZvbHVtZT4x
MTI8L3ZvbHVtZT48L3JlY29yZD48L0NpdGU+PENpdGU+PEF1dGhvcj5LdXRjaGVyPC9BdXRob3I+
PFllYXI+MjAxNjwvWWVhcj48SURUZXh0PkVuaGFuY2luZyBtZW50YWwgaGVhbHRoIGxpdGVyYWN5
IGluIHlvdW5nIHBlb3BsZTwvSURUZXh0PjxyZWNvcmQ+PHRpdGxlcz48dGl0bGU+RW5oYW5jaW5n
IG1lbnRhbCBoZWFsdGggbGl0ZXJhY3kgaW4geW91bmcgcGVvcGxlPC90aXRsZT48c2Vjb25kYXJ5
LXRpdGxlPkV1cm9wZWFuIENoaWxkICZhbXA7IEFkb2xlc2NlbnQgUHN5Y2hpYXRyeTwvc2Vjb25k
YXJ5LXRpdGxlPjwvdGl0bGVzPjxwYWdlcz41NjctNTY5PC9wYWdlcz48bnVtYmVyPjY8L251bWJl
cj48Y29udHJpYnV0b3JzPjxhdXRob3JzPjxhdXRob3I+S3V0Y2hlciwgUy48L2F1dGhvcj48YXV0
aG9yPldlaSwgWS48L2F1dGhvcj48YXV0aG9yPkNvc3RhLCBTLjwvYXV0aG9yPjxhdXRob3I+R3Vz
bcOjbywgUi48L2F1dGhvcj48YXV0aG9yPlNrb2thdXNrYXMsIE4uPC9hdXRob3I+PGF1dGhvcj5T
b3VyYW5kZXIsIEEuPC9hdXRob3I+PC9hdXRob3JzPjwvY29udHJpYnV0b3JzPjxhZGRlZC1kYXRl
IGZvcm1hdD0idXRjIj4xNTQ5NDYxNzk1PC9hZGRlZC1kYXRlPjxyZWYtdHlwZSBuYW1lPSJKb3Vy
bmFsIEFydGljbGUiPjE3PC9yZWYtdHlwZT48ZGF0ZXM+PHllYXI+MjAxNjwveWVhcj48L2RhdGVz
PjxyZWMtbnVtYmVyPjg1NzU8L3JlYy1udW1iZXI+PGxhc3QtdXBkYXRlZC1kYXRlIGZvcm1hdD0i
dXRjIj4xNTQ5NDYxOTM0PC9sYXN0LXVwZGF0ZWQtZGF0ZT48dm9sdW1lPjI1PC92b2x1bWU+PC9y
ZWNvcmQ+PC9DaXRlPjxDaXRlPjxBdXRob3I+TWVudGFsIEhlYWx0aCBGb3VuZGF0aW9uPC9BdXRo
b3I+PFllYXI+MjAxOTwvWWVhcj48SURUZXh0PkJpb2xvZ3kgY3VycmljdWx1bSBjb250ZW50IFtQ
ZXJzb25hbCBjb21tdW5pY2F0aW9uXTwvSURUZXh0PjxyZWNvcmQ+PHRpdGxlcz48dGl0bGU+Qmlv
bG9neSBjdXJyaWN1bHVtIGNvbnRlbnQgW1BlcnNvbmFsIGNvbW11bmljYXRpb25dPC90aXRsZT48
L3RpdGxlcz48Y29udHJpYnV0b3JzPjxhdXRob3JzPjxhdXRob3I+TWVudGFsIEhlYWx0aCBGb3Vu
ZGF0aW9uLDwvYXV0aG9yPjwvYXV0aG9ycz48L2NvbnRyaWJ1dG9ycz48YWRkZWQtZGF0ZSBmb3Jt
YXQ9InV0YyI+MTU0OTg4MTE4OTwvYWRkZWQtZGF0ZT48cmVmLXR5cGUgbmFtZT0iUGVyc29uYWwg
Q29tbXVuaWNhdGlvbiI+MjY8L3JlZi10eXBlPjxkYXRlcz48eWVhcj4yMDE5PC95ZWFyPjwvZGF0
ZXM+PHJlYy1udW1iZXI+ODU5NDwvcmVjLW51bWJlcj48bGFzdC11cGRhdGVkLWRhdGUgZm9ybWF0
PSJ1dGMiPjE1NDk4ODE1NzA8L2xhc3QtdXBkYXRlZC1kYXRlPjwvcmVjb3JkPjwvQ2l0ZT48L0Vu
ZE5vdGU+AG==
</w:fldData>
        </w:fldChar>
      </w:r>
      <w:r>
        <w:instrText xml:space="preserve"> ADDIN EN.CITE </w:instrText>
      </w:r>
      <w:r>
        <w:fldChar w:fldCharType="begin">
          <w:fldData xml:space="preserve">PEVuZE5vdGU+PENpdGU+PEF1dGhvcj5QYWFra2FyaTwvQXV0aG9yPjxZZWFyPjIwMTI8L1llYXI+
PElEVGV4dD5IZWFsdGggbGl0ZXJhY3kgYXMgYSBsZWFybmluZyBvdXRjb21lIGluIHNjaG9vbHM8
L0lEVGV4dD48RGlzcGxheVRleHQ+KFBhYWtrYXJpIGFuZCBQYWFra2FyaSwgMjAxMjsgS3V0Y2hl
ciBldCBhbC4sIDIwMTY7IE1lbnRhbCBIZWFsdGggRm91bmRhdGlvbiwgMjAxOSk8L0Rpc3BsYXlU
ZXh0PjxyZWNvcmQ+PHRpdGxlcz48dGl0bGU+SGVhbHRoIGxpdGVyYWN5IGFzIGEgbGVhcm5pbmcg
b3V0Y29tZSBpbiBzY2hvb2xzPC90aXRsZT48c2Vjb25kYXJ5LXRpdGxlPkhlYWx0aCBFZHVjYXRp
b248L3NlY29uZGFyeS10aXRsZT48L3RpdGxlcz48cGFnZXM+MTMzLTE1MjwvcGFnZXM+PG51bWJl
cj4yPC9udW1iZXI+PGNvbnRyaWJ1dG9ycz48YXV0aG9ycz48YXV0aG9yPlBhYWtrYXJpLCBMPC9h
dXRob3I+PGF1dGhvcj5QYWFra2FyaSwgTzwvYXV0aG9yPjwvYXV0aG9ycz48L2NvbnRyaWJ1dG9y
cz48YWRkZWQtZGF0ZSBmb3JtYXQ9InV0YyI+MTU0OTM4OTk5MzwvYWRkZWQtZGF0ZT48cmVmLXR5
cGUgbmFtZT0iSm91cm5hbCBBcnRpY2xlIj4xNzwvcmVmLXR5cGU+PGRhdGVzPjx5ZWFyPjIwMTI8
L3llYXI+PC9kYXRlcz48cmVjLW51bWJlcj44NTc0PC9yZWMtbnVtYmVyPjxsYXN0LXVwZGF0ZWQt
ZGF0ZSBmb3JtYXQ9InV0YyI+MTU0OTM5MDAyOTwvbGFzdC11cGRhdGVkLWRhdGU+PHZvbHVtZT4x
MTI8L3ZvbHVtZT48L3JlY29yZD48L0NpdGU+PENpdGU+PEF1dGhvcj5LdXRjaGVyPC9BdXRob3I+
PFllYXI+MjAxNjwvWWVhcj48SURUZXh0PkVuaGFuY2luZyBtZW50YWwgaGVhbHRoIGxpdGVyYWN5
IGluIHlvdW5nIHBlb3BsZTwvSURUZXh0PjxyZWNvcmQ+PHRpdGxlcz48dGl0bGU+RW5oYW5jaW5n
IG1lbnRhbCBoZWFsdGggbGl0ZXJhY3kgaW4geW91bmcgcGVvcGxlPC90aXRsZT48c2Vjb25kYXJ5
LXRpdGxlPkV1cm9wZWFuIENoaWxkICZhbXA7IEFkb2xlc2NlbnQgUHN5Y2hpYXRyeTwvc2Vjb25k
YXJ5LXRpdGxlPjwvdGl0bGVzPjxwYWdlcz41NjctNTY5PC9wYWdlcz48bnVtYmVyPjY8L251bWJl
cj48Y29udHJpYnV0b3JzPjxhdXRob3JzPjxhdXRob3I+S3V0Y2hlciwgUy48L2F1dGhvcj48YXV0
aG9yPldlaSwgWS48L2F1dGhvcj48YXV0aG9yPkNvc3RhLCBTLjwvYXV0aG9yPjxhdXRob3I+R3Vz
bcOjbywgUi48L2F1dGhvcj48YXV0aG9yPlNrb2thdXNrYXMsIE4uPC9hdXRob3I+PGF1dGhvcj5T
b3VyYW5kZXIsIEEuPC9hdXRob3I+PC9hdXRob3JzPjwvY29udHJpYnV0b3JzPjxhZGRlZC1kYXRl
IGZvcm1hdD0idXRjIj4xNTQ5NDYxNzk1PC9hZGRlZC1kYXRlPjxyZWYtdHlwZSBuYW1lPSJKb3Vy
bmFsIEFydGljbGUiPjE3PC9yZWYtdHlwZT48ZGF0ZXM+PHllYXI+MjAxNjwveWVhcj48L2RhdGVz
PjxyZWMtbnVtYmVyPjg1NzU8L3JlYy1udW1iZXI+PGxhc3QtdXBkYXRlZC1kYXRlIGZvcm1hdD0i
dXRjIj4xNTQ5NDYxOTM0PC9sYXN0LXVwZGF0ZWQtZGF0ZT48dm9sdW1lPjI1PC92b2x1bWU+PC9y
ZWNvcmQ+PC9DaXRlPjxDaXRlPjxBdXRob3I+TWVudGFsIEhlYWx0aCBGb3VuZGF0aW9uPC9BdXRo
b3I+PFllYXI+MjAxOTwvWWVhcj48SURUZXh0PkJpb2xvZ3kgY3VycmljdWx1bSBjb250ZW50IFtQ
ZXJzb25hbCBjb21tdW5pY2F0aW9uXTwvSURUZXh0PjxyZWNvcmQ+PHRpdGxlcz48dGl0bGU+Qmlv
bG9neSBjdXJyaWN1bHVtIGNvbnRlbnQgW1BlcnNvbmFsIGNvbW11bmljYXRpb25dPC90aXRsZT48
L3RpdGxlcz48Y29udHJpYnV0b3JzPjxhdXRob3JzPjxhdXRob3I+TWVudGFsIEhlYWx0aCBGb3Vu
ZGF0aW9uLDwvYXV0aG9yPjwvYXV0aG9ycz48L2NvbnRyaWJ1dG9ycz48YWRkZWQtZGF0ZSBmb3Jt
YXQ9InV0YyI+MTU0OTg4MTE4OTwvYWRkZWQtZGF0ZT48cmVmLXR5cGUgbmFtZT0iUGVyc29uYWwg
Q29tbXVuaWNhdGlvbiI+MjY8L3JlZi10eXBlPjxkYXRlcz48eWVhcj4yMDE5PC95ZWFyPjwvZGF0
ZXM+PHJlYy1udW1iZXI+ODU5NDwvcmVjLW51bWJlcj48bGFzdC11cGRhdGVkLWRhdGUgZm9ybWF0
PSJ1dGMiPjE1NDk4ODE1NzA8L2xhc3QtdXBkYXRlZC1kYXRlPjwvcmVjb3JkPjwvQ2l0ZT48L0Vu
ZE5vdGU+AG==
</w:fldData>
        </w:fldChar>
      </w:r>
      <w:r>
        <w:instrText xml:space="preserve"> ADDIN EN.CITE.DATA </w:instrText>
      </w:r>
      <w:r>
        <w:fldChar w:fldCharType="end"/>
      </w:r>
      <w:r>
        <w:fldChar w:fldCharType="separate"/>
      </w:r>
      <w:r>
        <w:rPr>
          <w:noProof/>
        </w:rPr>
        <w:t>(Paakkari and Paakkari, 2012; Kutcher et al., 2016; Mental Health Foundation, 2019)</w:t>
      </w:r>
      <w:r>
        <w:fldChar w:fldCharType="end"/>
      </w:r>
      <w:r>
        <w:t>.</w:t>
      </w:r>
    </w:p>
    <w:p w:rsidR="00C05571" w:rsidRDefault="00CF7FDC" w:rsidP="00354F5D">
      <w:pPr>
        <w:spacing w:after="120"/>
      </w:pPr>
      <w:r>
        <w:t xml:space="preserve">Children’s understanding of health, and of behaviours associated with good and ill health, changes with their age and developmental stage </w:t>
      </w:r>
      <w:r>
        <w:fldChar w:fldCharType="begin"/>
      </w:r>
      <w:r>
        <w:instrText xml:space="preserve"> ADDIN EN.CITE &lt;EndNote&gt;&lt;Cite&gt;&lt;Author&gt;Berk&lt;/Author&gt;&lt;Year&gt;2000&lt;/Year&gt;&lt;IDText&gt;Child Development&lt;/IDText&gt;&lt;DisplayText&gt;(Berk, 2000)&lt;/DisplayText&gt;&lt;record&gt;&lt;titles&gt;&lt;title&gt;Child Development&lt;/title&gt;&lt;/titles&gt;&lt;contributors&gt;&lt;authors&gt;&lt;author&gt;Berk, L.E.&lt;/author&gt;&lt;/authors&gt;&lt;/contributors&gt;&lt;edition&gt;5th&lt;/edition&gt;&lt;added-date format="utc"&gt;1549717058&lt;/added-date&gt;&lt;pub-location&gt;Boston, M.A.&lt;/pub-location&gt;&lt;ref-type name="Book"&gt;6&lt;/ref-type&gt;&lt;dates&gt;&lt;year&gt;2000&lt;/year&gt;&lt;/dates&gt;&lt;rec-number&gt;8582&lt;/rec-number&gt;&lt;publisher&gt;Allyn &amp;amp; Bacon&lt;/publisher&gt;&lt;last-updated-date format="utc"&gt;1549717157&lt;/last-updated-date&gt;&lt;/record&gt;&lt;/Cite&gt;&lt;/EndNote&gt;</w:instrText>
      </w:r>
      <w:r>
        <w:fldChar w:fldCharType="separate"/>
      </w:r>
      <w:r>
        <w:rPr>
          <w:noProof/>
        </w:rPr>
        <w:t>(Berk, 2000)</w:t>
      </w:r>
      <w:r>
        <w:fldChar w:fldCharType="end"/>
      </w:r>
      <w:r>
        <w:t>. The ways in which people define health shifts with age; while children and younger people tend to define health in terms of vitality and physical strength, older people relate health to physical functions and ability to cope with everyday life.</w:t>
      </w:r>
    </w:p>
    <w:p w:rsidR="009E6220" w:rsidRDefault="00CF7FDC" w:rsidP="00354F5D">
      <w:pPr>
        <w:spacing w:after="120"/>
      </w:pPr>
      <w:r>
        <w:t xml:space="preserve">Research suggests that young children’s primary source of health information is their family, followed by public health campaigns, and </w:t>
      </w:r>
      <w:r w:rsidR="008C7031">
        <w:t xml:space="preserve">then </w:t>
      </w:r>
      <w:r>
        <w:t xml:space="preserve">teachers and friends at school </w:t>
      </w:r>
      <w:r>
        <w:fldChar w:fldCharType="begin"/>
      </w:r>
      <w:r>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fldChar w:fldCharType="separate"/>
      </w:r>
      <w:r>
        <w:rPr>
          <w:noProof/>
        </w:rPr>
        <w:t>(Brindal et al., 2012)</w:t>
      </w:r>
      <w:r>
        <w:fldChar w:fldCharType="end"/>
      </w:r>
      <w:r w:rsidR="009E6220">
        <w:t>. Regardless of prior schooling in ideas about healthy and unhealthy behaviours,</w:t>
      </w:r>
      <w:r>
        <w:t xml:space="preserve"> children at age 11 are likely to have many preconceptions about health from everyday life.</w:t>
      </w:r>
    </w:p>
    <w:p w:rsidR="00CF7FDC" w:rsidRDefault="00CF7FDC" w:rsidP="00354F5D">
      <w:pPr>
        <w:spacing w:after="120"/>
      </w:pPr>
      <w:r>
        <w:t xml:space="preserve">The misunderstanding that health only relates to physical health (and not also to mental health) is common, and health is often equated specifically with physical </w:t>
      </w:r>
      <w:r w:rsidRPr="00CF7FDC">
        <w:rPr>
          <w:i/>
        </w:rPr>
        <w:t>fitness</w:t>
      </w:r>
      <w:r>
        <w:t xml:space="preserve"> </w:t>
      </w:r>
      <w:r>
        <w:fldChar w:fldCharType="begin"/>
      </w:r>
      <w:r>
        <w:instrText xml:space="preserve"> ADDIN EN.CITE &lt;EndNote&gt;&lt;Cite&gt;&lt;Author&gt;Varea&lt;/Author&gt;&lt;Year&gt;2018&lt;/Year&gt;&lt;IDText&gt;Mixed messages: pre-service health and physical education teachers&amp;apos; understandings of health and the body and the expectations of the Australian curriculum&lt;/IDText&gt;&lt;DisplayText&gt;(Varea, 2018)&lt;/DisplayText&gt;&lt;record&gt;&lt;dates&gt;&lt;pub-dates&gt;&lt;date&gt;01/01/&lt;/date&gt;&lt;/pub-dates&gt;&lt;year&gt;2018&lt;/year&gt;&lt;/dates&gt;&lt;keywords&gt;&lt;keyword&gt;Foreign Countries&lt;/keyword&gt;&lt;keyword&gt;Physical Education Teachers&lt;/keyword&gt;&lt;keyword&gt;Health Education&lt;/keyword&gt;&lt;keyword&gt;Preservice Teachers&lt;/keyword&gt;&lt;keyword&gt;Interviews&lt;/keyword&gt;&lt;keyword&gt;Curriculum&lt;/keyword&gt;&lt;keyword&gt;Course Descriptions&lt;/keyword&gt;&lt;keyword&gt;Barriers&lt;/keyword&gt;&lt;keyword&gt;Undergraduate Study&lt;/keyword&gt;&lt;keyword&gt;Teacher Competencies&lt;/keyword&gt;&lt;keyword&gt;Human Body&lt;/keyword&gt;&lt;keyword&gt;Neoliberalism&lt;/keyword&gt;&lt;keyword&gt;Role Models&lt;/keyword&gt;&lt;keyword&gt;Teacher Role&lt;/keyword&gt;&lt;keyword&gt;Australia&lt;/keyword&gt;&lt;/keywords&gt;&lt;urls&gt;&lt;related-urls&gt;&lt;url&gt;http://search.ebscohost.com/login.aspx?direct=true&amp;amp;db=eric&amp;amp;AN=EJ1169594&amp;amp;site=ehost-live&lt;/url&gt;&lt;url&gt;http://dx.doi.org/10.1080/13573322.2016.1179182&lt;/url&gt;&lt;/related-urls&gt;&lt;/urls&gt;&lt;isbn&gt;1357-3322&lt;/isbn&gt;&lt;titles&gt;&lt;title&gt;Mixed messages: pre-service health and physical education teachers&amp;apos; understandings of health and the body and the expectations of the Australian curriculum&lt;/title&gt;&lt;secondary-title&gt;Sport, Education and Society&lt;/secondary-title&gt;&lt;/titles&gt;&lt;pages&gt;244-256&lt;/pages&gt;&lt;number&gt;3&lt;/number&gt;&lt;contributors&gt;&lt;authors&gt;&lt;author&gt;Varea, Valeria&lt;/author&gt;&lt;/authors&gt;&lt;/contributors&gt;&lt;added-date format="utc"&gt;1549801470&lt;/added-date&gt;&lt;ref-type name="Journal Article"&gt;17&lt;/ref-type&gt;&lt;remote-database-provider&gt;EBSCOhost&lt;/remote-database-provider&gt;&lt;rec-number&gt;8587&lt;/rec-number&gt;&lt;last-updated-date format="utc"&gt;1549801556&lt;/last-updated-date&gt;&lt;accession-num&gt;EJ1169594&lt;/accession-num&gt;&lt;volume&gt;23&lt;/volume&gt;&lt;remote-database-name&gt;eric&lt;/remote-database-name&gt;&lt;/record&gt;&lt;/Cite&gt;&lt;/EndNote&gt;</w:instrText>
      </w:r>
      <w:r>
        <w:fldChar w:fldCharType="separate"/>
      </w:r>
      <w:r>
        <w:rPr>
          <w:noProof/>
        </w:rPr>
        <w:t>(Varea, 2018)</w:t>
      </w:r>
      <w:r>
        <w:fldChar w:fldCharType="end"/>
      </w:r>
      <w:r>
        <w:t xml:space="preserve">. When children aged 9-11 in the US </w:t>
      </w:r>
      <w:r>
        <w:fldChar w:fldCharType="begin"/>
      </w:r>
      <w:r>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fldChar w:fldCharType="separate"/>
      </w:r>
      <w:r>
        <w:rPr>
          <w:noProof/>
        </w:rPr>
        <w:t>(Reeve and Bell, 2009)</w:t>
      </w:r>
      <w:r>
        <w:fldChar w:fldCharType="end"/>
      </w:r>
      <w:r>
        <w:t xml:space="preserve"> and aged 5-9 in Australia </w:t>
      </w:r>
      <w:r>
        <w:fldChar w:fldCharType="begin"/>
      </w:r>
      <w:r>
        <w:instrText xml:space="preserve"> ADDIN EN.CITE &lt;EndNote&gt;&lt;Cite&gt;&lt;Author&gt;Brindal&lt;/Author&gt;&lt;Year&gt;2012&lt;/Year&gt;&lt;IDText&gt;How do Australian junior primary school children perceive the concepts of &amp;quot;healthy&amp;quot; and &amp;quot;unhealthy&amp;quot;?&lt;/IDText&gt;&lt;DisplayText&gt;(Brindal et al., 2012)&lt;/DisplayText&gt;&lt;record&gt;&lt;dates&gt;&lt;pub-dates&gt;&lt;date&gt;01/01/&lt;/date&gt;&lt;/pub-dates&gt;&lt;year&gt;2012&lt;/year&gt;&lt;/dates&gt;&lt;keywords&gt;&lt;keyword&gt;Health Education&lt;/keyword&gt;&lt;keyword&gt;Physical Activities&lt;/keyword&gt;&lt;keyword&gt;Health Promotion&lt;/keyword&gt;&lt;keyword&gt;Focus Groups&lt;/keyword&gt;&lt;keyword&gt;Public Health&lt;/keyword&gt;&lt;keyword&gt;Young Children&lt;/keyword&gt;&lt;keyword&gt;Teaching Methods&lt;/keyword&gt;&lt;keyword&gt;Foreign Countries&lt;/keyword&gt;&lt;keyword&gt;Student Attitudes&lt;/keyword&gt;&lt;keyword&gt;Learner Engagement&lt;/keyword&gt;&lt;keyword&gt;Primary Education&lt;/keyword&gt;&lt;keyword&gt;Intervention&lt;/keyword&gt;&lt;keyword&gt;Small Group Instruction&lt;/keyword&gt;&lt;keyword&gt;Australia&lt;/keyword&gt;&lt;/keywords&gt;&lt;urls&gt;&lt;related-urls&gt;&lt;url&gt;http://search.ebscohost.com/login.aspx?direct=true&amp;amp;db=eric&amp;amp;AN=EJ976493&amp;amp;site=ehost-live&lt;/url&gt;&lt;url&gt;http://www.emeraldinsight.com/journals.htm?issn=0965-4283&amp;amp;volume=112&amp;amp;issue=5&amp;amp;articleid=17048107&amp;amp;show=abstract&lt;/url&gt;&lt;/related-urls&gt;&lt;/urls&gt;&lt;isbn&gt;0965-4283&lt;/isbn&gt;&lt;titles&gt;&lt;title&gt;How do Australian junior primary school children perceive the concepts of &amp;quot;healthy&amp;quot; and &amp;quot;unhealthy&amp;quot;?&lt;/title&gt;&lt;secondary-title&gt;Health Education&lt;/secondary-title&gt;&lt;/titles&gt;&lt;pages&gt;406-420&lt;/pages&gt;&lt;number&gt;5&lt;/number&gt;&lt;contributors&gt;&lt;authors&gt;&lt;author&gt;Brindal, Emily&lt;/author&gt;&lt;author&gt;Hendrie, Gilly&lt;/author&gt;&lt;author&gt;Thompson, Kirrilly&lt;/author&gt;&lt;author&gt;Blunden, Sarah&lt;/author&gt;&lt;/authors&gt;&lt;/contributors&gt;&lt;added-date format="utc"&gt;1549716675&lt;/added-date&gt;&lt;ref-type name="Journal Article"&gt;17&lt;/ref-type&gt;&lt;remote-database-provider&gt;EBSCOhost&lt;/remote-database-provider&gt;&lt;rec-number&gt;8581&lt;/rec-number&gt;&lt;last-updated-date format="utc"&gt;1549724127&lt;/last-updated-date&gt;&lt;accession-num&gt;EJ976493&lt;/accession-num&gt;&lt;volume&gt;112&lt;/volume&gt;&lt;remote-database-name&gt;eric&lt;/remote-database-name&gt;&lt;/record&gt;&lt;/Cite&gt;&lt;/EndNote&gt;</w:instrText>
      </w:r>
      <w:r>
        <w:fldChar w:fldCharType="separate"/>
      </w:r>
      <w:r>
        <w:rPr>
          <w:noProof/>
        </w:rPr>
        <w:t>(Brindal et al., 2012)</w:t>
      </w:r>
      <w:r>
        <w:fldChar w:fldCharType="end"/>
      </w:r>
      <w:r>
        <w:t xml:space="preserve"> were asked to draw and write about healthy and unhealthy things, most of the students’ answers related to diet (over 60% in the US study) and physical activity; emotional and mental health rarely featured.</w:t>
      </w:r>
      <w:r w:rsidR="00354F5D">
        <w:t xml:space="preserve"> When the children in the US study were asked to define health, their answers mostly referred to disease (causes and cures).</w:t>
      </w:r>
    </w:p>
    <w:p w:rsidR="007A748B" w:rsidRPr="005B372A" w:rsidRDefault="007A748B" w:rsidP="00354F5D">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F61C68" w:rsidRDefault="008D0F89" w:rsidP="00354F5D">
      <w:pPr>
        <w:spacing w:after="120"/>
      </w:pPr>
      <w:r>
        <w:t>This diagnostic question helps to provide evidence of students’ preconceptions about physical and mental health.</w:t>
      </w:r>
    </w:p>
    <w:p w:rsidR="00FD60D7" w:rsidRPr="00053121" w:rsidRDefault="00CD32EC" w:rsidP="00354F5D">
      <w:pPr>
        <w:spacing w:after="120"/>
      </w:pPr>
      <w:r w:rsidRPr="00053121">
        <w:t>Students should complete the confidence grid</w:t>
      </w:r>
      <w:r w:rsidR="00354F5D">
        <w:t>s</w:t>
      </w:r>
      <w:r w:rsidRPr="00053121">
        <w:t xml:space="preserve"> individually. This could be a pencil and paper exercise, or you could use the PowerPoint presentation with an electronic voting system or mini white boards.</w:t>
      </w:r>
      <w:r w:rsidR="00FD60D7" w:rsidRPr="00053121">
        <w:t xml:space="preserve"> </w:t>
      </w:r>
      <w:r w:rsidR="00053121" w:rsidRPr="00053121">
        <w:t xml:space="preserve">It may be helpful to follow each part with a discussion of the statements and </w:t>
      </w:r>
      <w:r w:rsidR="00354F5D">
        <w:t xml:space="preserve">students’ </w:t>
      </w:r>
      <w:r w:rsidR="00053121" w:rsidRPr="00053121">
        <w:t>answers (see ‘How to respond - what next?’) before moving on to the next part.</w:t>
      </w:r>
    </w:p>
    <w:p w:rsidR="00CD32EC" w:rsidRPr="007B2550" w:rsidRDefault="00CD32EC" w:rsidP="00354F5D">
      <w:pPr>
        <w:spacing w:after="120"/>
        <w:rPr>
          <w:i/>
        </w:rPr>
      </w:pPr>
      <w:r w:rsidRPr="007B2550">
        <w:rPr>
          <w:i/>
        </w:rPr>
        <w:lastRenderedPageBreak/>
        <w:t>Differentiation</w:t>
      </w:r>
    </w:p>
    <w:p w:rsidR="00CD32EC" w:rsidRPr="00C54711" w:rsidRDefault="00CD32EC" w:rsidP="00354F5D">
      <w:pPr>
        <w:spacing w:after="120"/>
        <w:rPr>
          <w:highlight w:val="yellow"/>
        </w:rPr>
      </w:pPr>
      <w:r>
        <w:t>You may choose to read the statements to the class, so that everyone can focus on the science. In some situations it may be more appropriate for a teaching assistant to read for one or two students.</w:t>
      </w:r>
    </w:p>
    <w:p w:rsidR="00E172C6" w:rsidRPr="005B372A" w:rsidRDefault="00BB44B4" w:rsidP="00354F5D">
      <w:pPr>
        <w:spacing w:after="120"/>
        <w:rPr>
          <w:b/>
          <w:color w:val="538135"/>
          <w:sz w:val="24"/>
        </w:rPr>
      </w:pPr>
      <w:r w:rsidRPr="005B372A">
        <w:rPr>
          <w:b/>
          <w:color w:val="538135"/>
          <w:sz w:val="24"/>
        </w:rPr>
        <w:t>Expected answers</w:t>
      </w:r>
    </w:p>
    <w:p w:rsidR="00BF6C8A" w:rsidRPr="00D16FE5" w:rsidRDefault="00D16FE5" w:rsidP="000457E6">
      <w:pPr>
        <w:spacing w:after="120"/>
        <w:rPr>
          <w:i/>
        </w:rPr>
      </w:pPr>
      <w:r w:rsidRPr="00D16FE5">
        <w:rPr>
          <w:i/>
        </w:rPr>
        <w:t>Part 1</w:t>
      </w:r>
    </w:p>
    <w:p w:rsidR="00D16FE5" w:rsidRDefault="00D16FE5" w:rsidP="00D16FE5">
      <w:pPr>
        <w:pStyle w:val="ListParagraph"/>
        <w:numPr>
          <w:ilvl w:val="0"/>
          <w:numId w:val="4"/>
        </w:numPr>
        <w:spacing w:after="180"/>
        <w:ind w:left="426"/>
      </w:pPr>
      <w:r>
        <w:t>You only need to think about your health when you’re i</w:t>
      </w:r>
      <w:r w:rsidR="00053121">
        <w:t xml:space="preserve">ll – </w:t>
      </w:r>
      <w:r w:rsidR="00053121" w:rsidRPr="00053121">
        <w:rPr>
          <w:b/>
        </w:rPr>
        <w:t>wrong</w:t>
      </w:r>
      <w:r w:rsidR="00053121">
        <w:t xml:space="preserve"> (staying in </w:t>
      </w:r>
      <w:r w:rsidR="00053121" w:rsidRPr="00053121">
        <w:rPr>
          <w:i/>
        </w:rPr>
        <w:t>good</w:t>
      </w:r>
      <w:r w:rsidR="00053121">
        <w:t xml:space="preserve"> health </w:t>
      </w:r>
      <w:r w:rsidR="00354F5D">
        <w:t>requires action beyond just treating disease</w:t>
      </w:r>
      <w:r w:rsidR="00053121">
        <w:t>)</w:t>
      </w:r>
    </w:p>
    <w:p w:rsidR="00D16FE5" w:rsidRDefault="00D16FE5" w:rsidP="00D16FE5">
      <w:pPr>
        <w:pStyle w:val="ListParagraph"/>
        <w:numPr>
          <w:ilvl w:val="0"/>
          <w:numId w:val="4"/>
        </w:numPr>
        <w:spacing w:after="180"/>
        <w:ind w:left="426"/>
      </w:pPr>
      <w:r>
        <w:t>You are either healthy or i</w:t>
      </w:r>
      <w:r w:rsidR="00053121">
        <w:t xml:space="preserve">ll. There is nothing in-between – </w:t>
      </w:r>
      <w:r w:rsidR="00053121" w:rsidRPr="00053121">
        <w:rPr>
          <w:b/>
        </w:rPr>
        <w:t>wrong</w:t>
      </w:r>
      <w:r w:rsidR="00053121">
        <w:t xml:space="preserve"> (draw out the idea that health can range from good to ill</w:t>
      </w:r>
      <w:r w:rsidR="00B21C7E">
        <w:t>, with various factors acting to make health better or worse</w:t>
      </w:r>
      <w:r w:rsidR="00053121">
        <w:t>)</w:t>
      </w:r>
    </w:p>
    <w:p w:rsidR="00D16FE5" w:rsidRDefault="00D16FE5" w:rsidP="00D16FE5">
      <w:pPr>
        <w:pStyle w:val="ListParagraph"/>
        <w:numPr>
          <w:ilvl w:val="0"/>
          <w:numId w:val="4"/>
        </w:numPr>
        <w:spacing w:after="180"/>
        <w:ind w:left="426"/>
      </w:pPr>
      <w:r>
        <w:t>You can’t do</w:t>
      </w:r>
      <w:r w:rsidR="00053121">
        <w:t xml:space="preserve"> anything to change your health – </w:t>
      </w:r>
      <w:r w:rsidR="00053121" w:rsidRPr="00053121">
        <w:rPr>
          <w:b/>
        </w:rPr>
        <w:t>wrong</w:t>
      </w:r>
      <w:r w:rsidR="00053121">
        <w:t xml:space="preserve"> (health depends on a range of behavioural, biological and environmental factors, some of which can be changed)</w:t>
      </w:r>
    </w:p>
    <w:p w:rsidR="00D16FE5" w:rsidRDefault="00D16FE5" w:rsidP="00D16FE5">
      <w:pPr>
        <w:pStyle w:val="ListParagraph"/>
        <w:numPr>
          <w:ilvl w:val="0"/>
          <w:numId w:val="4"/>
        </w:numPr>
        <w:spacing w:after="180"/>
        <w:ind w:left="426"/>
      </w:pPr>
      <w:r>
        <w:t>Health</w:t>
      </w:r>
      <w:r w:rsidR="00053121">
        <w:t xml:space="preserve"> and fitness are the same thing – </w:t>
      </w:r>
      <w:r w:rsidR="00053121" w:rsidRPr="00053121">
        <w:rPr>
          <w:b/>
        </w:rPr>
        <w:t>wrong</w:t>
      </w:r>
      <w:r w:rsidR="00053121">
        <w:t xml:space="preserve"> (</w:t>
      </w:r>
      <w:r w:rsidR="008C7031">
        <w:t xml:space="preserve">somebody who has done a lot of exercise </w:t>
      </w:r>
      <w:r w:rsidR="008C7031">
        <w:t>may be</w:t>
      </w:r>
      <w:r w:rsidR="008C7031">
        <w:t xml:space="preserve"> physically fit</w:t>
      </w:r>
      <w:r w:rsidR="008C7031">
        <w:t xml:space="preserve">, but their </w:t>
      </w:r>
      <w:r w:rsidR="00053121">
        <w:t>physical and mental health can be affected by illness)</w:t>
      </w:r>
    </w:p>
    <w:p w:rsidR="00D16FE5" w:rsidRPr="00D16FE5" w:rsidRDefault="00D16FE5" w:rsidP="000457E6">
      <w:pPr>
        <w:spacing w:after="120"/>
        <w:rPr>
          <w:i/>
        </w:rPr>
      </w:pPr>
      <w:r w:rsidRPr="00D16FE5">
        <w:rPr>
          <w:i/>
        </w:rPr>
        <w:t>Part 2</w:t>
      </w:r>
    </w:p>
    <w:p w:rsidR="00D16FE5" w:rsidRDefault="00053121" w:rsidP="00D16FE5">
      <w:pPr>
        <w:pStyle w:val="ListParagraph"/>
        <w:numPr>
          <w:ilvl w:val="0"/>
          <w:numId w:val="5"/>
        </w:numPr>
        <w:spacing w:after="180"/>
        <w:ind w:left="426"/>
      </w:pPr>
      <w:r>
        <w:t xml:space="preserve">Everybody can have ill health – </w:t>
      </w:r>
      <w:r w:rsidRPr="00053121">
        <w:rPr>
          <w:b/>
        </w:rPr>
        <w:t>right</w:t>
      </w:r>
    </w:p>
    <w:p w:rsidR="00D16FE5" w:rsidRDefault="00D16FE5" w:rsidP="00D16FE5">
      <w:pPr>
        <w:pStyle w:val="ListParagraph"/>
        <w:numPr>
          <w:ilvl w:val="0"/>
          <w:numId w:val="5"/>
        </w:numPr>
        <w:spacing w:after="180"/>
        <w:ind w:left="426"/>
      </w:pPr>
      <w:r>
        <w:t xml:space="preserve">To stay healthy you must take care of </w:t>
      </w:r>
      <w:r w:rsidR="00053121">
        <w:t xml:space="preserve">both your body and your mind – </w:t>
      </w:r>
      <w:r w:rsidR="00053121" w:rsidRPr="00053121">
        <w:rPr>
          <w:b/>
        </w:rPr>
        <w:t>right</w:t>
      </w:r>
      <w:r w:rsidR="00053121">
        <w:t xml:space="preserve"> </w:t>
      </w:r>
    </w:p>
    <w:p w:rsidR="00D16FE5" w:rsidRDefault="00D16FE5" w:rsidP="00D16FE5">
      <w:pPr>
        <w:pStyle w:val="ListParagraph"/>
        <w:numPr>
          <w:ilvl w:val="0"/>
          <w:numId w:val="5"/>
        </w:numPr>
        <w:spacing w:after="180"/>
        <w:ind w:left="426"/>
      </w:pPr>
      <w:r>
        <w:t xml:space="preserve">The health of your </w:t>
      </w:r>
      <w:r w:rsidR="00143458">
        <w:t>thoughts</w:t>
      </w:r>
      <w:r>
        <w:t xml:space="preserve"> and your emotions</w:t>
      </w:r>
      <w:r w:rsidR="00053121">
        <w:t xml:space="preserve"> is called your physical health – </w:t>
      </w:r>
      <w:r w:rsidR="00053121" w:rsidRPr="00053121">
        <w:rPr>
          <w:b/>
        </w:rPr>
        <w:t>wrong</w:t>
      </w:r>
      <w:r w:rsidR="00053121">
        <w:t xml:space="preserve"> (this is called mental health)</w:t>
      </w:r>
    </w:p>
    <w:p w:rsidR="00D16FE5" w:rsidRDefault="00D16FE5" w:rsidP="00D16FE5">
      <w:pPr>
        <w:pStyle w:val="ListParagraph"/>
        <w:numPr>
          <w:ilvl w:val="0"/>
          <w:numId w:val="5"/>
        </w:numPr>
        <w:spacing w:after="180"/>
        <w:ind w:left="426"/>
      </w:pPr>
      <w:r>
        <w:t>The health of your bo</w:t>
      </w:r>
      <w:r w:rsidR="00053121">
        <w:t xml:space="preserve">dy is called your mental health – </w:t>
      </w:r>
      <w:r w:rsidR="00053121" w:rsidRPr="00053121">
        <w:rPr>
          <w:b/>
        </w:rPr>
        <w:t>wrong</w:t>
      </w:r>
      <w:r w:rsidR="00053121">
        <w:t xml:space="preserve"> (this is called physical health)</w:t>
      </w:r>
    </w:p>
    <w:p w:rsidR="00D16FE5" w:rsidRPr="00D16FE5" w:rsidRDefault="00D16FE5" w:rsidP="000457E6">
      <w:pPr>
        <w:spacing w:after="120"/>
        <w:rPr>
          <w:i/>
        </w:rPr>
      </w:pPr>
      <w:r w:rsidRPr="00D16FE5">
        <w:rPr>
          <w:i/>
        </w:rPr>
        <w:t>Part 3</w:t>
      </w:r>
    </w:p>
    <w:p w:rsidR="00D16FE5" w:rsidRDefault="00053121" w:rsidP="00D16FE5">
      <w:pPr>
        <w:pStyle w:val="ListParagraph"/>
        <w:numPr>
          <w:ilvl w:val="0"/>
          <w:numId w:val="6"/>
        </w:numPr>
        <w:spacing w:after="180"/>
        <w:ind w:left="426"/>
      </w:pPr>
      <w:r>
        <w:t xml:space="preserve">Everybody has mental health – </w:t>
      </w:r>
      <w:r w:rsidRPr="00053121">
        <w:rPr>
          <w:b/>
        </w:rPr>
        <w:t>right</w:t>
      </w:r>
      <w:r>
        <w:t xml:space="preserve"> (students who select ‘wrong’ as their answer may be thinking only of mental </w:t>
      </w:r>
      <w:r w:rsidRPr="00053121">
        <w:rPr>
          <w:i/>
        </w:rPr>
        <w:t>ill</w:t>
      </w:r>
      <w:r>
        <w:t xml:space="preserve"> health, or mental health ‘issues’)</w:t>
      </w:r>
    </w:p>
    <w:p w:rsidR="00D16FE5" w:rsidRDefault="00D16FE5" w:rsidP="00D16FE5">
      <w:pPr>
        <w:pStyle w:val="ListParagraph"/>
        <w:numPr>
          <w:ilvl w:val="0"/>
          <w:numId w:val="6"/>
        </w:numPr>
        <w:spacing w:after="180"/>
        <w:ind w:left="426"/>
      </w:pPr>
      <w:r>
        <w:t>Mental il</w:t>
      </w:r>
      <w:r w:rsidR="00053121">
        <w:t xml:space="preserve">l health affects lots of people – </w:t>
      </w:r>
      <w:r w:rsidR="00053121" w:rsidRPr="00053121">
        <w:rPr>
          <w:b/>
        </w:rPr>
        <w:t>right</w:t>
      </w:r>
      <w:r w:rsidR="00053121">
        <w:t xml:space="preserve"> </w:t>
      </w:r>
    </w:p>
    <w:p w:rsidR="00D16FE5" w:rsidRDefault="00D16FE5" w:rsidP="00D16FE5">
      <w:pPr>
        <w:pStyle w:val="ListParagraph"/>
        <w:numPr>
          <w:ilvl w:val="0"/>
          <w:numId w:val="6"/>
        </w:numPr>
        <w:spacing w:after="180"/>
        <w:ind w:left="426"/>
      </w:pPr>
      <w:r>
        <w:t>Your physical healt</w:t>
      </w:r>
      <w:r w:rsidR="00053121">
        <w:t xml:space="preserve">h can affect your mental health – </w:t>
      </w:r>
      <w:r w:rsidR="00053121" w:rsidRPr="00053121">
        <w:rPr>
          <w:b/>
        </w:rPr>
        <w:t>right</w:t>
      </w:r>
      <w:r w:rsidR="00053121">
        <w:t xml:space="preserve"> </w:t>
      </w:r>
    </w:p>
    <w:p w:rsidR="00D16FE5" w:rsidRDefault="00D16FE5" w:rsidP="00D16FE5">
      <w:pPr>
        <w:pStyle w:val="ListParagraph"/>
        <w:numPr>
          <w:ilvl w:val="0"/>
          <w:numId w:val="6"/>
        </w:numPr>
        <w:spacing w:after="180"/>
        <w:ind w:left="426"/>
      </w:pPr>
      <w:r>
        <w:t xml:space="preserve">Your mental health </w:t>
      </w:r>
      <w:r w:rsidR="00053121">
        <w:t xml:space="preserve">can affect your physical health – </w:t>
      </w:r>
      <w:r w:rsidR="00053121" w:rsidRPr="00053121">
        <w:rPr>
          <w:b/>
        </w:rPr>
        <w:t>right</w:t>
      </w:r>
      <w:r w:rsidR="00053121">
        <w:t xml:space="preserve"> </w:t>
      </w:r>
    </w:p>
    <w:p w:rsidR="006A4440" w:rsidRPr="005B372A" w:rsidRDefault="004C5D20" w:rsidP="00053121">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053121" w:rsidP="00053121">
      <w:pPr>
        <w:spacing w:after="180"/>
      </w:pPr>
      <w:r>
        <w:t>After students</w:t>
      </w:r>
      <w:r w:rsidR="00CD32EC">
        <w:t xml:space="preserve"> </w:t>
      </w:r>
      <w:r>
        <w:t xml:space="preserve">have indicated their </w:t>
      </w:r>
      <w:r w:rsidR="00CD32EC">
        <w:t xml:space="preserve">answers, you may choose to </w:t>
      </w:r>
      <w:r>
        <w:t xml:space="preserve">follow up with </w:t>
      </w:r>
      <w:r w:rsidR="00CD32EC">
        <w:t xml:space="preserve">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00CD32EC" w:rsidRPr="003F560D">
        <w:t>Responses often work best when the activities involve paired or small group discussions, which encourage social construction of new ideas</w:t>
      </w:r>
      <w:r w:rsidR="00386A82">
        <w:t xml:space="preserve"> (meaning making)</w:t>
      </w:r>
      <w:r w:rsidR="00CD32EC" w:rsidRPr="003F560D">
        <w:t xml:space="preserve"> through dialogue.</w:t>
      </w:r>
    </w:p>
    <w:p w:rsidR="000457E6" w:rsidRDefault="000457E6" w:rsidP="00053121">
      <w:pPr>
        <w:spacing w:after="180"/>
      </w:pPr>
      <w:r>
        <w:t>If students struggle with the idea that everybody has mental health as well as physical health, the following video from the Mental Health Foundation, entitled “From surviving to thriving”, could be used to challenge their thinking:</w:t>
      </w:r>
    </w:p>
    <w:p w:rsidR="000457E6" w:rsidRPr="000457E6" w:rsidRDefault="00386A82" w:rsidP="000457E6">
      <w:pPr>
        <w:pStyle w:val="ListParagraph"/>
        <w:numPr>
          <w:ilvl w:val="0"/>
          <w:numId w:val="7"/>
        </w:numPr>
        <w:spacing w:after="180"/>
      </w:pPr>
      <w:hyperlink r:id="rId10" w:history="1">
        <w:r w:rsidR="000457E6" w:rsidRPr="000457E6">
          <w:rPr>
            <w:rStyle w:val="Hyperlink"/>
          </w:rPr>
          <w:t>https://www.mentalhealth.org.uk/podcasts-and-videos/surviving-thriving-building-mentally-healthier-britain</w:t>
        </w:r>
      </w:hyperlink>
      <w:r w:rsidR="000457E6" w:rsidRPr="000457E6">
        <w:t xml:space="preserve"> </w:t>
      </w:r>
    </w:p>
    <w:p w:rsidR="003117F6" w:rsidRPr="005B372A" w:rsidRDefault="00CC78A5" w:rsidP="00053121">
      <w:pPr>
        <w:spacing w:after="180"/>
        <w:rPr>
          <w:b/>
          <w:color w:val="538135"/>
          <w:sz w:val="24"/>
        </w:rPr>
      </w:pPr>
      <w:r w:rsidRPr="005B372A">
        <w:rPr>
          <w:b/>
          <w:color w:val="538135"/>
          <w:sz w:val="24"/>
        </w:rPr>
        <w:t>Acknowledgments</w:t>
      </w:r>
      <w:bookmarkStart w:id="0" w:name="_GoBack"/>
      <w:bookmarkEnd w:id="0"/>
    </w:p>
    <w:p w:rsidR="00D278E8" w:rsidRDefault="00D278E8" w:rsidP="00053121">
      <w:pPr>
        <w:spacing w:after="180"/>
      </w:pPr>
      <w:r>
        <w:t xml:space="preserve">Developed </w:t>
      </w:r>
      <w:r w:rsidR="0015356E">
        <w:t xml:space="preserve">by </w:t>
      </w:r>
      <w:r w:rsidR="009D1E73">
        <w:t>Alistair Moore</w:t>
      </w:r>
      <w:r w:rsidR="0015356E">
        <w:t xml:space="preserve"> (UYSEG)</w:t>
      </w:r>
      <w:r>
        <w:t>.</w:t>
      </w:r>
    </w:p>
    <w:p w:rsidR="00CC78A5" w:rsidRDefault="00D278E8" w:rsidP="00053121">
      <w:pPr>
        <w:spacing w:after="180"/>
      </w:pPr>
      <w:r w:rsidRPr="0045323E">
        <w:t xml:space="preserve">Images: </w:t>
      </w:r>
      <w:r w:rsidR="00F61C68">
        <w:t>pixabay.com/</w:t>
      </w:r>
      <w:proofErr w:type="spellStart"/>
      <w:r w:rsidR="00F61C68" w:rsidRPr="00F61C68">
        <w:t>waldryano</w:t>
      </w:r>
      <w:proofErr w:type="spellEnd"/>
      <w:r w:rsidR="00F61C68" w:rsidRPr="00F61C68">
        <w:t xml:space="preserve"> </w:t>
      </w:r>
      <w:r w:rsidR="00F61C68">
        <w:t>(</w:t>
      </w:r>
      <w:r w:rsidR="00F61C68" w:rsidRPr="00F61C68">
        <w:t>1703644</w:t>
      </w:r>
      <w:r w:rsidR="00F61C68">
        <w:t>)</w:t>
      </w:r>
    </w:p>
    <w:p w:rsidR="000457E6" w:rsidRDefault="000457E6">
      <w:pPr>
        <w:spacing w:after="200" w:line="276" w:lineRule="auto"/>
        <w:rPr>
          <w:b/>
          <w:color w:val="538135"/>
          <w:sz w:val="24"/>
        </w:rPr>
      </w:pPr>
      <w:r>
        <w:rPr>
          <w:b/>
          <w:color w:val="538135"/>
          <w:sz w:val="24"/>
        </w:rPr>
        <w:br w:type="page"/>
      </w:r>
    </w:p>
    <w:p w:rsidR="00B46FF9" w:rsidRDefault="003117F6" w:rsidP="00053121">
      <w:pPr>
        <w:spacing w:after="180"/>
        <w:rPr>
          <w:b/>
          <w:color w:val="538135"/>
          <w:sz w:val="24"/>
        </w:rPr>
      </w:pPr>
      <w:r w:rsidRPr="005B372A">
        <w:rPr>
          <w:b/>
          <w:color w:val="538135"/>
          <w:sz w:val="24"/>
        </w:rPr>
        <w:lastRenderedPageBreak/>
        <w:t>References</w:t>
      </w:r>
    </w:p>
    <w:p w:rsidR="00743E01" w:rsidRPr="00743E01" w:rsidRDefault="00CF7FDC" w:rsidP="00053121">
      <w:pPr>
        <w:pStyle w:val="EndNoteBibliography"/>
        <w:spacing w:after="120"/>
        <w:rPr>
          <w:sz w:val="20"/>
          <w:szCs w:val="20"/>
        </w:rPr>
      </w:pPr>
      <w:r w:rsidRPr="00743E01">
        <w:rPr>
          <w:sz w:val="20"/>
          <w:szCs w:val="20"/>
        </w:rPr>
        <w:fldChar w:fldCharType="begin"/>
      </w:r>
      <w:r w:rsidRPr="00743E01">
        <w:rPr>
          <w:sz w:val="20"/>
          <w:szCs w:val="20"/>
        </w:rPr>
        <w:instrText xml:space="preserve"> ADDIN EN.REFLIST </w:instrText>
      </w:r>
      <w:r w:rsidRPr="00743E01">
        <w:rPr>
          <w:sz w:val="20"/>
          <w:szCs w:val="20"/>
        </w:rPr>
        <w:fldChar w:fldCharType="separate"/>
      </w:r>
      <w:r w:rsidR="00743E01" w:rsidRPr="00743E01">
        <w:rPr>
          <w:sz w:val="20"/>
          <w:szCs w:val="20"/>
        </w:rPr>
        <w:t xml:space="preserve">Berk, L. E. (2000). </w:t>
      </w:r>
      <w:r w:rsidR="00743E01" w:rsidRPr="00743E01">
        <w:rPr>
          <w:i/>
          <w:sz w:val="20"/>
          <w:szCs w:val="20"/>
        </w:rPr>
        <w:t xml:space="preserve">Child Development, 5th </w:t>
      </w:r>
      <w:r w:rsidR="00743E01" w:rsidRPr="00743E01">
        <w:rPr>
          <w:sz w:val="20"/>
          <w:szCs w:val="20"/>
        </w:rPr>
        <w:t>edn</w:t>
      </w:r>
      <w:r w:rsidR="00743E01" w:rsidRPr="00743E01">
        <w:rPr>
          <w:i/>
          <w:sz w:val="20"/>
          <w:szCs w:val="20"/>
        </w:rPr>
        <w:t xml:space="preserve"> </w:t>
      </w:r>
      <w:r w:rsidR="00743E01" w:rsidRPr="00743E01">
        <w:rPr>
          <w:sz w:val="20"/>
          <w:szCs w:val="20"/>
        </w:rPr>
        <w:t>Boston, M.A.: Allyn &amp; Bacon.</w:t>
      </w:r>
    </w:p>
    <w:p w:rsidR="00743E01" w:rsidRPr="00743E01" w:rsidRDefault="00743E01" w:rsidP="00053121">
      <w:pPr>
        <w:pStyle w:val="EndNoteBibliography"/>
        <w:spacing w:after="120"/>
        <w:rPr>
          <w:sz w:val="20"/>
          <w:szCs w:val="20"/>
        </w:rPr>
      </w:pPr>
      <w:r w:rsidRPr="00743E01">
        <w:rPr>
          <w:sz w:val="20"/>
          <w:szCs w:val="20"/>
        </w:rPr>
        <w:t xml:space="preserve">Brindal, E., et al. (2012). How do Australian junior primary school children perceive the concepts of "healthy" and "unhealthy"? </w:t>
      </w:r>
      <w:r w:rsidRPr="00743E01">
        <w:rPr>
          <w:i/>
          <w:sz w:val="20"/>
          <w:szCs w:val="20"/>
        </w:rPr>
        <w:t>Health Education,</w:t>
      </w:r>
      <w:r w:rsidRPr="00743E01">
        <w:rPr>
          <w:sz w:val="20"/>
          <w:szCs w:val="20"/>
        </w:rPr>
        <w:t xml:space="preserve"> 112(5)</w:t>
      </w:r>
      <w:r w:rsidRPr="00743E01">
        <w:rPr>
          <w:b/>
          <w:sz w:val="20"/>
          <w:szCs w:val="20"/>
        </w:rPr>
        <w:t>,</w:t>
      </w:r>
      <w:r w:rsidRPr="00743E01">
        <w:rPr>
          <w:sz w:val="20"/>
          <w:szCs w:val="20"/>
        </w:rPr>
        <w:t xml:space="preserve"> 406-420.</w:t>
      </w:r>
    </w:p>
    <w:p w:rsidR="00743E01" w:rsidRPr="00743E01" w:rsidRDefault="00743E01" w:rsidP="00053121">
      <w:pPr>
        <w:pStyle w:val="EndNoteBibliography"/>
        <w:spacing w:after="120"/>
        <w:rPr>
          <w:sz w:val="20"/>
          <w:szCs w:val="20"/>
        </w:rPr>
      </w:pPr>
      <w:r w:rsidRPr="00743E01">
        <w:rPr>
          <w:sz w:val="20"/>
          <w:szCs w:val="20"/>
        </w:rPr>
        <w:t xml:space="preserve">Kutcher, S., et al. (2016). Enhancing mental health literacy in young people. </w:t>
      </w:r>
      <w:r w:rsidRPr="00743E01">
        <w:rPr>
          <w:i/>
          <w:sz w:val="20"/>
          <w:szCs w:val="20"/>
        </w:rPr>
        <w:t>European Child &amp; Adolescent Psychiatry,</w:t>
      </w:r>
      <w:r w:rsidRPr="00743E01">
        <w:rPr>
          <w:sz w:val="20"/>
          <w:szCs w:val="20"/>
        </w:rPr>
        <w:t xml:space="preserve"> 25(6)</w:t>
      </w:r>
      <w:r w:rsidRPr="00743E01">
        <w:rPr>
          <w:b/>
          <w:sz w:val="20"/>
          <w:szCs w:val="20"/>
        </w:rPr>
        <w:t>,</w:t>
      </w:r>
      <w:r w:rsidRPr="00743E01">
        <w:rPr>
          <w:sz w:val="20"/>
          <w:szCs w:val="20"/>
        </w:rPr>
        <w:t xml:space="preserve"> 567-569.</w:t>
      </w:r>
    </w:p>
    <w:p w:rsidR="00743E01" w:rsidRPr="00743E01" w:rsidRDefault="00743E01" w:rsidP="00053121">
      <w:pPr>
        <w:pStyle w:val="EndNoteBibliography"/>
        <w:spacing w:after="120"/>
        <w:rPr>
          <w:i/>
          <w:sz w:val="20"/>
          <w:szCs w:val="20"/>
        </w:rPr>
      </w:pPr>
      <w:r w:rsidRPr="00743E01">
        <w:rPr>
          <w:sz w:val="20"/>
          <w:szCs w:val="20"/>
        </w:rPr>
        <w:t xml:space="preserve">Mental Health Foundation. (2019). </w:t>
      </w:r>
      <w:r w:rsidRPr="00743E01">
        <w:rPr>
          <w:i/>
          <w:sz w:val="20"/>
          <w:szCs w:val="20"/>
        </w:rPr>
        <w:t>RE: Biology curriculum content [Personal communication].</w:t>
      </w:r>
    </w:p>
    <w:p w:rsidR="00743E01" w:rsidRPr="00743E01" w:rsidRDefault="00743E01" w:rsidP="00053121">
      <w:pPr>
        <w:pStyle w:val="EndNoteBibliography"/>
        <w:spacing w:after="120"/>
        <w:rPr>
          <w:sz w:val="20"/>
          <w:szCs w:val="20"/>
        </w:rPr>
      </w:pPr>
      <w:r w:rsidRPr="00743E01">
        <w:rPr>
          <w:sz w:val="20"/>
          <w:szCs w:val="20"/>
        </w:rPr>
        <w:t xml:space="preserve">Paakkari, L. and Paakkari, O. (2012). Health literacy as a learning outcome in schools. </w:t>
      </w:r>
      <w:r w:rsidRPr="00743E01">
        <w:rPr>
          <w:i/>
          <w:sz w:val="20"/>
          <w:szCs w:val="20"/>
        </w:rPr>
        <w:t>Health Education,</w:t>
      </w:r>
      <w:r w:rsidRPr="00743E01">
        <w:rPr>
          <w:sz w:val="20"/>
          <w:szCs w:val="20"/>
        </w:rPr>
        <w:t xml:space="preserve"> 112(2)</w:t>
      </w:r>
      <w:r w:rsidRPr="00743E01">
        <w:rPr>
          <w:b/>
          <w:sz w:val="20"/>
          <w:szCs w:val="20"/>
        </w:rPr>
        <w:t>,</w:t>
      </w:r>
      <w:r w:rsidRPr="00743E01">
        <w:rPr>
          <w:sz w:val="20"/>
          <w:szCs w:val="20"/>
        </w:rPr>
        <w:t xml:space="preserve"> 133-152.</w:t>
      </w:r>
    </w:p>
    <w:p w:rsidR="00743E01" w:rsidRPr="00743E01" w:rsidRDefault="00743E01" w:rsidP="00053121">
      <w:pPr>
        <w:pStyle w:val="EndNoteBibliography"/>
        <w:spacing w:after="120"/>
        <w:rPr>
          <w:sz w:val="20"/>
          <w:szCs w:val="20"/>
        </w:rPr>
      </w:pPr>
      <w:r w:rsidRPr="00743E01">
        <w:rPr>
          <w:sz w:val="20"/>
          <w:szCs w:val="20"/>
        </w:rPr>
        <w:t xml:space="preserve">Reeve, S. and Bell, P. (2009). Children's self-documentation and understanding of the concepts 'healthy' and 'unhealthy'. </w:t>
      </w:r>
      <w:r w:rsidRPr="00743E01">
        <w:rPr>
          <w:i/>
          <w:sz w:val="20"/>
          <w:szCs w:val="20"/>
        </w:rPr>
        <w:t>International Journal of Science Education,</w:t>
      </w:r>
      <w:r w:rsidRPr="00743E01">
        <w:rPr>
          <w:sz w:val="20"/>
          <w:szCs w:val="20"/>
        </w:rPr>
        <w:t xml:space="preserve"> 31(14)</w:t>
      </w:r>
      <w:r w:rsidRPr="00743E01">
        <w:rPr>
          <w:b/>
          <w:sz w:val="20"/>
          <w:szCs w:val="20"/>
        </w:rPr>
        <w:t>,</w:t>
      </w:r>
      <w:r w:rsidRPr="00743E01">
        <w:rPr>
          <w:sz w:val="20"/>
          <w:szCs w:val="20"/>
        </w:rPr>
        <w:t xml:space="preserve"> 1953-1974.</w:t>
      </w:r>
    </w:p>
    <w:p w:rsidR="005B372A" w:rsidRPr="00F61C68" w:rsidRDefault="00743E01" w:rsidP="00053121">
      <w:pPr>
        <w:pStyle w:val="EndNoteBibliography"/>
        <w:spacing w:after="120"/>
        <w:rPr>
          <w:sz w:val="20"/>
          <w:szCs w:val="20"/>
        </w:rPr>
      </w:pPr>
      <w:r w:rsidRPr="00743E01">
        <w:rPr>
          <w:sz w:val="20"/>
          <w:szCs w:val="20"/>
        </w:rPr>
        <w:t xml:space="preserve">Varea, V. (2018). Mixed messages: pre-service health and physical education teachers' understandings of health and the body and the expectations of the Australian curriculum. </w:t>
      </w:r>
      <w:r w:rsidRPr="00743E01">
        <w:rPr>
          <w:i/>
          <w:sz w:val="20"/>
          <w:szCs w:val="20"/>
        </w:rPr>
        <w:t>Sport, Education and Society,</w:t>
      </w:r>
      <w:r w:rsidRPr="00743E01">
        <w:rPr>
          <w:sz w:val="20"/>
          <w:szCs w:val="20"/>
        </w:rPr>
        <w:t xml:space="preserve"> 23(3)</w:t>
      </w:r>
      <w:r w:rsidRPr="00743E01">
        <w:rPr>
          <w:b/>
          <w:sz w:val="20"/>
          <w:szCs w:val="20"/>
        </w:rPr>
        <w:t>,</w:t>
      </w:r>
      <w:r w:rsidRPr="00743E01">
        <w:rPr>
          <w:sz w:val="20"/>
          <w:szCs w:val="20"/>
        </w:rPr>
        <w:t xml:space="preserve"> 244-256.</w:t>
      </w:r>
      <w:r w:rsidR="00CF7FDC" w:rsidRPr="00743E01">
        <w:rPr>
          <w:sz w:val="20"/>
          <w:szCs w:val="20"/>
        </w:rPr>
        <w:fldChar w:fldCharType="end"/>
      </w:r>
    </w:p>
    <w:sectPr w:rsidR="005B372A" w:rsidRPr="00F61C68"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8AF" w:rsidRDefault="003248AF" w:rsidP="000B473B">
      <w:r>
        <w:separator/>
      </w:r>
    </w:p>
  </w:endnote>
  <w:endnote w:type="continuationSeparator" w:id="0">
    <w:p w:rsidR="003248AF" w:rsidRDefault="003248A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8A269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86A82">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8AF" w:rsidRDefault="003248AF" w:rsidP="000B473B">
      <w:r>
        <w:separator/>
      </w:r>
    </w:p>
  </w:footnote>
  <w:footnote w:type="continuationSeparator" w:id="0">
    <w:p w:rsidR="003248AF" w:rsidRDefault="003248A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EDBA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00C4D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7A6E"/>
    <w:multiLevelType w:val="hybridMultilevel"/>
    <w:tmpl w:val="24924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CA20D01"/>
    <w:multiLevelType w:val="hybridMultilevel"/>
    <w:tmpl w:val="413062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6068CF"/>
    <w:multiLevelType w:val="hybridMultilevel"/>
    <w:tmpl w:val="401AA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9F6563"/>
    <w:multiLevelType w:val="hybridMultilevel"/>
    <w:tmpl w:val="401AAF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248AF"/>
    <w:rsid w:val="00015578"/>
    <w:rsid w:val="00024731"/>
    <w:rsid w:val="00026DEC"/>
    <w:rsid w:val="000457E6"/>
    <w:rsid w:val="000505CA"/>
    <w:rsid w:val="00053121"/>
    <w:rsid w:val="0007651D"/>
    <w:rsid w:val="00083881"/>
    <w:rsid w:val="0008698A"/>
    <w:rsid w:val="0009089A"/>
    <w:rsid w:val="000947E2"/>
    <w:rsid w:val="00095E04"/>
    <w:rsid w:val="000B473B"/>
    <w:rsid w:val="000D0E89"/>
    <w:rsid w:val="000E2689"/>
    <w:rsid w:val="000E66C0"/>
    <w:rsid w:val="00110978"/>
    <w:rsid w:val="00142613"/>
    <w:rsid w:val="00143458"/>
    <w:rsid w:val="00144DA7"/>
    <w:rsid w:val="0015356E"/>
    <w:rsid w:val="00161D3F"/>
    <w:rsid w:val="001915D4"/>
    <w:rsid w:val="00195CD0"/>
    <w:rsid w:val="001A1FED"/>
    <w:rsid w:val="001A40E2"/>
    <w:rsid w:val="001C4805"/>
    <w:rsid w:val="00201AC2"/>
    <w:rsid w:val="00214608"/>
    <w:rsid w:val="0021607B"/>
    <w:rsid w:val="002178AC"/>
    <w:rsid w:val="0022547C"/>
    <w:rsid w:val="00240541"/>
    <w:rsid w:val="00244D41"/>
    <w:rsid w:val="0025410A"/>
    <w:rsid w:val="0027553E"/>
    <w:rsid w:val="0028012F"/>
    <w:rsid w:val="002828DF"/>
    <w:rsid w:val="00287876"/>
    <w:rsid w:val="00292C53"/>
    <w:rsid w:val="00294E22"/>
    <w:rsid w:val="002B1C34"/>
    <w:rsid w:val="002C22EA"/>
    <w:rsid w:val="002C59BA"/>
    <w:rsid w:val="002F3D17"/>
    <w:rsid w:val="00301AA9"/>
    <w:rsid w:val="003117F6"/>
    <w:rsid w:val="003248AF"/>
    <w:rsid w:val="003533B8"/>
    <w:rsid w:val="00354F5D"/>
    <w:rsid w:val="003752BE"/>
    <w:rsid w:val="00380A34"/>
    <w:rsid w:val="00386A82"/>
    <w:rsid w:val="003A346A"/>
    <w:rsid w:val="003B2917"/>
    <w:rsid w:val="003B541B"/>
    <w:rsid w:val="003E2B2F"/>
    <w:rsid w:val="003E6046"/>
    <w:rsid w:val="003F16F9"/>
    <w:rsid w:val="00430C1F"/>
    <w:rsid w:val="00431AE5"/>
    <w:rsid w:val="00442595"/>
    <w:rsid w:val="0045323E"/>
    <w:rsid w:val="004878BC"/>
    <w:rsid w:val="004B0EE1"/>
    <w:rsid w:val="004C5D20"/>
    <w:rsid w:val="004D0D83"/>
    <w:rsid w:val="004E1DF1"/>
    <w:rsid w:val="004E5592"/>
    <w:rsid w:val="004E7B17"/>
    <w:rsid w:val="0050055B"/>
    <w:rsid w:val="00524710"/>
    <w:rsid w:val="00536D77"/>
    <w:rsid w:val="00555342"/>
    <w:rsid w:val="005560E2"/>
    <w:rsid w:val="00595F38"/>
    <w:rsid w:val="005A452E"/>
    <w:rsid w:val="005A6EE7"/>
    <w:rsid w:val="005B372A"/>
    <w:rsid w:val="005C6B6C"/>
    <w:rsid w:val="005F1A7B"/>
    <w:rsid w:val="006355D8"/>
    <w:rsid w:val="00641E99"/>
    <w:rsid w:val="00642ECD"/>
    <w:rsid w:val="006502A0"/>
    <w:rsid w:val="006772F5"/>
    <w:rsid w:val="006A4440"/>
    <w:rsid w:val="006B0615"/>
    <w:rsid w:val="006B1B89"/>
    <w:rsid w:val="006D166B"/>
    <w:rsid w:val="006F3279"/>
    <w:rsid w:val="00704AEE"/>
    <w:rsid w:val="00722F9A"/>
    <w:rsid w:val="00743E01"/>
    <w:rsid w:val="00754539"/>
    <w:rsid w:val="00781BC6"/>
    <w:rsid w:val="007A3C86"/>
    <w:rsid w:val="007A683E"/>
    <w:rsid w:val="007A748B"/>
    <w:rsid w:val="007C26E1"/>
    <w:rsid w:val="007D1D65"/>
    <w:rsid w:val="007E0A9E"/>
    <w:rsid w:val="007E5309"/>
    <w:rsid w:val="00800DE1"/>
    <w:rsid w:val="008016E2"/>
    <w:rsid w:val="00813F47"/>
    <w:rsid w:val="008450D6"/>
    <w:rsid w:val="008531FD"/>
    <w:rsid w:val="00856FCA"/>
    <w:rsid w:val="00872664"/>
    <w:rsid w:val="00873B8C"/>
    <w:rsid w:val="00880E3B"/>
    <w:rsid w:val="008A405F"/>
    <w:rsid w:val="008B09C4"/>
    <w:rsid w:val="008C7031"/>
    <w:rsid w:val="008C7F34"/>
    <w:rsid w:val="008D0F89"/>
    <w:rsid w:val="008E580C"/>
    <w:rsid w:val="0090047A"/>
    <w:rsid w:val="00925026"/>
    <w:rsid w:val="00931264"/>
    <w:rsid w:val="00942A4B"/>
    <w:rsid w:val="00961D59"/>
    <w:rsid w:val="0098200F"/>
    <w:rsid w:val="009B2D55"/>
    <w:rsid w:val="009C0343"/>
    <w:rsid w:val="009D1E73"/>
    <w:rsid w:val="009E0D11"/>
    <w:rsid w:val="009E6220"/>
    <w:rsid w:val="00A24A16"/>
    <w:rsid w:val="00A37D14"/>
    <w:rsid w:val="00A422B8"/>
    <w:rsid w:val="00A6111E"/>
    <w:rsid w:val="00A6168B"/>
    <w:rsid w:val="00A62028"/>
    <w:rsid w:val="00AA6236"/>
    <w:rsid w:val="00AB6AE7"/>
    <w:rsid w:val="00AD21F5"/>
    <w:rsid w:val="00AE3075"/>
    <w:rsid w:val="00AE5CBF"/>
    <w:rsid w:val="00B06225"/>
    <w:rsid w:val="00B21C7E"/>
    <w:rsid w:val="00B23C7A"/>
    <w:rsid w:val="00B24F62"/>
    <w:rsid w:val="00B305F5"/>
    <w:rsid w:val="00B46FF9"/>
    <w:rsid w:val="00B47E1D"/>
    <w:rsid w:val="00B75483"/>
    <w:rsid w:val="00B76E15"/>
    <w:rsid w:val="00BA7952"/>
    <w:rsid w:val="00BB44B4"/>
    <w:rsid w:val="00BB695F"/>
    <w:rsid w:val="00BF0BBF"/>
    <w:rsid w:val="00BF6C8A"/>
    <w:rsid w:val="00C05571"/>
    <w:rsid w:val="00C246CE"/>
    <w:rsid w:val="00C30819"/>
    <w:rsid w:val="00C54711"/>
    <w:rsid w:val="00C57FA2"/>
    <w:rsid w:val="00CA7160"/>
    <w:rsid w:val="00CC2E4D"/>
    <w:rsid w:val="00CC78A5"/>
    <w:rsid w:val="00CC7B16"/>
    <w:rsid w:val="00CD32EC"/>
    <w:rsid w:val="00CE15FE"/>
    <w:rsid w:val="00CF7FDC"/>
    <w:rsid w:val="00D02E15"/>
    <w:rsid w:val="00D14F44"/>
    <w:rsid w:val="00D16FE5"/>
    <w:rsid w:val="00D278E8"/>
    <w:rsid w:val="00D421E8"/>
    <w:rsid w:val="00D44604"/>
    <w:rsid w:val="00D479B3"/>
    <w:rsid w:val="00D52283"/>
    <w:rsid w:val="00D524E5"/>
    <w:rsid w:val="00D72FEF"/>
    <w:rsid w:val="00D755FA"/>
    <w:rsid w:val="00D8779D"/>
    <w:rsid w:val="00DA7D96"/>
    <w:rsid w:val="00DC4A4E"/>
    <w:rsid w:val="00DD1874"/>
    <w:rsid w:val="00DD63BD"/>
    <w:rsid w:val="00DF05DB"/>
    <w:rsid w:val="00DF7E20"/>
    <w:rsid w:val="00E172C6"/>
    <w:rsid w:val="00E24309"/>
    <w:rsid w:val="00E53D82"/>
    <w:rsid w:val="00E85A3B"/>
    <w:rsid w:val="00E9330A"/>
    <w:rsid w:val="00EE6B97"/>
    <w:rsid w:val="00F12C3B"/>
    <w:rsid w:val="00F26884"/>
    <w:rsid w:val="00F61C68"/>
    <w:rsid w:val="00F72ECC"/>
    <w:rsid w:val="00F8355F"/>
    <w:rsid w:val="00F94524"/>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B40B95"/>
  <w15:docId w15:val="{49AB2FD0-E65E-4945-A9E9-DCCDF778D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F7FD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F7FDC"/>
    <w:rPr>
      <w:rFonts w:ascii="Calibri" w:hAnsi="Calibri" w:cs="Calibri"/>
      <w:noProof/>
      <w:lang w:val="en-US"/>
    </w:rPr>
  </w:style>
  <w:style w:type="paragraph" w:customStyle="1" w:styleId="EndNoteBibliography">
    <w:name w:val="EndNote Bibliography"/>
    <w:basedOn w:val="Normal"/>
    <w:link w:val="EndNoteBibliographyChar"/>
    <w:rsid w:val="00CF7FDC"/>
    <w:rPr>
      <w:rFonts w:ascii="Calibri" w:hAnsi="Calibri" w:cs="Calibri"/>
      <w:noProof/>
      <w:lang w:val="en-US"/>
    </w:rPr>
  </w:style>
  <w:style w:type="character" w:customStyle="1" w:styleId="EndNoteBibliographyChar">
    <w:name w:val="EndNote Bibliography Char"/>
    <w:basedOn w:val="DefaultParagraphFont"/>
    <w:link w:val="EndNoteBibliography"/>
    <w:rsid w:val="00CF7FDC"/>
    <w:rPr>
      <w:rFonts w:ascii="Calibri" w:hAnsi="Calibri" w:cs="Calibri"/>
      <w:noProof/>
      <w:lang w:val="en-US"/>
    </w:rPr>
  </w:style>
  <w:style w:type="character" w:styleId="Hyperlink">
    <w:name w:val="Hyperlink"/>
    <w:basedOn w:val="DefaultParagraphFont"/>
    <w:uiPriority w:val="99"/>
    <w:unhideWhenUsed/>
    <w:rsid w:val="000457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mentalhealth.org.uk/podcasts-and-videos/surviving-thriving-building-mentally-healthier-britain"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235</TotalTime>
  <Pages>6</Pages>
  <Words>2422</Words>
  <Characters>13808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37</cp:revision>
  <cp:lastPrinted>2017-02-24T16:20:00Z</cp:lastPrinted>
  <dcterms:created xsi:type="dcterms:W3CDTF">2019-02-11T13:28:00Z</dcterms:created>
  <dcterms:modified xsi:type="dcterms:W3CDTF">2019-04-16T14:08:00Z</dcterms:modified>
</cp:coreProperties>
</file>