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E0C67">
        <w:rPr>
          <w:i/>
          <w:sz w:val="18"/>
          <w:szCs w:val="18"/>
        </w:rPr>
        <w:t>MA</w:t>
      </w:r>
      <w:r w:rsidR="00F34FD0">
        <w:rPr>
          <w:i/>
          <w:sz w:val="18"/>
          <w:szCs w:val="18"/>
        </w:rPr>
        <w:t xml:space="preserve">: </w:t>
      </w:r>
      <w:r w:rsidR="00D90FD1">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D90FD1">
        <w:rPr>
          <w:i/>
          <w:sz w:val="18"/>
          <w:szCs w:val="18"/>
        </w:rPr>
        <w:t>MA1</w:t>
      </w:r>
      <w:r w:rsidR="00F34FD0">
        <w:rPr>
          <w:i/>
          <w:sz w:val="18"/>
          <w:szCs w:val="18"/>
        </w:rPr>
        <w:t xml:space="preserve">: </w:t>
      </w:r>
      <w:r w:rsidR="00D90FD1">
        <w:rPr>
          <w:i/>
          <w:sz w:val="18"/>
          <w:szCs w:val="18"/>
        </w:rPr>
        <w:t>Heating and cooling</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0656DC">
            <w:pPr>
              <w:spacing w:after="60"/>
              <w:ind w:left="1304"/>
              <w:rPr>
                <w:b/>
                <w:sz w:val="40"/>
                <w:szCs w:val="40"/>
              </w:rPr>
            </w:pPr>
            <w:r>
              <w:rPr>
                <w:b/>
                <w:sz w:val="40"/>
                <w:szCs w:val="40"/>
              </w:rPr>
              <w:t>P</w:t>
            </w:r>
            <w:r w:rsidR="002A1C3E">
              <w:rPr>
                <w:b/>
                <w:sz w:val="40"/>
                <w:szCs w:val="40"/>
              </w:rPr>
              <w:t>MA</w:t>
            </w:r>
            <w:r w:rsidR="003F6D16">
              <w:rPr>
                <w:b/>
                <w:sz w:val="40"/>
                <w:szCs w:val="40"/>
              </w:rPr>
              <w:t>1</w:t>
            </w:r>
            <w:r w:rsidR="00821188">
              <w:rPr>
                <w:b/>
                <w:sz w:val="40"/>
                <w:szCs w:val="40"/>
              </w:rPr>
              <w:t>.</w:t>
            </w:r>
            <w:r w:rsidR="003F6D16">
              <w:rPr>
                <w:b/>
                <w:sz w:val="40"/>
                <w:szCs w:val="40"/>
              </w:rPr>
              <w:t>2</w:t>
            </w:r>
            <w:r w:rsidR="00821188">
              <w:rPr>
                <w:b/>
                <w:sz w:val="40"/>
                <w:szCs w:val="40"/>
              </w:rPr>
              <w:t xml:space="preserve">: </w:t>
            </w:r>
            <w:r w:rsidR="00C54451">
              <w:rPr>
                <w:b/>
                <w:sz w:val="40"/>
                <w:szCs w:val="40"/>
              </w:rPr>
              <w:t>Heating</w:t>
            </w:r>
            <w:r w:rsidR="000656DC">
              <w:rPr>
                <w:b/>
                <w:sz w:val="40"/>
                <w:szCs w:val="40"/>
              </w:rPr>
              <w:t xml:space="preserve"> </w:t>
            </w:r>
            <w:r w:rsidR="00FB6C03">
              <w:rPr>
                <w:b/>
                <w:sz w:val="40"/>
                <w:szCs w:val="40"/>
              </w:rPr>
              <w:t>and cooling</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71EC1" w:rsidRDefault="00471EC1" w:rsidP="00471EC1">
      <w:pPr>
        <w:spacing w:after="180"/>
        <w:rPr>
          <w:highlight w:val="yellow"/>
        </w:rPr>
      </w:pPr>
      <w:r w:rsidRPr="00DD4D20">
        <w:t>A big idea in</w:t>
      </w:r>
      <w:r>
        <w:t xml:space="preserve"> physics</w:t>
      </w:r>
      <w:r w:rsidRPr="00DD4D20">
        <w:t xml:space="preserve"> is </w:t>
      </w:r>
      <w:r>
        <w:t>matter.</w:t>
      </w:r>
      <w:r w:rsidRPr="00A622D8">
        <w:t xml:space="preserve"> Matter is </w:t>
      </w:r>
      <w:r>
        <w:t>a more formal word for ‘stuff’.</w:t>
      </w:r>
      <w:r w:rsidRPr="00A622D8">
        <w:t xml:space="preserve"> Anything that can be stored in a con</w:t>
      </w:r>
      <w:r>
        <w:t xml:space="preserve">tainer, or weighed, is matter. </w:t>
      </w:r>
      <w:r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033396">
        <w:t xml:space="preserve">building </w:t>
      </w:r>
      <w:r w:rsidR="00761C66">
        <w:t>on the understanding that heating increases</w:t>
      </w:r>
      <w:r w:rsidR="00764C90">
        <w:t xml:space="preserve"> the temperature of a substance</w:t>
      </w:r>
      <w:r w:rsidR="00761C66">
        <w:t xml:space="preserve"> or material</w:t>
      </w:r>
      <w:r w:rsidR="00522C51">
        <w:t xml:space="preserve">, to </w:t>
      </w:r>
      <w:r w:rsidR="00761C66" w:rsidRPr="00855532">
        <w:t>develop a</w:t>
      </w:r>
      <w:r w:rsidR="00033396" w:rsidRPr="00855532">
        <w:t xml:space="preserve">n understanding that </w:t>
      </w:r>
      <w:r w:rsidR="00761C66" w:rsidRPr="00855532">
        <w:rPr>
          <w:rFonts w:cstheme="minorHAnsi"/>
        </w:rPr>
        <w:t xml:space="preserve">if two objects at different temperatures are in contact, </w:t>
      </w:r>
      <w:r w:rsidR="00033396" w:rsidRPr="00855532">
        <w:rPr>
          <w:rFonts w:cstheme="minorHAnsi"/>
        </w:rPr>
        <w:t xml:space="preserve">energy will move spontaneously from the object at the higher temperature to the object at the lower </w:t>
      </w:r>
      <w:r w:rsidR="00761C66" w:rsidRPr="00855532">
        <w:rPr>
          <w:rFonts w:cstheme="minorHAnsi"/>
        </w:rPr>
        <w:t xml:space="preserve">temperature, and that the temperatures of both objects will change </w:t>
      </w:r>
      <w:r w:rsidR="007360F1">
        <w:rPr>
          <w:rFonts w:cstheme="minorHAnsi"/>
        </w:rPr>
        <w:t>because</w:t>
      </w:r>
      <w:r w:rsidR="00761C66" w:rsidRPr="00855532">
        <w:rPr>
          <w:rFonts w:cstheme="minorHAnsi"/>
        </w:rPr>
        <w:t xml:space="preserve"> energy is conserved.</w:t>
      </w:r>
    </w:p>
    <w:p w:rsidR="006A01DE" w:rsidRDefault="00761C66"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4286250</wp:posOffset>
            </wp:positionH>
            <wp:positionV relativeFrom="paragraph">
              <wp:posOffset>332105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2B3AF0">
        <w:t>what happens when cups of water at two different temperatures are mixed</w:t>
      </w:r>
      <w:r w:rsidR="006A01DE">
        <w:t xml:space="preserve">. It </w:t>
      </w:r>
      <w:r w:rsidR="005B4275">
        <w:t xml:space="preserve">then </w:t>
      </w:r>
      <w:r w:rsidR="00AA66F3">
        <w:t>supports the development of</w:t>
      </w:r>
      <w:r w:rsidR="006A01DE">
        <w:t xml:space="preserve"> </w:t>
      </w:r>
      <w:r w:rsidR="002B3AF0">
        <w:t xml:space="preserve">ideas about the dissipation </w:t>
      </w:r>
      <w:r w:rsidR="00C54451">
        <w:t>of energy as a hot object cools down</w:t>
      </w:r>
      <w:r w:rsidR="006A01DE">
        <w:t xml:space="preserve"> in order to enable understanding </w:t>
      </w:r>
      <w:r w:rsidR="006A01DE" w:rsidRPr="00C54451">
        <w:t xml:space="preserve">of </w:t>
      </w:r>
      <w:r w:rsidR="00C54451" w:rsidRPr="00C54451">
        <w:t>the law of conservation of energy</w:t>
      </w:r>
      <w:r w:rsidR="006A01DE" w:rsidRPr="00C54451">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471EC1" w:rsidRDefault="00D40D1E" w:rsidP="00471EC1">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1E12E9">
        <w:rPr>
          <w:b/>
          <w:color w:val="5F497A" w:themeColor="accent4" w:themeShade="BF"/>
          <w:sz w:val="24"/>
        </w:rPr>
        <w:t>Heating and cooling</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063C12">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355352" w:rsidP="00087BBB">
            <w:pPr>
              <w:jc w:val="center"/>
              <w:rPr>
                <w:rFonts w:cstheme="minorHAnsi"/>
                <w:sz w:val="24"/>
                <w:szCs w:val="20"/>
              </w:rPr>
            </w:pPr>
            <w:r w:rsidRPr="00355352">
              <w:rPr>
                <w:rFonts w:cstheme="minorHAnsi"/>
                <w:sz w:val="24"/>
                <w:szCs w:val="20"/>
              </w:rPr>
              <w:t xml:space="preserve">If two objects at different temperatures are in contact, energy will move spontaneously from </w:t>
            </w:r>
            <w:r>
              <w:rPr>
                <w:rFonts w:cstheme="minorHAnsi"/>
                <w:sz w:val="24"/>
                <w:szCs w:val="20"/>
              </w:rPr>
              <w:t xml:space="preserve">the </w:t>
            </w:r>
            <w:r w:rsidRPr="00355352">
              <w:rPr>
                <w:rFonts w:cstheme="minorHAnsi"/>
                <w:sz w:val="24"/>
                <w:szCs w:val="20"/>
              </w:rPr>
              <w:t>object at the higher temperature to the object at the lower temperature.</w:t>
            </w:r>
          </w:p>
        </w:tc>
      </w:tr>
      <w:tr w:rsidR="00761D32" w:rsidRPr="00104331" w:rsidTr="00063C12">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063C12">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DC7EE0">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DC7EE0">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063C12">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087BBB" w:rsidP="009B5270">
            <w:pPr>
              <w:spacing w:after="120"/>
              <w:rPr>
                <w:rFonts w:cstheme="minorHAnsi"/>
                <w:sz w:val="20"/>
                <w:szCs w:val="20"/>
              </w:rPr>
            </w:pPr>
            <w:r>
              <w:rPr>
                <w:rFonts w:cstheme="minorHAnsi"/>
                <w:sz w:val="20"/>
                <w:szCs w:val="20"/>
              </w:rPr>
              <w:t xml:space="preserve">Make qualitative predictions about the </w:t>
            </w:r>
            <w:r w:rsidR="00C92730">
              <w:rPr>
                <w:rFonts w:cstheme="minorHAnsi"/>
                <w:sz w:val="20"/>
                <w:szCs w:val="20"/>
              </w:rPr>
              <w:t xml:space="preserve">resulting </w:t>
            </w:r>
            <w:r>
              <w:rPr>
                <w:rFonts w:cstheme="minorHAnsi"/>
                <w:sz w:val="20"/>
                <w:szCs w:val="20"/>
              </w:rPr>
              <w:t xml:space="preserve">temperature </w:t>
            </w:r>
            <w:r w:rsidR="00C92730">
              <w:rPr>
                <w:rFonts w:cstheme="minorHAnsi"/>
                <w:sz w:val="20"/>
                <w:szCs w:val="20"/>
              </w:rPr>
              <w:t>when hot and cold water are mixed</w:t>
            </w:r>
            <w:r w:rsidR="007A6DDE">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C92730" w:rsidRDefault="00C92730" w:rsidP="00C92730">
            <w:pPr>
              <w:spacing w:after="120"/>
              <w:rPr>
                <w:rFonts w:cstheme="minorHAnsi"/>
                <w:sz w:val="20"/>
                <w:szCs w:val="20"/>
              </w:rPr>
            </w:pPr>
            <w:r>
              <w:rPr>
                <w:rFonts w:cstheme="minorHAnsi"/>
                <w:sz w:val="20"/>
                <w:szCs w:val="20"/>
              </w:rPr>
              <w:t>Make quantitative predictions about the resulting temperature when hot and cold water are mixed</w:t>
            </w:r>
            <w:r w:rsidR="007A6DDE">
              <w:rPr>
                <w:rFonts w:cstheme="minorHAnsi"/>
                <w:sz w:val="20"/>
                <w:szCs w:val="20"/>
              </w:rPr>
              <w:t>.</w:t>
            </w:r>
          </w:p>
          <w:p w:rsidR="00761D32" w:rsidRPr="00E675A8" w:rsidRDefault="00761D32" w:rsidP="009B5270">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A6DDE" w:rsidRPr="00E675A8" w:rsidRDefault="00C92730" w:rsidP="00C92730">
            <w:pPr>
              <w:spacing w:after="120"/>
              <w:rPr>
                <w:rFonts w:cstheme="minorHAnsi"/>
                <w:sz w:val="20"/>
                <w:szCs w:val="20"/>
              </w:rPr>
            </w:pPr>
            <w:r>
              <w:rPr>
                <w:rFonts w:cstheme="minorHAnsi"/>
                <w:sz w:val="20"/>
                <w:szCs w:val="20"/>
              </w:rPr>
              <w:t>Describe how the temperature of ver</w:t>
            </w:r>
            <w:r w:rsidR="007A6DDE">
              <w:rPr>
                <w:rFonts w:cstheme="minorHAnsi"/>
                <w:sz w:val="20"/>
                <w:szCs w:val="20"/>
              </w:rPr>
              <w:t>y hot water changes as it cools.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C92730" w:rsidP="002B3AF0">
            <w:pPr>
              <w:spacing w:after="120"/>
              <w:rPr>
                <w:rFonts w:cstheme="minorHAnsi"/>
                <w:sz w:val="20"/>
                <w:szCs w:val="20"/>
              </w:rPr>
            </w:pPr>
            <w:r>
              <w:rPr>
                <w:rFonts w:cstheme="minorHAnsi"/>
                <w:sz w:val="20"/>
                <w:szCs w:val="20"/>
              </w:rPr>
              <w:t xml:space="preserve">Explain how </w:t>
            </w:r>
            <w:r w:rsidR="002B3AF0">
              <w:rPr>
                <w:rFonts w:cstheme="minorHAnsi"/>
                <w:sz w:val="20"/>
                <w:szCs w:val="20"/>
              </w:rPr>
              <w:t xml:space="preserve">energy </w:t>
            </w:r>
            <w:r>
              <w:rPr>
                <w:rFonts w:cstheme="minorHAnsi"/>
                <w:sz w:val="20"/>
                <w:szCs w:val="20"/>
              </w:rPr>
              <w:t>dissipates as a hot object cools down</w:t>
            </w:r>
            <w:r w:rsidR="007A6DDE">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801B49" w:rsidP="009B5270">
            <w:pPr>
              <w:spacing w:after="120"/>
              <w:rPr>
                <w:rFonts w:cstheme="minorHAnsi"/>
                <w:sz w:val="20"/>
                <w:szCs w:val="20"/>
              </w:rPr>
            </w:pPr>
            <w:r>
              <w:rPr>
                <w:rFonts w:cstheme="minorHAnsi"/>
                <w:sz w:val="20"/>
                <w:szCs w:val="20"/>
              </w:rPr>
              <w:t>Apply the law of conservation of energy to explain what happens to energy in novel situations</w:t>
            </w:r>
            <w:r w:rsidR="007A6DDE">
              <w:rPr>
                <w:rFonts w:cstheme="minorHAnsi"/>
                <w:sz w:val="20"/>
                <w:szCs w:val="20"/>
              </w:rPr>
              <w:t>.</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KisVA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igUTve0rKh5AltMY7/FoC87&#10;1HSlYrpVjAYDQRiadIOltYS3aLeTYk3862/+HA/dcSpFj4atZfy5UWyksN88OuLkNJcm0qHBh8bq&#10;0PAbd0Eg6hjjGXTZ4jInu9+2TO4Bs7XMr+JIeY23a6kT742LNA4SplOb5bKEoauDSlf+LugMntnL&#10;mt0PD4rDTtiEjrimfXOr+St9x9gialhuErgv4memR153AmAiinK76c0jd2iXqJd/zOI3AA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P3EqKx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940D7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940D7D" w:rsidRPr="00E675A8" w:rsidTr="00940D7D">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940D7D" w:rsidRPr="003C7537" w:rsidRDefault="00940D7D"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40D7D" w:rsidRPr="00E675A8" w:rsidRDefault="00940D7D" w:rsidP="009B5270">
            <w:pPr>
              <w:jc w:val="center"/>
              <w:rPr>
                <w:rFonts w:cstheme="minorHAnsi"/>
                <w:sz w:val="20"/>
                <w:szCs w:val="20"/>
              </w:rPr>
            </w:pPr>
            <w:r w:rsidRPr="00781648">
              <w:rPr>
                <w:rFonts w:cstheme="minorHAnsi"/>
                <w:sz w:val="20"/>
                <w:szCs w:val="20"/>
              </w:rPr>
              <w:t>Mixing water</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40D7D" w:rsidRPr="0071563C" w:rsidRDefault="00A941E7" w:rsidP="00826A14">
            <w:pPr>
              <w:jc w:val="center"/>
              <w:rPr>
                <w:rFonts w:cstheme="minorHAnsi"/>
                <w:color w:val="984806" w:themeColor="accent6" w:themeShade="80"/>
                <w:sz w:val="20"/>
                <w:szCs w:val="20"/>
              </w:rPr>
            </w:pPr>
            <w:r w:rsidRPr="0071563C">
              <w:rPr>
                <w:rFonts w:cstheme="minorHAnsi"/>
                <w:sz w:val="20"/>
                <w:szCs w:val="20"/>
              </w:rPr>
              <w:t>Just cool?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740" w:rsidRPr="0071563C" w:rsidRDefault="00826A14" w:rsidP="00063C12">
            <w:pPr>
              <w:jc w:val="center"/>
              <w:rPr>
                <w:rFonts w:cstheme="minorHAnsi"/>
                <w:color w:val="984806" w:themeColor="accent6" w:themeShade="80"/>
                <w:sz w:val="20"/>
                <w:szCs w:val="20"/>
              </w:rPr>
            </w:pPr>
            <w:r w:rsidRPr="00286643">
              <w:rPr>
                <w:rFonts w:cstheme="minorHAnsi"/>
                <w:color w:val="000000" w:themeColor="text1"/>
                <w:sz w:val="20"/>
                <w:szCs w:val="20"/>
              </w:rPr>
              <w:t>Cooling tea</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40D7D" w:rsidRPr="00A8346B" w:rsidRDefault="007152D5" w:rsidP="00A8346B">
            <w:pPr>
              <w:jc w:val="center"/>
              <w:rPr>
                <w:rFonts w:cstheme="minorHAnsi"/>
                <w:sz w:val="20"/>
                <w:szCs w:val="20"/>
              </w:rPr>
            </w:pPr>
            <w:r w:rsidRPr="00F23C65">
              <w:rPr>
                <w:rFonts w:cstheme="minorHAnsi"/>
                <w:color w:val="000000" w:themeColor="text1"/>
                <w:sz w:val="20"/>
                <w:szCs w:val="20"/>
              </w:rPr>
              <w:t>Hot house</w:t>
            </w:r>
          </w:p>
        </w:tc>
      </w:tr>
      <w:tr w:rsidR="00761D32" w:rsidRPr="00E675A8" w:rsidTr="003E148F">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1563C"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1563C"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940D7D" w:rsidRDefault="00761D32" w:rsidP="009B5270">
            <w:pPr>
              <w:jc w:val="center"/>
              <w:rPr>
                <w:rFonts w:cstheme="minorHAnsi"/>
                <w:color w:val="FF0000"/>
                <w:sz w:val="20"/>
                <w:szCs w:val="20"/>
              </w:rPr>
            </w:pPr>
          </w:p>
        </w:tc>
      </w:tr>
      <w:tr w:rsidR="00761D32" w:rsidRPr="00E675A8" w:rsidTr="003E148F">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71563C" w:rsidRDefault="000508B2" w:rsidP="009B5270">
            <w:pPr>
              <w:jc w:val="center"/>
              <w:rPr>
                <w:rFonts w:cstheme="minorHAnsi"/>
                <w:color w:val="984806" w:themeColor="accent6" w:themeShade="80"/>
                <w:sz w:val="20"/>
                <w:szCs w:val="20"/>
              </w:rPr>
            </w:pPr>
            <w:r w:rsidRPr="00577441">
              <w:rPr>
                <w:rFonts w:cstheme="minorHAnsi"/>
                <w:sz w:val="20"/>
                <w:szCs w:val="20"/>
              </w:rPr>
              <w:t>Cooling curve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740" w:rsidRPr="0071563C" w:rsidRDefault="0037542A" w:rsidP="009B5270">
            <w:pPr>
              <w:jc w:val="center"/>
              <w:rPr>
                <w:rFonts w:cstheme="minorHAnsi"/>
                <w:color w:val="984806" w:themeColor="accent6" w:themeShade="80"/>
                <w:sz w:val="20"/>
                <w:szCs w:val="20"/>
              </w:rPr>
            </w:pPr>
            <w:r w:rsidRPr="004728C5">
              <w:rPr>
                <w:rFonts w:cstheme="minorHAnsi"/>
                <w:color w:val="000000" w:themeColor="text1"/>
                <w:sz w:val="20"/>
                <w:szCs w:val="20"/>
              </w:rPr>
              <w:t>Warm scarf</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40D7D" w:rsidRDefault="00761D32" w:rsidP="009B5270">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6D7F39" w:rsidRPr="00D2452D" w:rsidTr="00B00310">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00310" w:rsidRPr="00B00310" w:rsidRDefault="00B00310" w:rsidP="00B00310">
            <w:pPr>
              <w:jc w:val="center"/>
              <w:rPr>
                <w:rFonts w:cstheme="minorHAnsi"/>
                <w:b/>
              </w:rPr>
            </w:pPr>
            <w:r w:rsidRPr="00B00310">
              <w:rPr>
                <w:rFonts w:cstheme="minorHAnsi"/>
                <w:b/>
              </w:rPr>
              <w:lastRenderedPageBreak/>
              <w:t>Mixing water</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00310" w:rsidRPr="00B00310" w:rsidRDefault="00B00310" w:rsidP="00B00310">
            <w:pPr>
              <w:jc w:val="center"/>
              <w:rPr>
                <w:rFonts w:cstheme="minorHAnsi"/>
                <w:b/>
                <w:color w:val="984806" w:themeColor="accent6" w:themeShade="80"/>
              </w:rPr>
            </w:pPr>
            <w:r w:rsidRPr="00B00310">
              <w:rPr>
                <w:rFonts w:cstheme="minorHAnsi"/>
                <w:b/>
              </w:rPr>
              <w:t>Just cool?</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00310" w:rsidRPr="00B00310" w:rsidRDefault="00B00310" w:rsidP="00B00310">
            <w:pPr>
              <w:jc w:val="center"/>
              <w:rPr>
                <w:rFonts w:cstheme="minorHAnsi"/>
                <w:b/>
                <w:color w:val="984806" w:themeColor="accent6" w:themeShade="80"/>
              </w:rPr>
            </w:pPr>
            <w:r w:rsidRPr="00B00310">
              <w:rPr>
                <w:rFonts w:cstheme="minorHAnsi"/>
                <w:b/>
                <w:color w:val="000000" w:themeColor="text1"/>
              </w:rPr>
              <w:t>Cooling tea</w:t>
            </w:r>
          </w:p>
        </w:tc>
        <w:tc>
          <w:tcPr>
            <w:tcW w:w="2790" w:type="dxa"/>
            <w:tcBorders>
              <w:left w:val="single" w:sz="4" w:space="0" w:color="auto"/>
              <w:bottom w:val="nil"/>
            </w:tcBorders>
            <w:shd w:val="clear" w:color="auto" w:fill="E5DFEC" w:themeFill="accent4" w:themeFillTint="33"/>
            <w:vAlign w:val="center"/>
          </w:tcPr>
          <w:p w:rsidR="00B00310" w:rsidRPr="00B00310" w:rsidRDefault="00B00310" w:rsidP="00B00310">
            <w:pPr>
              <w:jc w:val="center"/>
              <w:rPr>
                <w:rFonts w:cstheme="minorHAnsi"/>
                <w:b/>
              </w:rPr>
            </w:pPr>
            <w:r w:rsidRPr="00B00310">
              <w:rPr>
                <w:rFonts w:cstheme="minorHAnsi"/>
                <w:b/>
                <w:color w:val="000000" w:themeColor="text1"/>
              </w:rPr>
              <w:t>Hot house</w:t>
            </w:r>
          </w:p>
        </w:tc>
        <w:tc>
          <w:tcPr>
            <w:tcW w:w="2790" w:type="dxa"/>
            <w:tcBorders>
              <w:bottom w:val="nil"/>
            </w:tcBorders>
            <w:shd w:val="clear" w:color="auto" w:fill="B2A1C7" w:themeFill="accent4" w:themeFillTint="99"/>
            <w:vAlign w:val="center"/>
          </w:tcPr>
          <w:p w:rsidR="00B00310" w:rsidRPr="00B00310" w:rsidRDefault="00B00310" w:rsidP="00B00310">
            <w:pPr>
              <w:jc w:val="center"/>
              <w:rPr>
                <w:rFonts w:cstheme="minorHAnsi"/>
                <w:b/>
              </w:rPr>
            </w:pPr>
            <w:r w:rsidRPr="00B00310">
              <w:rPr>
                <w:rFonts w:cstheme="minorHAnsi"/>
                <w:b/>
              </w:rPr>
              <w:t>Cooling curve</w:t>
            </w:r>
          </w:p>
        </w:tc>
      </w:tr>
      <w:tr w:rsidR="00031482" w:rsidTr="003F06F6">
        <w:trPr>
          <w:trHeight w:hRule="exact" w:val="3515"/>
        </w:trPr>
        <w:tc>
          <w:tcPr>
            <w:tcW w:w="2789" w:type="dxa"/>
            <w:tcBorders>
              <w:top w:val="nil"/>
              <w:bottom w:val="nil"/>
            </w:tcBorders>
            <w:vAlign w:val="center"/>
          </w:tcPr>
          <w:p w:rsidR="00B00310" w:rsidRDefault="006D7F39" w:rsidP="006D7F39">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15875</wp:posOffset>
                  </wp:positionH>
                  <wp:positionV relativeFrom="paragraph">
                    <wp:posOffset>20955</wp:posOffset>
                  </wp:positionV>
                  <wp:extent cx="1520190" cy="2159635"/>
                  <wp:effectExtent l="19050" t="19050" r="22860" b="120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ACF7B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7632" behindDoc="0" locked="0" layoutInCell="1" allowOverlap="1">
                  <wp:simplePos x="0" y="0"/>
                  <wp:positionH relativeFrom="column">
                    <wp:posOffset>82550</wp:posOffset>
                  </wp:positionH>
                  <wp:positionV relativeFrom="paragraph">
                    <wp:posOffset>34925</wp:posOffset>
                  </wp:positionV>
                  <wp:extent cx="1525270" cy="2159635"/>
                  <wp:effectExtent l="19050" t="19050" r="17780"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AC7FB5.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B00310" w:rsidRDefault="005F4239" w:rsidP="00B00310">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AC2415.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00310" w:rsidRDefault="00EB2B42" w:rsidP="00B00310">
            <w:pPr>
              <w:jc w:val="center"/>
              <w:rPr>
                <w:b/>
                <w:color w:val="5F497A" w:themeColor="accent4" w:themeShade="BF"/>
                <w:sz w:val="24"/>
              </w:rPr>
            </w:pPr>
            <w:r>
              <w:rPr>
                <w:b/>
                <w:noProof/>
                <w:color w:val="5F497A" w:themeColor="accent4" w:themeShade="BF"/>
                <w:sz w:val="24"/>
                <w:lang w:eastAsia="en-GB"/>
              </w:rPr>
              <w:drawing>
                <wp:inline distT="0" distB="0" distL="0" distR="0">
                  <wp:extent cx="1521285" cy="2160000"/>
                  <wp:effectExtent l="19050" t="19050" r="222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AC5080.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00310" w:rsidRDefault="006D7F39" w:rsidP="00B00310">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AC3C4C.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B00310" w:rsidRDefault="00031482" w:rsidP="00B00310">
            <w:pPr>
              <w:jc w:val="center"/>
              <w:rPr>
                <w:b/>
                <w:color w:val="5F497A" w:themeColor="accent4" w:themeShade="BF"/>
                <w:sz w:val="24"/>
              </w:rPr>
            </w:pPr>
            <w:r>
              <w:rPr>
                <w:b/>
                <w:noProof/>
                <w:color w:val="5F497A" w:themeColor="accent4" w:themeShade="BF"/>
                <w:sz w:val="24"/>
                <w:lang w:eastAsia="en-GB"/>
              </w:rPr>
              <w:drawing>
                <wp:inline distT="0" distB="0" distL="0" distR="0">
                  <wp:extent cx="1527507" cy="2160000"/>
                  <wp:effectExtent l="19050" t="19050" r="1587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AC8265.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tx1"/>
                            </a:solidFill>
                          </a:ln>
                        </pic:spPr>
                      </pic:pic>
                    </a:graphicData>
                  </a:graphic>
                </wp:inline>
              </w:drawing>
            </w:r>
          </w:p>
        </w:tc>
      </w:tr>
      <w:tr w:rsidR="006D7F39" w:rsidTr="00B00310">
        <w:trPr>
          <w:trHeight w:hRule="exact" w:val="454"/>
        </w:trPr>
        <w:tc>
          <w:tcPr>
            <w:tcW w:w="2789" w:type="dxa"/>
            <w:tcBorders>
              <w:top w:val="nil"/>
              <w:bottom w:val="single" w:sz="4" w:space="0" w:color="auto"/>
            </w:tcBorders>
            <w:shd w:val="clear" w:color="auto" w:fill="E5DFEC" w:themeFill="accent4" w:themeFillTint="33"/>
            <w:vAlign w:val="center"/>
          </w:tcPr>
          <w:p w:rsidR="00B00310" w:rsidRPr="00EA6AA1" w:rsidRDefault="006D7F39" w:rsidP="003F06F6">
            <w:pPr>
              <w:spacing w:after="120" w:line="276" w:lineRule="auto"/>
              <w:jc w:val="center"/>
            </w:pPr>
            <w:r>
              <w:t>Simple</w:t>
            </w:r>
            <w:r w:rsidRPr="00535269">
              <w:t xml:space="preserve"> multiple</w:t>
            </w:r>
            <w:r>
              <w:t xml:space="preserve"> choice</w:t>
            </w:r>
          </w:p>
        </w:tc>
        <w:tc>
          <w:tcPr>
            <w:tcW w:w="2789" w:type="dxa"/>
            <w:tcBorders>
              <w:top w:val="nil"/>
              <w:bottom w:val="single" w:sz="4" w:space="0" w:color="auto"/>
            </w:tcBorders>
            <w:shd w:val="clear" w:color="auto" w:fill="E5DFEC" w:themeFill="accent4" w:themeFillTint="33"/>
            <w:vAlign w:val="center"/>
          </w:tcPr>
          <w:p w:rsidR="00B00310" w:rsidRPr="00EA6AA1" w:rsidRDefault="005F4239" w:rsidP="003F06F6">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B00310" w:rsidRPr="00EA6AA1" w:rsidRDefault="00EB2B42" w:rsidP="003F06F6">
            <w:pPr>
              <w:spacing w:after="120"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B00310" w:rsidRPr="00EA6AA1" w:rsidRDefault="006D7F39" w:rsidP="003F06F6">
            <w:pPr>
              <w:spacing w:after="120" w:line="276" w:lineRule="auto"/>
              <w:jc w:val="center"/>
            </w:pPr>
            <w:r>
              <w:t>Confidence grid</w:t>
            </w:r>
          </w:p>
        </w:tc>
        <w:tc>
          <w:tcPr>
            <w:tcW w:w="2790" w:type="dxa"/>
            <w:tcBorders>
              <w:top w:val="nil"/>
              <w:bottom w:val="single" w:sz="4" w:space="0" w:color="auto"/>
            </w:tcBorders>
            <w:shd w:val="clear" w:color="auto" w:fill="B2A1C7" w:themeFill="accent4" w:themeFillTint="99"/>
            <w:vAlign w:val="center"/>
          </w:tcPr>
          <w:p w:rsidR="00B00310" w:rsidRPr="00031482" w:rsidRDefault="00031482" w:rsidP="00031482">
            <w:pPr>
              <w:jc w:val="center"/>
              <w:rPr>
                <w:sz w:val="18"/>
                <w:szCs w:val="18"/>
              </w:rPr>
            </w:pPr>
            <w:r w:rsidRPr="00031482">
              <w:rPr>
                <w:sz w:val="18"/>
                <w:szCs w:val="18"/>
              </w:rPr>
              <w:t>Predict, explain, observe, explain practical/demonstration</w:t>
            </w:r>
          </w:p>
        </w:tc>
      </w:tr>
      <w:tr w:rsidR="006D7F39" w:rsidRPr="00D2452D" w:rsidTr="00B00310">
        <w:trPr>
          <w:trHeight w:hRule="exact" w:val="340"/>
        </w:trPr>
        <w:tc>
          <w:tcPr>
            <w:tcW w:w="2789" w:type="dxa"/>
            <w:tcBorders>
              <w:bottom w:val="nil"/>
            </w:tcBorders>
            <w:shd w:val="clear" w:color="auto" w:fill="B2A1C7" w:themeFill="accent4" w:themeFillTint="99"/>
            <w:vAlign w:val="center"/>
          </w:tcPr>
          <w:p w:rsidR="00B00310" w:rsidRPr="00B00310" w:rsidRDefault="00B00310" w:rsidP="003F06F6">
            <w:pPr>
              <w:spacing w:line="276" w:lineRule="auto"/>
              <w:jc w:val="center"/>
              <w:rPr>
                <w:b/>
              </w:rPr>
            </w:pPr>
            <w:r w:rsidRPr="00B00310">
              <w:rPr>
                <w:rFonts w:cstheme="minorHAnsi"/>
                <w:b/>
                <w:color w:val="000000" w:themeColor="text1"/>
              </w:rPr>
              <w:t>Warm scarf</w:t>
            </w:r>
          </w:p>
        </w:tc>
        <w:tc>
          <w:tcPr>
            <w:tcW w:w="2789" w:type="dxa"/>
            <w:tcBorders>
              <w:bottom w:val="nil"/>
              <w:right w:val="nil"/>
            </w:tcBorders>
            <w:shd w:val="clear" w:color="auto" w:fill="FFFFFF" w:themeFill="background1"/>
            <w:vAlign w:val="center"/>
          </w:tcPr>
          <w:p w:rsidR="00B00310" w:rsidRPr="00AC1978" w:rsidRDefault="00B00310" w:rsidP="003F06F6">
            <w:pPr>
              <w:jc w:val="center"/>
              <w:rPr>
                <w:rFonts w:cstheme="minorHAnsi"/>
                <w:b/>
              </w:rPr>
            </w:pPr>
          </w:p>
        </w:tc>
        <w:tc>
          <w:tcPr>
            <w:tcW w:w="2790" w:type="dxa"/>
            <w:tcBorders>
              <w:left w:val="nil"/>
              <w:bottom w:val="nil"/>
              <w:right w:val="nil"/>
            </w:tcBorders>
            <w:shd w:val="clear" w:color="auto" w:fill="FFFFFF" w:themeFill="background1"/>
            <w:vAlign w:val="center"/>
          </w:tcPr>
          <w:p w:rsidR="00B00310" w:rsidRPr="00D2452D" w:rsidRDefault="00B00310" w:rsidP="003F06F6">
            <w:pPr>
              <w:jc w:val="center"/>
              <w:rPr>
                <w:rFonts w:cstheme="minorHAnsi"/>
                <w:b/>
              </w:rPr>
            </w:pPr>
          </w:p>
        </w:tc>
        <w:tc>
          <w:tcPr>
            <w:tcW w:w="2790" w:type="dxa"/>
            <w:tcBorders>
              <w:left w:val="nil"/>
              <w:bottom w:val="nil"/>
              <w:right w:val="nil"/>
            </w:tcBorders>
            <w:shd w:val="clear" w:color="auto" w:fill="FFFFFF" w:themeFill="background1"/>
            <w:vAlign w:val="center"/>
          </w:tcPr>
          <w:p w:rsidR="00B00310" w:rsidRPr="00D2452D" w:rsidRDefault="00B00310" w:rsidP="003F06F6">
            <w:pPr>
              <w:jc w:val="center"/>
              <w:rPr>
                <w:rFonts w:cstheme="minorHAnsi"/>
                <w:b/>
              </w:rPr>
            </w:pPr>
          </w:p>
        </w:tc>
        <w:tc>
          <w:tcPr>
            <w:tcW w:w="2790" w:type="dxa"/>
            <w:tcBorders>
              <w:left w:val="nil"/>
              <w:bottom w:val="nil"/>
              <w:right w:val="nil"/>
            </w:tcBorders>
            <w:shd w:val="clear" w:color="auto" w:fill="FFFFFF" w:themeFill="background1"/>
            <w:vAlign w:val="center"/>
          </w:tcPr>
          <w:p w:rsidR="00B00310" w:rsidRPr="00D2452D" w:rsidRDefault="00B00310" w:rsidP="003F06F6">
            <w:pPr>
              <w:jc w:val="center"/>
              <w:rPr>
                <w:rFonts w:cstheme="minorHAnsi"/>
                <w:b/>
              </w:rPr>
            </w:pPr>
          </w:p>
        </w:tc>
      </w:tr>
      <w:tr w:rsidR="006D7F39" w:rsidTr="00B00310">
        <w:trPr>
          <w:trHeight w:hRule="exact" w:val="3515"/>
        </w:trPr>
        <w:tc>
          <w:tcPr>
            <w:tcW w:w="2789" w:type="dxa"/>
            <w:tcBorders>
              <w:top w:val="nil"/>
              <w:bottom w:val="nil"/>
            </w:tcBorders>
            <w:vAlign w:val="center"/>
          </w:tcPr>
          <w:p w:rsidR="00B00310" w:rsidRPr="00FC1013" w:rsidRDefault="00B347D5" w:rsidP="00B00310">
            <w:pPr>
              <w:jc w:val="center"/>
            </w:pPr>
            <w:r>
              <w:rPr>
                <w:noProof/>
                <w:lang w:eastAsia="en-GB"/>
              </w:rPr>
              <w:drawing>
                <wp:inline distT="0" distB="0" distL="0" distR="0">
                  <wp:extent cx="1520089" cy="2160000"/>
                  <wp:effectExtent l="19050" t="19050" r="2349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AC663.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tx1"/>
                            </a:solidFill>
                          </a:ln>
                        </pic:spPr>
                      </pic:pic>
                    </a:graphicData>
                  </a:graphic>
                </wp:inline>
              </w:drawing>
            </w:r>
          </w:p>
        </w:tc>
        <w:tc>
          <w:tcPr>
            <w:tcW w:w="2789" w:type="dxa"/>
            <w:tcBorders>
              <w:top w:val="nil"/>
              <w:bottom w:val="nil"/>
              <w:right w:val="nil"/>
            </w:tcBorders>
            <w:shd w:val="clear" w:color="auto" w:fill="FFFFFF" w:themeFill="background1"/>
            <w:vAlign w:val="center"/>
          </w:tcPr>
          <w:p w:rsidR="00B00310" w:rsidRPr="00FC1013" w:rsidRDefault="00B00310" w:rsidP="00B00310">
            <w:pPr>
              <w:jc w:val="center"/>
            </w:pPr>
          </w:p>
        </w:tc>
        <w:tc>
          <w:tcPr>
            <w:tcW w:w="2790" w:type="dxa"/>
            <w:tcBorders>
              <w:top w:val="nil"/>
              <w:left w:val="nil"/>
              <w:bottom w:val="nil"/>
              <w:right w:val="nil"/>
            </w:tcBorders>
            <w:shd w:val="clear" w:color="auto" w:fill="FFFFFF" w:themeFill="background1"/>
            <w:vAlign w:val="center"/>
          </w:tcPr>
          <w:p w:rsidR="00B00310" w:rsidRPr="00FC1013" w:rsidRDefault="00B00310" w:rsidP="00B00310">
            <w:pPr>
              <w:jc w:val="center"/>
            </w:pPr>
            <w:bookmarkStart w:id="0" w:name="_GoBack"/>
            <w:bookmarkEnd w:id="0"/>
          </w:p>
        </w:tc>
        <w:tc>
          <w:tcPr>
            <w:tcW w:w="2790" w:type="dxa"/>
            <w:tcBorders>
              <w:top w:val="nil"/>
              <w:left w:val="nil"/>
              <w:bottom w:val="nil"/>
              <w:right w:val="nil"/>
            </w:tcBorders>
            <w:shd w:val="clear" w:color="auto" w:fill="FFFFFF" w:themeFill="background1"/>
            <w:vAlign w:val="center"/>
          </w:tcPr>
          <w:p w:rsidR="00B00310" w:rsidRPr="00FC1013" w:rsidRDefault="00B00310" w:rsidP="00B00310">
            <w:pPr>
              <w:jc w:val="center"/>
            </w:pPr>
          </w:p>
        </w:tc>
        <w:tc>
          <w:tcPr>
            <w:tcW w:w="2790" w:type="dxa"/>
            <w:tcBorders>
              <w:top w:val="nil"/>
              <w:left w:val="nil"/>
              <w:bottom w:val="nil"/>
              <w:right w:val="nil"/>
            </w:tcBorders>
            <w:shd w:val="clear" w:color="auto" w:fill="FFFFFF" w:themeFill="background1"/>
            <w:vAlign w:val="center"/>
          </w:tcPr>
          <w:p w:rsidR="00B00310" w:rsidRPr="00FC1013" w:rsidRDefault="00B00310" w:rsidP="00B00310">
            <w:pPr>
              <w:jc w:val="center"/>
            </w:pPr>
          </w:p>
        </w:tc>
      </w:tr>
      <w:tr w:rsidR="006D7F39" w:rsidTr="00B00310">
        <w:trPr>
          <w:trHeight w:hRule="exact" w:val="454"/>
        </w:trPr>
        <w:tc>
          <w:tcPr>
            <w:tcW w:w="2789" w:type="dxa"/>
            <w:tcBorders>
              <w:top w:val="nil"/>
            </w:tcBorders>
            <w:shd w:val="clear" w:color="auto" w:fill="B2A1C7" w:themeFill="accent4" w:themeFillTint="99"/>
            <w:vAlign w:val="center"/>
          </w:tcPr>
          <w:p w:rsidR="00B00310" w:rsidRPr="00FC1013" w:rsidRDefault="00B347D5" w:rsidP="003F06F6">
            <w:pPr>
              <w:spacing w:after="120" w:line="276" w:lineRule="auto"/>
              <w:jc w:val="center"/>
            </w:pPr>
            <w:r>
              <w:t>Talking heads</w:t>
            </w:r>
          </w:p>
        </w:tc>
        <w:tc>
          <w:tcPr>
            <w:tcW w:w="2789" w:type="dxa"/>
            <w:tcBorders>
              <w:top w:val="nil"/>
              <w:bottom w:val="nil"/>
              <w:right w:val="nil"/>
            </w:tcBorders>
            <w:shd w:val="clear" w:color="auto" w:fill="FFFFFF" w:themeFill="background1"/>
            <w:vAlign w:val="center"/>
          </w:tcPr>
          <w:p w:rsidR="00B00310" w:rsidRPr="00FC1013" w:rsidRDefault="00B00310" w:rsidP="003F06F6">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B00310" w:rsidRPr="00FC1013" w:rsidRDefault="00B00310" w:rsidP="003F06F6">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B00310" w:rsidRPr="00FC1013" w:rsidRDefault="00B00310" w:rsidP="003F06F6">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B00310" w:rsidRPr="00FC1013" w:rsidRDefault="00B00310" w:rsidP="003F06F6">
            <w:pPr>
              <w:spacing w:after="120" w:line="276" w:lineRule="auto"/>
              <w:jc w:val="center"/>
            </w:pPr>
          </w:p>
        </w:tc>
      </w:tr>
    </w:tbl>
    <w:p w:rsidR="00B00310" w:rsidRDefault="00B00310">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514B5F" w:rsidRDefault="00514B5F" w:rsidP="00514B5F">
      <w:pPr>
        <w:keepNext/>
        <w:spacing w:after="180"/>
      </w:pPr>
      <w:r w:rsidRPr="001411F1">
        <w:t>The temperature of an object is a measure of how hot it is.</w:t>
      </w:r>
      <w:r>
        <w:t xml:space="preserve"> </w:t>
      </w:r>
      <w:r w:rsidRPr="001411F1">
        <w:t xml:space="preserve">It can be measured using a thermometer (in degrees Celsius, </w:t>
      </w:r>
      <w:r w:rsidRPr="001411F1">
        <w:rPr>
          <w:vertAlign w:val="superscript"/>
        </w:rPr>
        <w:t>o</w:t>
      </w:r>
      <w:r w:rsidRPr="001411F1">
        <w:t>C).</w:t>
      </w:r>
      <w:r>
        <w:t xml:space="preserve"> To raise the temperature of an object, </w:t>
      </w:r>
      <w:r w:rsidRPr="001411F1">
        <w:t xml:space="preserve">energy </w:t>
      </w:r>
      <w:r>
        <w:t xml:space="preserve">has to be </w:t>
      </w:r>
      <w:r w:rsidRPr="001411F1">
        <w:t>transferred to</w:t>
      </w:r>
      <w:r>
        <w:t xml:space="preserve"> it</w:t>
      </w:r>
      <w:r w:rsidR="00DC7EE0">
        <w:t>s thermal store</w:t>
      </w:r>
      <w:r>
        <w:t xml:space="preserve"> (gained by it)</w:t>
      </w:r>
      <w:r w:rsidRPr="001411F1">
        <w:t>.</w:t>
      </w:r>
      <w:r>
        <w:t xml:space="preserve"> To lower the temperature of an object, </w:t>
      </w:r>
      <w:r w:rsidRPr="001411F1">
        <w:t xml:space="preserve">energy </w:t>
      </w:r>
      <w:r>
        <w:t xml:space="preserve">has to be </w:t>
      </w:r>
      <w:r w:rsidRPr="001411F1">
        <w:t xml:space="preserve">transferred </w:t>
      </w:r>
      <w:r>
        <w:t>from it</w:t>
      </w:r>
      <w:r w:rsidR="00DC7EE0">
        <w:t>s thermal store</w:t>
      </w:r>
      <w:r>
        <w:t xml:space="preserve"> (lost by it)</w:t>
      </w:r>
      <w:r w:rsidRPr="001411F1">
        <w:t>.</w:t>
      </w:r>
    </w:p>
    <w:p w:rsidR="00514B5F" w:rsidRPr="001411F1" w:rsidRDefault="00514B5F" w:rsidP="00514B5F">
      <w:pPr>
        <w:widowControl w:val="0"/>
        <w:spacing w:after="180"/>
      </w:pPr>
      <w:r>
        <w:t>The amount of energy stored in a hot object depends on its temperature – the hotter the object, the more energy is stored. Also if two objects made of the same material are at the same temperature, the bigger (more massive) object stores more energy.</w:t>
      </w:r>
    </w:p>
    <w:p w:rsidR="00514B5F" w:rsidRPr="001411F1" w:rsidRDefault="00514B5F" w:rsidP="00514B5F">
      <w:pPr>
        <w:spacing w:after="180"/>
      </w:pPr>
      <w:r w:rsidRPr="001411F1">
        <w:t>If two objects at different temperatures are in contact, energy w</w:t>
      </w:r>
      <w:r w:rsidR="00E44202">
        <w:t xml:space="preserve">ill move spontaneously from the </w:t>
      </w:r>
      <w:r w:rsidRPr="001411F1">
        <w:t>object at the higher temperature to the object at the lower temperature.</w:t>
      </w:r>
      <w:r>
        <w:t xml:space="preserve"> The ‘other object’ might simply be the surrounding air. </w:t>
      </w:r>
      <w:r w:rsidRPr="001411F1">
        <w:t xml:space="preserve">The rate at which </w:t>
      </w:r>
      <w:r w:rsidR="00E44202">
        <w:t>energy</w:t>
      </w:r>
      <w:r w:rsidRPr="001411F1">
        <w:t xml:space="preserve"> moves depends on the temperature difference and the nature and thickness of the material(s) between the two objects.</w:t>
      </w:r>
      <w:r>
        <w:t xml:space="preserve"> </w:t>
      </w:r>
      <w:r w:rsidRPr="001411F1">
        <w:t xml:space="preserve">Materials which significantly reduce the rate of energy transfer </w:t>
      </w:r>
      <w:r w:rsidR="00E44202">
        <w:t xml:space="preserve">by heating </w:t>
      </w:r>
      <w:r w:rsidRPr="001411F1">
        <w:t>are called thermal insulators.</w:t>
      </w:r>
    </w:p>
    <w:p w:rsidR="00514B5F" w:rsidRPr="001411F1" w:rsidRDefault="00514B5F" w:rsidP="00514B5F">
      <w:pPr>
        <w:spacing w:after="180"/>
      </w:pPr>
      <w:r w:rsidRPr="001411F1">
        <w:t xml:space="preserve">If several objects and materials are left for some time </w:t>
      </w:r>
      <w:r>
        <w:t>in contact with one another</w:t>
      </w:r>
      <w:r w:rsidRPr="001411F1">
        <w:t xml:space="preserve">, all of them </w:t>
      </w:r>
      <w:r>
        <w:t>will reach the same temperature (thermal equilibrium).</w:t>
      </w:r>
    </w:p>
    <w:p w:rsidR="00514B5F" w:rsidRPr="001411F1" w:rsidRDefault="00514B5F" w:rsidP="0031186C">
      <w:pPr>
        <w:spacing w:after="360"/>
      </w:pPr>
      <w:r w:rsidRPr="001411F1">
        <w:t>To keep an object at a steady temperature above that of its surroundings, energy has to be supplied to it at the same rate as it is losing energy to its surroundings.</w:t>
      </w:r>
      <w:r>
        <w:t xml:space="preserve"> </w:t>
      </w:r>
      <w:r w:rsidRPr="001411F1">
        <w:t>Similarly to keep an object at a steady temperature below that of its surroundings, energy must be removed from it at the same rate as it is gaining energy from its surroundings.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893389" w:rsidRDefault="00893389" w:rsidP="00246A68">
      <w:pPr>
        <w:widowControl w:val="0"/>
        <w:spacing w:after="180"/>
      </w:pPr>
      <w:r>
        <w:t>It is important for students to understand that temperature is an indication of the concent</w:t>
      </w:r>
      <w:r w:rsidR="00246A68">
        <w:t xml:space="preserve">ration of energy in an object. If two objects made of the same material are at the same temperature, the bigger (more massive) object has more energy in its thermal store. </w:t>
      </w:r>
      <w:r>
        <w:t xml:space="preserve">In a study of 8- to 14-year-olds (n=324) it was found that one in six 13- to 14-year-olds, and half of 12-year-olds thought that larger ice-cubes </w:t>
      </w:r>
      <w:r w:rsidR="00246A68">
        <w:t>had a lower temperature</w:t>
      </w:r>
      <w:r>
        <w:t xml:space="preserve"> than smaller ones because they t</w:t>
      </w:r>
      <w:r w:rsidR="00246A68">
        <w:t>ake</w:t>
      </w:r>
      <w:r>
        <w:t xml:space="preserve"> longer to melt </w:t>
      </w:r>
      <w:r>
        <w:fldChar w:fldCharType="begin"/>
      </w:r>
      <w:r>
        <w:instrText xml:space="preserve"> ADDIN EN.CITE &lt;EndNote&gt;&lt;Cite&gt;&lt;Author&gt;Driver&lt;/Author&gt;&lt;Year&gt;1982&lt;/Year&gt;&lt;IDText&gt;An investigation of the ideas of heat, temperature and change of state of children aged between 8 and 14 years.&lt;/IDText&gt;&lt;DisplayText&gt;(Driver and Russell, 1982)&lt;/DisplayText&gt;&lt;record&gt;&lt;titles&gt;&lt;title&gt;An investigation of the ideas of heat, temperature and change of state of children aged between 8 and 14 years.&lt;/title&gt;&lt;tertiary-title&gt;Centre for Studies in Science and Mathematics Education&lt;/tertiary-title&gt;&lt;/titles&gt;&lt;contributors&gt;&lt;authors&gt;&lt;author&gt;Driver, R&lt;/author&gt;&lt;author&gt;Russell, T&lt;/author&gt;&lt;/authors&gt;&lt;/contributors&gt;&lt;added-date format="utc"&gt;1541504776&lt;/added-date&gt;&lt;pub-location&gt;Leeds&lt;/pub-location&gt;&lt;ref-type name="Unpublished Work"&gt;34&lt;/ref-type&gt;&lt;dates&gt;&lt;year&gt;1982&lt;/year&gt;&lt;/dates&gt;&lt;rec-number&gt;68&lt;/rec-number&gt;&lt;publisher&gt;University of Leeds&lt;/publisher&gt;&lt;last-updated-date format="utc"&gt;1541508183&lt;/last-updated-date&gt;&lt;/record&gt;&lt;/Cite&gt;&lt;/EndNote&gt;</w:instrText>
      </w:r>
      <w:r>
        <w:fldChar w:fldCharType="separate"/>
      </w:r>
      <w:r>
        <w:rPr>
          <w:noProof/>
        </w:rPr>
        <w:t>(Driver and Russell, 1982)</w:t>
      </w:r>
      <w:r>
        <w:fldChar w:fldCharType="end"/>
      </w:r>
      <w:r>
        <w:t>.</w:t>
      </w:r>
    </w:p>
    <w:p w:rsidR="00F1061E" w:rsidRDefault="00F1061E" w:rsidP="00F1061E">
      <w:pPr>
        <w:spacing w:after="120"/>
      </w:pPr>
      <w:r>
        <w:t>Students are usually good at predicting that when samples of hot and cold water are mixed, the temperature of the mixture is somewhere in the middle. When samples are mixed students need to use the idea that temperature is an intensive property in order to predict that the resulting temperature. Some students are likely to get this wrong because they confuse temperature with an amount of energy and adding more water adds more energy. When a value for the temperature of each sample is given some students add or subtract the temperatures, applying a mathematical process without appear</w:t>
      </w:r>
      <w:r w:rsidR="006961FA">
        <w:t xml:space="preserve">ing to think about what happens. </w:t>
      </w:r>
      <w:r w:rsidR="006961FA">
        <w:fldChar w:fldCharType="begin">
          <w:fldData xml:space="preserve">PEVuZE5vdGU+PENpdGU+PEF1dGhvcj5Fcmlja3NvbjwvQXV0aG9yPjxZZWFyPjE5ODU8L1llYXI+
PElEVGV4dD5IZWF0IGFuZCBUZW1wZXJhdHVyZTwvSURUZXh0PjxEaXNwbGF5VGV4dD4oRXJpY2tz
b24gYW5kIFRpYmVyZ2hpZW4sIDE5ODVhOyBEcml2ZXIgZXQgYWwuLCAxOTk0OyBNaWxsYXIsIDIw
MTEpPC9EaXNwbGF5VGV4dD48cmVjb3JkPjx0aXRsZXM+PHRpdGxlPkhlYXQgYW5kIFRlbXBlcmF0
dXJlPC90aXRsZT48c2Vjb25kYXJ5LXRpdGxlPkNoaWxkcmVuJmFwb3M7cyBJZGVhcyBJbiBTY2ll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LWRhdGU+PHB1Yi1sb2NhdGlvbj5NaWx0b24gS2V5bmVzIGFuZMKgUGhpbGFkZWxwaGlhPC9wdWIt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</w:fldData>
        </w:fldChar>
      </w:r>
      <w:r w:rsidR="00202FE7">
        <w:instrText xml:space="preserve"> ADDIN EN.CITE </w:instrText>
      </w:r>
      <w:r w:rsidR="00202FE7">
        <w:fldChar w:fldCharType="begin">
          <w:fldData xml:space="preserve">PEVuZE5vdGU+PENpdGU+PEF1dGhvcj5Fcmlja3NvbjwvQXV0aG9yPjxZZWFyPjE5ODU8L1llYXI+
PElEVGV4dD5IZWF0IGFuZCBUZW1wZXJhdHVyZTwvSURUZXh0PjxEaXNwbGF5VGV4dD4oRXJpY2tz
b24gYW5kIFRpYmVyZ2hpZW4sIDE5ODVhOyBEcml2ZXIgZXQgYWwuLCAxOTk0OyBNaWxsYXIsIDIw
MTEpPC9EaXNwbGF5VGV4dD48cmVjb3JkPjx0aXRsZXM+PHRpdGxlPkhlYXQgYW5kIFRlbXBlcmF0
dXJlPC90aXRsZT48c2Vjb25kYXJ5LXRpdGxlPkNoaWxkcmVuJmFwb3M7cyBJZGVhcyBJbiBTY2ll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LWRhdGU+PHB1Yi1sb2NhdGlvbj5NaWx0b24gS2V5bmVzIGFuZMKgUGhpbGFkZWxwaGlhPC9wdWIt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</w:fldData>
        </w:fldChar>
      </w:r>
      <w:r w:rsidR="00202FE7">
        <w:instrText xml:space="preserve"> ADDIN EN.CITE.DATA </w:instrText>
      </w:r>
      <w:r w:rsidR="00202FE7">
        <w:fldChar w:fldCharType="end"/>
      </w:r>
      <w:r w:rsidR="006961FA">
        <w:fldChar w:fldCharType="separate"/>
      </w:r>
      <w:r w:rsidR="00202FE7">
        <w:rPr>
          <w:noProof/>
        </w:rPr>
        <w:t>(Erickson and Tiberghien, 1985; Driver et al., 1994; Millar, 2011)</w:t>
      </w:r>
      <w:r w:rsidR="006961FA">
        <w:fldChar w:fldCharType="end"/>
      </w:r>
    </w:p>
    <w:p w:rsidR="00E61431" w:rsidRDefault="00893389" w:rsidP="00893389">
      <w:pPr>
        <w:spacing w:after="180"/>
      </w:pPr>
      <w:r>
        <w:t xml:space="preserve">The difference between temperature and a thermal store of energy is a crucial idea in the understanding of thermal concepts. When an object is warmed up its temperature rises, the amount of energy in its thermal store increases and the particles in the object move </w:t>
      </w:r>
      <w:r w:rsidR="008654F3">
        <w:t>or vibrate</w:t>
      </w:r>
      <w:r>
        <w:t xml:space="preserve"> more</w:t>
      </w:r>
      <w:r w:rsidR="008654F3">
        <w:t>. A</w:t>
      </w:r>
      <w:r>
        <w:t xml:space="preserve">ll of these changes are </w:t>
      </w:r>
      <w:r>
        <w:lastRenderedPageBreak/>
        <w:t xml:space="preserve">interconnected and happen at the same time. </w:t>
      </w:r>
      <w:r w:rsidR="00710F36">
        <w:t xml:space="preserve">More specifically, and at a level students may encounter </w:t>
      </w:r>
      <w:r w:rsidR="001F2DB1">
        <w:t xml:space="preserve">later </w:t>
      </w:r>
      <w:r w:rsidR="00AE643E">
        <w:t>in more advanced</w:t>
      </w:r>
      <w:r w:rsidR="00710F36">
        <w:t xml:space="preserve"> studies, temperature is a measure of the average </w:t>
      </w:r>
      <w:r w:rsidR="00203B4F">
        <w:t xml:space="preserve">amount of </w:t>
      </w:r>
      <w:r w:rsidR="00710F36">
        <w:t xml:space="preserve">energy </w:t>
      </w:r>
      <w:r w:rsidR="00203B4F">
        <w:t xml:space="preserve">in the kinetic store </w:t>
      </w:r>
      <w:r w:rsidR="00710F36">
        <w:t>of the particles and the extra energy gained by the particles increases the energy in the thermal store</w:t>
      </w:r>
      <w:r w:rsidR="00B93AD4">
        <w:t xml:space="preserve"> </w:t>
      </w:r>
      <w:r w:rsidR="00B93AD4">
        <w:fldChar w:fldCharType="begin"/>
      </w:r>
      <w:r w:rsidR="00B93AD4">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rsidR="00B93AD4">
        <w:fldChar w:fldCharType="separate"/>
      </w:r>
      <w:r w:rsidR="00B93AD4">
        <w:rPr>
          <w:noProof/>
        </w:rPr>
        <w:t>(Institute of Physics)</w:t>
      </w:r>
      <w:r w:rsidR="00B93AD4">
        <w:fldChar w:fldCharType="end"/>
      </w:r>
      <w:r w:rsidR="003557E9">
        <w:t>.</w:t>
      </w:r>
      <w:r w:rsidR="008F3CC4">
        <w:t xml:space="preserve"> </w:t>
      </w:r>
      <w:r w:rsidR="00A31C90">
        <w:t xml:space="preserve">Out of a sample of 15- to 16-year-olds (n=178), 36% had the misunderstanding that temperature could be transferred from one object to another </w:t>
      </w:r>
      <w:r w:rsidR="00A31C90">
        <w:fldChar w:fldCharType="begin"/>
      </w:r>
      <w:r w:rsidR="00A31C90">
        <w:instrText xml:space="preserve"> ADDIN EN.CITE &lt;EndNote&gt;&lt;Cite&gt;&lt;Author&gt;Chu&lt;/Author&gt;&lt;Year&gt;2012&lt;/Year&gt;&lt;IDText&gt;Evaluation of Students&amp;apos; Understanding of Thermal Concepts in Everyday Contexts&lt;/IDText&gt;&lt;DisplayText&gt;(Chu et al., 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rsidR="00A31C90">
        <w:fldChar w:fldCharType="separate"/>
      </w:r>
      <w:r w:rsidR="00A31C90">
        <w:rPr>
          <w:noProof/>
        </w:rPr>
        <w:t>(Chu et al., 2012)</w:t>
      </w:r>
      <w:r w:rsidR="00A31C90">
        <w:fldChar w:fldCharType="end"/>
      </w:r>
      <w:r w:rsidR="00A31C90">
        <w:t xml:space="preserve">. </w:t>
      </w:r>
    </w:p>
    <w:p w:rsidR="005801BC" w:rsidRPr="00EB223D" w:rsidRDefault="005801BC" w:rsidP="005801BC">
      <w:pPr>
        <w:spacing w:after="180"/>
      </w:pPr>
      <w:r w:rsidRPr="00EB223D">
        <w:t xml:space="preserve">The conservation of energy is not something that can be conclusively demonstrated to students, but as it is </w:t>
      </w:r>
      <w:r w:rsidRPr="00EB223D">
        <w:rPr>
          <w:i/>
        </w:rPr>
        <w:t>the</w:t>
      </w:r>
      <w:r w:rsidRPr="00EB223D">
        <w:t xml:space="preserve"> essential feature of our understanding of energy it must be strongly asserted.</w:t>
      </w:r>
      <w:r>
        <w:t xml:space="preserve"> </w:t>
      </w:r>
    </w:p>
    <w:p w:rsidR="005801BC" w:rsidRDefault="005801BC" w:rsidP="005801BC">
      <w:pPr>
        <w:spacing w:after="180"/>
      </w:pPr>
      <w:r w:rsidRPr="00EB223D">
        <w:t>It will make it easier for students to accept the idea of the conservation of energy if it is taught at the same time as the idea of dissipation of energy.</w:t>
      </w:r>
      <w:r>
        <w:t xml:space="preserve"> </w:t>
      </w:r>
      <w:r w:rsidRPr="00EB223D">
        <w:t xml:space="preserve">Drawing students’ attention to examples of dissipation of energy and encouraging them to identify unintended </w:t>
      </w:r>
      <w:r>
        <w:t>transfers of energy</w:t>
      </w:r>
      <w:r w:rsidRPr="00EB223D">
        <w:t xml:space="preserve"> by heating can help them to reconcile conservation with their e</w:t>
      </w:r>
      <w:r>
        <w:t>veryday experience</w:t>
      </w:r>
      <w:r w:rsidRPr="00EB223D">
        <w:t xml:space="preserve"> of energy being </w:t>
      </w:r>
      <w:r>
        <w:t>‘</w:t>
      </w:r>
      <w:r w:rsidRPr="00EB223D">
        <w:t>lost</w:t>
      </w:r>
      <w:r>
        <w:t>’</w:t>
      </w:r>
      <w:r w:rsidRPr="00EB223D">
        <w:t>.</w:t>
      </w:r>
      <w:r>
        <w:t xml:space="preserve"> </w:t>
      </w:r>
      <w:r w:rsidR="00110408">
        <w:t>D</w:t>
      </w:r>
      <w:r w:rsidRPr="00EB223D">
        <w:t>issipation identifies what has h</w:t>
      </w:r>
      <w:r>
        <w:t xml:space="preserve">appened to the ‘missing’ energy. </w:t>
      </w:r>
      <w:r>
        <w:fldChar w:fldCharType="begin"/>
      </w:r>
      <w: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format="utc"&gt;1530712344&lt;/added-date&gt;&lt;pub-location&gt;York&lt;/pub-location&gt;&lt;ref-type name="Electronic Article"&gt;43&lt;/ref-type&gt;&lt;dates&gt;&lt;year&gt;2018&lt;/year&gt;&lt;/dates&gt;&lt;rec-number&gt;11&lt;/rec-number&gt;&lt;last-updated-date format="utc"&gt;1530712550&lt;/last-updated-date&gt;&lt;/record&gt;&lt;/Cite&gt;&lt;/EndNote&gt;</w:instrText>
      </w:r>
      <w:r>
        <w:fldChar w:fldCharType="separate"/>
      </w:r>
      <w:r>
        <w:rPr>
          <w:noProof/>
        </w:rPr>
        <w:t>(Fairhurst, 2018)</w:t>
      </w:r>
      <w:r>
        <w:fldChar w:fldCharType="end"/>
      </w:r>
    </w:p>
    <w:p w:rsidR="00202FE7" w:rsidRDefault="00202FE7" w:rsidP="00202FE7">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r>
        <w:rPr>
          <w:rFonts w:ascii="Calibri" w:hAnsi="Calibri"/>
        </w:rPr>
        <w:fldChar w:fldCharType="begin"/>
      </w:r>
      <w:r>
        <w:rPr>
          <w:rFonts w:ascii="Calibri" w:hAnsi="Calibri"/>
        </w:rPr>
        <w:instrText xml:space="preserve"> ADDIN EN.CITE &lt;EndNote&gt;&lt;Cite&gt;&lt;Author&gt;Boohan&lt;/Author&gt;&lt;Year&gt;2014&lt;/Year&gt;&lt;IDText&gt;Making sense of energy&lt;/IDText&gt;&lt;DisplayText&gt;(Boohan, 2014)&lt;/DisplayText&gt;&lt;record&gt;&lt;titles&gt;&lt;title&gt;Making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format="utc"&gt;1530631075&lt;/last-updated-date&gt;&lt;volume&gt;96&lt;/volume&gt;&lt;/record&gt;&lt;/Cite&gt;&lt;/EndNote&gt;</w:instrText>
      </w:r>
      <w:r>
        <w:rPr>
          <w:rFonts w:ascii="Calibri" w:hAnsi="Calibri"/>
        </w:rPr>
        <w:fldChar w:fldCharType="separate"/>
      </w:r>
      <w:r>
        <w:rPr>
          <w:rFonts w:ascii="Calibri" w:hAnsi="Calibri"/>
          <w:noProof/>
        </w:rPr>
        <w:t>(Boohan, 2014)</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ADDIN EN.CITE &lt;EndNote&gt;&lt;Cite&gt;&lt;Author&gt;Millar&lt;/Author&gt;&lt;Year&gt;2014&lt;/Year&gt;&lt;IDText&gt;Teaching about energy: from everyday to scientific understandings&lt;/IDText&gt;&lt;DisplayText&gt;(Millar, 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Pr>
          <w:rFonts w:ascii="Calibri" w:hAnsi="Calibri"/>
          <w:noProof/>
        </w:rPr>
        <w:t>(Millar, 2014)</w:t>
      </w:r>
      <w:r>
        <w:rPr>
          <w:rFonts w:ascii="Calibri" w:hAnsi="Calibri"/>
        </w:rPr>
        <w:fldChar w:fldCharType="end"/>
      </w:r>
      <w:r>
        <w:rPr>
          <w:rFonts w:ascii="Calibri" w:hAnsi="Calibri"/>
        </w:rPr>
        <w:t xml:space="preserve"> and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As Millar (2014) says, this approach “is not perfect - but it is adequate and significantly better than [approaches] based on lists of ‘forms of energy’.” 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sidR="00845EA6">
        <w:rPr>
          <w:rFonts w:ascii="Calibri" w:hAnsi="Calibri"/>
        </w:rPr>
        <w:t xml:space="preserve"> and in BEST approaches: Teaching energy (Fairhurst, 2018).</w:t>
      </w:r>
      <w:r>
        <w:rPr>
          <w:rFonts w:ascii="Calibri" w:hAnsi="Calibri"/>
        </w:rPr>
        <w:t xml:space="preserve"> </w:t>
      </w:r>
    </w:p>
    <w:p w:rsidR="00A86914" w:rsidRDefault="00FB6C03" w:rsidP="0031186C">
      <w:pPr>
        <w:spacing w:after="360"/>
      </w:pPr>
      <w:r>
        <w:t xml:space="preserve">The progression toolkit for </w:t>
      </w:r>
      <w:r w:rsidRPr="006E771C">
        <w:rPr>
          <w:i/>
        </w:rPr>
        <w:t>heating and cooling</w:t>
      </w:r>
      <w:r>
        <w:t xml:space="preserve"> reminds students that </w:t>
      </w:r>
      <w:r w:rsidR="00915DC9">
        <w:t xml:space="preserve">adding </w:t>
      </w:r>
      <w:r>
        <w:t xml:space="preserve">hot </w:t>
      </w:r>
      <w:r w:rsidR="00915DC9">
        <w:t>water to</w:t>
      </w:r>
      <w:r>
        <w:t xml:space="preserve"> cold make</w:t>
      </w:r>
      <w:r w:rsidR="00915DC9">
        <w:t>s</w:t>
      </w:r>
      <w:r>
        <w:t xml:space="preserve"> warm water </w:t>
      </w:r>
      <w:r w:rsidR="006E771C">
        <w:t>and challenges them to</w:t>
      </w:r>
      <w:r>
        <w:t xml:space="preserve"> make quantitative predictions about the resulting temperature</w:t>
      </w:r>
      <w:r w:rsidR="00F876E5">
        <w:t xml:space="preserve"> of the warm water</w:t>
      </w:r>
      <w:r>
        <w:t xml:space="preserve">. </w:t>
      </w:r>
      <w:r w:rsidR="00B0123A">
        <w:t>By</w:t>
      </w:r>
      <w:r w:rsidR="00F876E5">
        <w:t xml:space="preserve"> consider</w:t>
      </w:r>
      <w:r w:rsidR="00B0123A">
        <w:t>ing</w:t>
      </w:r>
      <w:r w:rsidR="00F876E5">
        <w:t xml:space="preserve"> what happens to the temperature of hot water when the cup it is in is placed into </w:t>
      </w:r>
      <w:r w:rsidR="00B0123A">
        <w:t xml:space="preserve">a </w:t>
      </w:r>
      <w:r w:rsidR="00F876E5">
        <w:t>cold water</w:t>
      </w:r>
      <w:r w:rsidR="00B0123A">
        <w:t xml:space="preserve"> bath, they start to explore how energy is dissipated </w:t>
      </w:r>
      <w:r w:rsidR="00957F6F">
        <w:t xml:space="preserve">from an object </w:t>
      </w:r>
      <w:r w:rsidR="00B0123A">
        <w:t>by heating the surroundings</w:t>
      </w:r>
      <w:r w:rsidR="00F876E5">
        <w:t>.</w:t>
      </w:r>
      <w:r w:rsidR="00E37DE9">
        <w:t xml:space="preserve"> Further activities give students the opportunity to explain how dissipation works and to apply their understanding</w:t>
      </w:r>
      <w:r w:rsidR="006E771C">
        <w:t xml:space="preserve"> of this</w:t>
      </w:r>
      <w:r w:rsidR="00E37DE9">
        <w:t xml:space="preserve"> to new situations. A bridging activity challenges students to explain how objects </w:t>
      </w:r>
      <w:r w:rsidR="00915DC9">
        <w:t xml:space="preserve">can be kept </w:t>
      </w:r>
      <w:r w:rsidR="00E37DE9">
        <w:t xml:space="preserve">at a steady temperature </w:t>
      </w:r>
      <w:r w:rsidR="006E771C">
        <w:t xml:space="preserve">that is </w:t>
      </w:r>
      <w:r w:rsidR="00E37DE9">
        <w:t>higher than their surroundings.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8654F3" w:rsidRPr="00AB5A37" w:rsidRDefault="008654F3" w:rsidP="008654F3">
      <w:pPr>
        <w:spacing w:after="180"/>
        <w:rPr>
          <w:i/>
        </w:rPr>
      </w:pPr>
      <w:r>
        <w:rPr>
          <w:i/>
        </w:rPr>
        <w:t>Problems with ‘h</w:t>
      </w:r>
      <w:r w:rsidRPr="00AB5A37">
        <w:rPr>
          <w:i/>
        </w:rPr>
        <w:t>eat</w:t>
      </w:r>
      <w:r>
        <w:rPr>
          <w:i/>
        </w:rPr>
        <w:t>’</w:t>
      </w:r>
    </w:p>
    <w:p w:rsidR="008654F3" w:rsidRDefault="008654F3" w:rsidP="008654F3">
      <w:pPr>
        <w:spacing w:after="180"/>
      </w:pPr>
      <w:r>
        <w:t xml:space="preserve">The use of the word ‘heat’ as a noun in colloquial speech can cause problems because it implies that ‘heat’ is a substance that can flow. For example in the phrases: ‘close the door to keep the heat in’; or ‘the kettle has gained heat’ </w:t>
      </w:r>
      <w:r>
        <w:fldChar w:fldCharType="begin"/>
      </w:r>
      <w:r w:rsidR="00202FE7">
        <w:instrText xml:space="preserve"> ADDIN EN.CITE &lt;EndNote&gt;&lt;Cite&gt;&lt;Author&gt;Erickson&lt;/Author&gt;&lt;Year&gt;1985&lt;/Year&gt;&lt;IDText&gt;Heat and Temperature&lt;/IDText&gt;&lt;DisplayText&gt;(Erickson and Tiberghien, 1985b)&lt;/DisplayText&gt;&lt;record&gt;&lt;titles&gt;&lt;title&gt;Heat and Temperature&lt;/title&gt;&lt;secondary-title&gt;Children&amp;apos;s Idease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Keynes&amp;#xA;Philadelphia &lt;/pub-location&gt;&lt;ref-type name="Book Section"&gt;5&lt;/ref-type&gt;&lt;dates&gt;&lt;year&gt;1985&lt;/year&gt;&lt;/dates&gt;&lt;rec-number&gt;66&lt;/rec-number&gt;&lt;publisher&gt;Open University Press&lt;/publisher&gt;&lt;last-updated-date format="utc"&gt;1541500594&lt;/last-updated-date&gt;&lt;contributors&gt;&lt;secondary-authors&gt;&lt;author&gt;Driver, R&lt;/author&gt;&lt;author&gt;Guesne, E&lt;/author&gt;&lt;author&gt;Tiberghien, A&lt;/author&gt;&lt;/secondary-authors&gt;&lt;/contributors&gt;&lt;/record&gt;&lt;/Cite&gt;&lt;/EndNote&gt;</w:instrText>
      </w:r>
      <w:r>
        <w:fldChar w:fldCharType="separate"/>
      </w:r>
      <w:r w:rsidR="00202FE7">
        <w:rPr>
          <w:noProof/>
        </w:rPr>
        <w:t>(Erickson and Tiberghien, 1985)</w:t>
      </w:r>
      <w:r>
        <w:fldChar w:fldCharType="end"/>
      </w:r>
      <w:r>
        <w:t xml:space="preserve">. For this reason is good practice to avoid using the word ‘heat’ when describing heating and cooling effects. More accurately when one object is </w:t>
      </w:r>
      <w:r w:rsidRPr="00AB5A37">
        <w:rPr>
          <w:i/>
        </w:rPr>
        <w:t>heating</w:t>
      </w:r>
      <w:r>
        <w:t xml:space="preserve"> another, energy is being transferred. The BEST key concept: </w:t>
      </w:r>
      <w:r w:rsidRPr="003A614B">
        <w:rPr>
          <w:i/>
        </w:rPr>
        <w:t>PMA1.</w:t>
      </w:r>
      <w:r w:rsidR="00CF3CA5">
        <w:rPr>
          <w:i/>
        </w:rPr>
        <w:t>4</w:t>
      </w:r>
      <w:r w:rsidRPr="003A614B">
        <w:rPr>
          <w:i/>
        </w:rPr>
        <w:t xml:space="preserve"> Thermal </w:t>
      </w:r>
      <w:r w:rsidR="00363F1B">
        <w:rPr>
          <w:i/>
        </w:rPr>
        <w:t xml:space="preserve">store of </w:t>
      </w:r>
      <w:r w:rsidRPr="003A614B">
        <w:rPr>
          <w:i/>
        </w:rPr>
        <w:t>energy</w:t>
      </w:r>
      <w:r>
        <w:t xml:space="preserve"> describes how this energy is transferred into or out of a thermal store by heating. </w:t>
      </w:r>
    </w:p>
    <w:p w:rsidR="008212A0" w:rsidRDefault="008212A0">
      <w:pPr>
        <w:spacing w:after="200" w:line="276" w:lineRule="auto"/>
        <w:rPr>
          <w:b/>
          <w:color w:val="5F497A" w:themeColor="accent4" w:themeShade="BF"/>
          <w:sz w:val="24"/>
        </w:rPr>
      </w:pPr>
      <w:r>
        <w:rPr>
          <w:b/>
          <w:color w:val="5F497A" w:themeColor="accent4" w:themeShade="BF"/>
          <w:sz w:val="24"/>
        </w:rPr>
        <w:br w:type="page"/>
      </w: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202FE7" w:rsidRPr="00202FE7" w:rsidRDefault="00893389" w:rsidP="00202FE7">
      <w:pPr>
        <w:pStyle w:val="EndNoteBibliography"/>
        <w:spacing w:after="120"/>
      </w:pPr>
      <w:r>
        <w:fldChar w:fldCharType="begin"/>
      </w:r>
      <w:r>
        <w:instrText xml:space="preserve"> ADDIN EN.REFLIST </w:instrText>
      </w:r>
      <w:r>
        <w:fldChar w:fldCharType="separate"/>
      </w:r>
      <w:r w:rsidR="00202FE7" w:rsidRPr="00202FE7">
        <w:t xml:space="preserve">Boohan, R. (2014). Making sense of energy. </w:t>
      </w:r>
      <w:r w:rsidR="00202FE7" w:rsidRPr="00202FE7">
        <w:rPr>
          <w:i/>
        </w:rPr>
        <w:t>School Science Review,</w:t>
      </w:r>
      <w:r w:rsidR="00202FE7" w:rsidRPr="00202FE7">
        <w:t xml:space="preserve"> 96(354)</w:t>
      </w:r>
      <w:r w:rsidR="00202FE7" w:rsidRPr="00202FE7">
        <w:rPr>
          <w:b/>
        </w:rPr>
        <w:t>,</w:t>
      </w:r>
      <w:r w:rsidR="00202FE7" w:rsidRPr="00202FE7">
        <w:t xml:space="preserve"> 11.</w:t>
      </w:r>
    </w:p>
    <w:p w:rsidR="00202FE7" w:rsidRPr="00202FE7" w:rsidRDefault="00202FE7" w:rsidP="00202FE7">
      <w:pPr>
        <w:pStyle w:val="EndNoteBibliography"/>
        <w:spacing w:after="120"/>
      </w:pPr>
      <w:r w:rsidRPr="00202FE7">
        <w:t xml:space="preserve">Chu, H.-E., et al. (2012). Evaluation of Students' Understanding of Thermal Concepts in Everyday Contexts. </w:t>
      </w:r>
      <w:r w:rsidRPr="00202FE7">
        <w:rPr>
          <w:i/>
        </w:rPr>
        <w:t>International Journal of Science Education,</w:t>
      </w:r>
      <w:r w:rsidRPr="00202FE7">
        <w:t xml:space="preserve"> 34:10</w:t>
      </w:r>
      <w:r w:rsidRPr="00202FE7">
        <w:rPr>
          <w:b/>
        </w:rPr>
        <w:t>,</w:t>
      </w:r>
      <w:r w:rsidRPr="00202FE7">
        <w:t xml:space="preserve"> 1509-1534.</w:t>
      </w:r>
    </w:p>
    <w:p w:rsidR="00202FE7" w:rsidRPr="00202FE7" w:rsidRDefault="00202FE7" w:rsidP="00202FE7">
      <w:pPr>
        <w:pStyle w:val="EndNoteBibliography"/>
        <w:spacing w:after="120"/>
      </w:pPr>
      <w:r w:rsidRPr="00202FE7">
        <w:t>Driver, R. and Russell, T. (1982). An investigation of the ideas of heat, temperature and change of state of children aged between 8 and 14 years. Leeds: University of Leeds.</w:t>
      </w:r>
    </w:p>
    <w:p w:rsidR="00202FE7" w:rsidRPr="00202FE7" w:rsidRDefault="00202FE7" w:rsidP="00202FE7">
      <w:pPr>
        <w:pStyle w:val="EndNoteBibliography"/>
        <w:spacing w:after="120"/>
      </w:pPr>
      <w:r w:rsidRPr="00202FE7">
        <w:t xml:space="preserve">Driver, R., et al. (1994). </w:t>
      </w:r>
      <w:r w:rsidRPr="00202FE7">
        <w:rPr>
          <w:i/>
        </w:rPr>
        <w:t xml:space="preserve">Making Sense of Secondary Science: Research into Children's Ideas, </w:t>
      </w:r>
      <w:r w:rsidRPr="00202FE7">
        <w:t>London, UK: Routledge.</w:t>
      </w:r>
    </w:p>
    <w:p w:rsidR="00202FE7" w:rsidRPr="00202FE7" w:rsidRDefault="00202FE7" w:rsidP="00202FE7">
      <w:pPr>
        <w:pStyle w:val="EndNoteBibliography"/>
        <w:spacing w:after="120"/>
      </w:pPr>
      <w:r w:rsidRPr="00202FE7">
        <w:t>Ericks</w:t>
      </w:r>
      <w:r>
        <w:t>on, G. and Tiberghien, A. (1985</w:t>
      </w:r>
      <w:r w:rsidRPr="00202FE7">
        <w:t xml:space="preserve">). Heat and Temperature. In Driver, R., Guesne, E. &amp; Tiberghien, A. (eds.) </w:t>
      </w:r>
      <w:r w:rsidRPr="00202FE7">
        <w:rPr>
          <w:i/>
        </w:rPr>
        <w:t>Children's Ideas In Science.</w:t>
      </w:r>
      <w:r w:rsidRPr="00202FE7">
        <w:t xml:space="preserve"> Milton Keynes and Philadelphia: Open University Press.</w:t>
      </w:r>
    </w:p>
    <w:p w:rsidR="00202FE7" w:rsidRPr="00202FE7" w:rsidRDefault="00202FE7" w:rsidP="00202FE7">
      <w:pPr>
        <w:pStyle w:val="EndNoteBibliography"/>
        <w:spacing w:after="120"/>
      </w:pPr>
      <w:r w:rsidRPr="00202FE7">
        <w:t xml:space="preserve">Fairhurst, P. (2018). Teaching Energy. [Online]. Available at: </w:t>
      </w:r>
      <w:hyperlink r:id="rId15" w:history="1">
        <w:r w:rsidRPr="00202FE7">
          <w:rPr>
            <w:rStyle w:val="Hyperlink"/>
          </w:rPr>
          <w:t>https://www.stem.org.uk/best-evidence-science-teaching</w:t>
        </w:r>
      </w:hyperlink>
      <w:r w:rsidRPr="00202FE7">
        <w:t>.</w:t>
      </w:r>
    </w:p>
    <w:p w:rsidR="00202FE7" w:rsidRPr="00202FE7" w:rsidRDefault="00202FE7" w:rsidP="00202FE7">
      <w:pPr>
        <w:pStyle w:val="EndNoteBibliography"/>
        <w:spacing w:after="120"/>
      </w:pPr>
      <w:r w:rsidRPr="00202FE7">
        <w:t xml:space="preserve">Institute of Physics. </w:t>
      </w:r>
      <w:r w:rsidRPr="00202FE7">
        <w:rPr>
          <w:i/>
        </w:rPr>
        <w:t xml:space="preserve">Supporting Physics Teaching (SPT): Energy </w:t>
      </w:r>
      <w:r w:rsidRPr="00202FE7">
        <w:t xml:space="preserve">[Online]. Available at: </w:t>
      </w:r>
      <w:hyperlink r:id="rId16" w:history="1">
        <w:r w:rsidRPr="00202FE7">
          <w:rPr>
            <w:rStyle w:val="Hyperlink"/>
          </w:rPr>
          <w:t>http://supportingphysicsteaching.net/EnHome.html</w:t>
        </w:r>
      </w:hyperlink>
      <w:r w:rsidRPr="00202FE7">
        <w:t xml:space="preserve"> [Accessed July 2018].</w:t>
      </w:r>
    </w:p>
    <w:p w:rsidR="00202FE7" w:rsidRPr="00202FE7" w:rsidRDefault="00202FE7" w:rsidP="00202FE7">
      <w:pPr>
        <w:pStyle w:val="EndNoteBibliography"/>
        <w:spacing w:after="120"/>
      </w:pPr>
      <w:r w:rsidRPr="00202FE7">
        <w:t xml:space="preserve">Millar, R. (2011). Energy. In Sang, D. (ed.) </w:t>
      </w:r>
      <w:r w:rsidRPr="00202FE7">
        <w:rPr>
          <w:i/>
        </w:rPr>
        <w:t>Teaching Secondary Physics.</w:t>
      </w:r>
      <w:r w:rsidRPr="00202FE7">
        <w:t xml:space="preserve"> London: Hodder Education.</w:t>
      </w:r>
    </w:p>
    <w:p w:rsidR="00202FE7" w:rsidRPr="00202FE7" w:rsidRDefault="00202FE7" w:rsidP="00202FE7">
      <w:pPr>
        <w:pStyle w:val="EndNoteBibliography"/>
        <w:spacing w:after="120"/>
      </w:pPr>
      <w:r w:rsidRPr="00202FE7">
        <w:t xml:space="preserve">Millar, R. (2014). Teaching about energy: from everyday to scientific understandings. </w:t>
      </w:r>
      <w:r w:rsidRPr="00202FE7">
        <w:rPr>
          <w:i/>
        </w:rPr>
        <w:t>School Science Review,</w:t>
      </w:r>
      <w:r w:rsidRPr="00202FE7">
        <w:t xml:space="preserve"> 96(354)</w:t>
      </w:r>
      <w:r w:rsidRPr="00202FE7">
        <w:rPr>
          <w:b/>
        </w:rPr>
        <w:t>,</w:t>
      </w:r>
      <w:r w:rsidRPr="00202FE7">
        <w:t xml:space="preserve"> 6.</w:t>
      </w:r>
    </w:p>
    <w:p w:rsidR="00202FE7" w:rsidRPr="00202FE7" w:rsidRDefault="00202FE7" w:rsidP="00202FE7">
      <w:pPr>
        <w:pStyle w:val="EndNoteBibliography"/>
        <w:spacing w:after="120"/>
      </w:pPr>
      <w:r w:rsidRPr="00202FE7">
        <w:t xml:space="preserve">Tracy, C. (2014). Energy in the new curriculum: an opportunity for change. </w:t>
      </w:r>
      <w:r w:rsidRPr="00202FE7">
        <w:rPr>
          <w:i/>
        </w:rPr>
        <w:t>School Science Review,</w:t>
      </w:r>
      <w:r w:rsidRPr="00202FE7">
        <w:t xml:space="preserve"> 96(354)</w:t>
      </w:r>
      <w:r w:rsidRPr="00202FE7">
        <w:rPr>
          <w:b/>
        </w:rPr>
        <w:t>,</w:t>
      </w:r>
      <w:r w:rsidRPr="00202FE7">
        <w:t xml:space="preserve"> 11.</w:t>
      </w:r>
    </w:p>
    <w:p w:rsidR="00D43788" w:rsidRDefault="00893389" w:rsidP="00202FE7">
      <w:pPr>
        <w:spacing w:after="120" w:line="276" w:lineRule="auto"/>
      </w:pPr>
      <w:r>
        <w:fldChar w:fldCharType="end"/>
      </w:r>
    </w:p>
    <w:sectPr w:rsidR="00D43788" w:rsidSect="00F34FD0">
      <w:headerReference w:type="default" r:id="rId17"/>
      <w:footerReference w:type="default" r:id="rId18"/>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67" w:rsidRDefault="00DE0C67" w:rsidP="000B473B">
      <w:r>
        <w:separator/>
      </w:r>
    </w:p>
  </w:endnote>
  <w:endnote w:type="continuationSeparator" w:id="0">
    <w:p w:rsidR="00DE0C67" w:rsidRDefault="00DE0C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878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A6DDE">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67" w:rsidRDefault="00DE0C67" w:rsidP="000B473B">
      <w:r>
        <w:separator/>
      </w:r>
    </w:p>
  </w:footnote>
  <w:footnote w:type="continuationSeparator" w:id="0">
    <w:p w:rsidR="00DE0C67" w:rsidRDefault="00DE0C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E335E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57E6"/>
    <w:multiLevelType w:val="hybridMultilevel"/>
    <w:tmpl w:val="CB10A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0C67"/>
    <w:rsid w:val="000026EA"/>
    <w:rsid w:val="000142B1"/>
    <w:rsid w:val="00015578"/>
    <w:rsid w:val="00024731"/>
    <w:rsid w:val="00026DEC"/>
    <w:rsid w:val="0003079C"/>
    <w:rsid w:val="00031482"/>
    <w:rsid w:val="000323DD"/>
    <w:rsid w:val="00033396"/>
    <w:rsid w:val="00036EBA"/>
    <w:rsid w:val="00037398"/>
    <w:rsid w:val="000505CA"/>
    <w:rsid w:val="000508B2"/>
    <w:rsid w:val="0005709C"/>
    <w:rsid w:val="00063C12"/>
    <w:rsid w:val="000656DC"/>
    <w:rsid w:val="00076455"/>
    <w:rsid w:val="00087BBB"/>
    <w:rsid w:val="000947E2"/>
    <w:rsid w:val="00095E04"/>
    <w:rsid w:val="000A4D1F"/>
    <w:rsid w:val="000B473B"/>
    <w:rsid w:val="000B74F8"/>
    <w:rsid w:val="000D0929"/>
    <w:rsid w:val="000D0E89"/>
    <w:rsid w:val="000D2978"/>
    <w:rsid w:val="000E2689"/>
    <w:rsid w:val="000E5525"/>
    <w:rsid w:val="000F2D84"/>
    <w:rsid w:val="000F5E42"/>
    <w:rsid w:val="00103F16"/>
    <w:rsid w:val="00104331"/>
    <w:rsid w:val="0010579A"/>
    <w:rsid w:val="00110408"/>
    <w:rsid w:val="00137415"/>
    <w:rsid w:val="00142613"/>
    <w:rsid w:val="00144DA7"/>
    <w:rsid w:val="001539D6"/>
    <w:rsid w:val="00161D3F"/>
    <w:rsid w:val="00167ED6"/>
    <w:rsid w:val="001915D4"/>
    <w:rsid w:val="0019370B"/>
    <w:rsid w:val="001A1FED"/>
    <w:rsid w:val="001A40E2"/>
    <w:rsid w:val="001A4DE9"/>
    <w:rsid w:val="001B2603"/>
    <w:rsid w:val="001B3F7F"/>
    <w:rsid w:val="001C4805"/>
    <w:rsid w:val="001E12E9"/>
    <w:rsid w:val="001F2742"/>
    <w:rsid w:val="001F285E"/>
    <w:rsid w:val="001F2B4D"/>
    <w:rsid w:val="001F2DB1"/>
    <w:rsid w:val="001F6734"/>
    <w:rsid w:val="00202FE7"/>
    <w:rsid w:val="00203B4F"/>
    <w:rsid w:val="00204753"/>
    <w:rsid w:val="00214036"/>
    <w:rsid w:val="002178AC"/>
    <w:rsid w:val="00223388"/>
    <w:rsid w:val="0022442F"/>
    <w:rsid w:val="00224B69"/>
    <w:rsid w:val="0022547C"/>
    <w:rsid w:val="002319C3"/>
    <w:rsid w:val="00233BFE"/>
    <w:rsid w:val="0024319E"/>
    <w:rsid w:val="00246A68"/>
    <w:rsid w:val="0025410A"/>
    <w:rsid w:val="002566B4"/>
    <w:rsid w:val="0028012F"/>
    <w:rsid w:val="00280B49"/>
    <w:rsid w:val="00286643"/>
    <w:rsid w:val="00287876"/>
    <w:rsid w:val="0029248B"/>
    <w:rsid w:val="00292C53"/>
    <w:rsid w:val="00293147"/>
    <w:rsid w:val="00294E22"/>
    <w:rsid w:val="002A0EF2"/>
    <w:rsid w:val="002A1C3E"/>
    <w:rsid w:val="002A6F7F"/>
    <w:rsid w:val="002B3AF0"/>
    <w:rsid w:val="002B48EE"/>
    <w:rsid w:val="002C194B"/>
    <w:rsid w:val="002C36ED"/>
    <w:rsid w:val="002C59BA"/>
    <w:rsid w:val="002F08DF"/>
    <w:rsid w:val="002F3535"/>
    <w:rsid w:val="00301AA9"/>
    <w:rsid w:val="00304D4E"/>
    <w:rsid w:val="00306E70"/>
    <w:rsid w:val="003117F6"/>
    <w:rsid w:val="0031186C"/>
    <w:rsid w:val="00333C7C"/>
    <w:rsid w:val="003512FB"/>
    <w:rsid w:val="0035192E"/>
    <w:rsid w:val="003533B8"/>
    <w:rsid w:val="00355352"/>
    <w:rsid w:val="003557E9"/>
    <w:rsid w:val="00363F1B"/>
    <w:rsid w:val="003752BE"/>
    <w:rsid w:val="0037542A"/>
    <w:rsid w:val="00377662"/>
    <w:rsid w:val="00380873"/>
    <w:rsid w:val="003A346A"/>
    <w:rsid w:val="003B13BC"/>
    <w:rsid w:val="003B2917"/>
    <w:rsid w:val="003B541B"/>
    <w:rsid w:val="003C7537"/>
    <w:rsid w:val="003E148F"/>
    <w:rsid w:val="003E195A"/>
    <w:rsid w:val="003E2B2F"/>
    <w:rsid w:val="003E6046"/>
    <w:rsid w:val="003F16F9"/>
    <w:rsid w:val="003F6D16"/>
    <w:rsid w:val="004014B4"/>
    <w:rsid w:val="0040713C"/>
    <w:rsid w:val="00430C1F"/>
    <w:rsid w:val="00437318"/>
    <w:rsid w:val="00440DA0"/>
    <w:rsid w:val="00442595"/>
    <w:rsid w:val="0045323E"/>
    <w:rsid w:val="00453292"/>
    <w:rsid w:val="0047091F"/>
    <w:rsid w:val="00471EC1"/>
    <w:rsid w:val="004728C5"/>
    <w:rsid w:val="00473E00"/>
    <w:rsid w:val="00475A11"/>
    <w:rsid w:val="004B0EE1"/>
    <w:rsid w:val="004D0D83"/>
    <w:rsid w:val="004E1DF1"/>
    <w:rsid w:val="004E2255"/>
    <w:rsid w:val="004E5592"/>
    <w:rsid w:val="004F3A89"/>
    <w:rsid w:val="0050055B"/>
    <w:rsid w:val="00500A60"/>
    <w:rsid w:val="00514B5F"/>
    <w:rsid w:val="00515308"/>
    <w:rsid w:val="00522C51"/>
    <w:rsid w:val="00524710"/>
    <w:rsid w:val="005519D4"/>
    <w:rsid w:val="00554885"/>
    <w:rsid w:val="00555342"/>
    <w:rsid w:val="005560E2"/>
    <w:rsid w:val="005645C3"/>
    <w:rsid w:val="00566C94"/>
    <w:rsid w:val="00575039"/>
    <w:rsid w:val="005767D5"/>
    <w:rsid w:val="00577441"/>
    <w:rsid w:val="005801BC"/>
    <w:rsid w:val="00585F31"/>
    <w:rsid w:val="005A452E"/>
    <w:rsid w:val="005B4275"/>
    <w:rsid w:val="005E383D"/>
    <w:rsid w:val="005F115D"/>
    <w:rsid w:val="005F4239"/>
    <w:rsid w:val="00603881"/>
    <w:rsid w:val="00620AFF"/>
    <w:rsid w:val="006355D8"/>
    <w:rsid w:val="0063732A"/>
    <w:rsid w:val="00642ECD"/>
    <w:rsid w:val="0065024C"/>
    <w:rsid w:val="006502A0"/>
    <w:rsid w:val="00667AE1"/>
    <w:rsid w:val="006772F5"/>
    <w:rsid w:val="006961FA"/>
    <w:rsid w:val="00696615"/>
    <w:rsid w:val="006A01DE"/>
    <w:rsid w:val="006B0615"/>
    <w:rsid w:val="006B40A4"/>
    <w:rsid w:val="006C2DD9"/>
    <w:rsid w:val="006D166B"/>
    <w:rsid w:val="006D7F39"/>
    <w:rsid w:val="006E616D"/>
    <w:rsid w:val="006E73AB"/>
    <w:rsid w:val="006E771C"/>
    <w:rsid w:val="006F01D8"/>
    <w:rsid w:val="006F3279"/>
    <w:rsid w:val="006F5C2F"/>
    <w:rsid w:val="00704AEE"/>
    <w:rsid w:val="007100E4"/>
    <w:rsid w:val="00710F36"/>
    <w:rsid w:val="007152D5"/>
    <w:rsid w:val="0071563C"/>
    <w:rsid w:val="00722F9A"/>
    <w:rsid w:val="007360F1"/>
    <w:rsid w:val="0073697E"/>
    <w:rsid w:val="00747356"/>
    <w:rsid w:val="00754539"/>
    <w:rsid w:val="00757297"/>
    <w:rsid w:val="00760E08"/>
    <w:rsid w:val="00761C66"/>
    <w:rsid w:val="00761D32"/>
    <w:rsid w:val="00764C90"/>
    <w:rsid w:val="00781648"/>
    <w:rsid w:val="0079345A"/>
    <w:rsid w:val="00795CB4"/>
    <w:rsid w:val="007A19D6"/>
    <w:rsid w:val="007A3C86"/>
    <w:rsid w:val="007A683E"/>
    <w:rsid w:val="007A6DDE"/>
    <w:rsid w:val="007A748B"/>
    <w:rsid w:val="007B3B83"/>
    <w:rsid w:val="007C3B28"/>
    <w:rsid w:val="007C761C"/>
    <w:rsid w:val="007C792E"/>
    <w:rsid w:val="007D1D65"/>
    <w:rsid w:val="007E0A9E"/>
    <w:rsid w:val="007E5309"/>
    <w:rsid w:val="00800DE1"/>
    <w:rsid w:val="00801B49"/>
    <w:rsid w:val="00802843"/>
    <w:rsid w:val="00813F47"/>
    <w:rsid w:val="00821188"/>
    <w:rsid w:val="008212A0"/>
    <w:rsid w:val="0082596A"/>
    <w:rsid w:val="00826A14"/>
    <w:rsid w:val="00832103"/>
    <w:rsid w:val="008450D6"/>
    <w:rsid w:val="00845EA6"/>
    <w:rsid w:val="00847B0F"/>
    <w:rsid w:val="00851BC5"/>
    <w:rsid w:val="008544D9"/>
    <w:rsid w:val="00855532"/>
    <w:rsid w:val="00856FCA"/>
    <w:rsid w:val="008654F3"/>
    <w:rsid w:val="00872EB4"/>
    <w:rsid w:val="00873B8C"/>
    <w:rsid w:val="00893389"/>
    <w:rsid w:val="008A405F"/>
    <w:rsid w:val="008A4BCA"/>
    <w:rsid w:val="008B26B0"/>
    <w:rsid w:val="008B3680"/>
    <w:rsid w:val="008C4125"/>
    <w:rsid w:val="008C50DE"/>
    <w:rsid w:val="008C7F34"/>
    <w:rsid w:val="008E032D"/>
    <w:rsid w:val="008E13E0"/>
    <w:rsid w:val="008E580C"/>
    <w:rsid w:val="008E670B"/>
    <w:rsid w:val="008F09EA"/>
    <w:rsid w:val="008F0EF2"/>
    <w:rsid w:val="008F1827"/>
    <w:rsid w:val="008F3CC4"/>
    <w:rsid w:val="0090047A"/>
    <w:rsid w:val="00913AD8"/>
    <w:rsid w:val="00915DC9"/>
    <w:rsid w:val="00917940"/>
    <w:rsid w:val="00924B5F"/>
    <w:rsid w:val="00925026"/>
    <w:rsid w:val="00931264"/>
    <w:rsid w:val="00934797"/>
    <w:rsid w:val="00940D7D"/>
    <w:rsid w:val="00942A4B"/>
    <w:rsid w:val="00957F6F"/>
    <w:rsid w:val="009616BE"/>
    <w:rsid w:val="00961D59"/>
    <w:rsid w:val="009916FC"/>
    <w:rsid w:val="009B2D55"/>
    <w:rsid w:val="009C0343"/>
    <w:rsid w:val="009D762B"/>
    <w:rsid w:val="009E0D11"/>
    <w:rsid w:val="009E1E49"/>
    <w:rsid w:val="009E267F"/>
    <w:rsid w:val="009F2B60"/>
    <w:rsid w:val="00A060C6"/>
    <w:rsid w:val="00A24A16"/>
    <w:rsid w:val="00A270C9"/>
    <w:rsid w:val="00A31C90"/>
    <w:rsid w:val="00A37D14"/>
    <w:rsid w:val="00A6168B"/>
    <w:rsid w:val="00A619EE"/>
    <w:rsid w:val="00A62028"/>
    <w:rsid w:val="00A8346B"/>
    <w:rsid w:val="00A83904"/>
    <w:rsid w:val="00A86914"/>
    <w:rsid w:val="00A941E7"/>
    <w:rsid w:val="00AA08C7"/>
    <w:rsid w:val="00AA6236"/>
    <w:rsid w:val="00AA66F3"/>
    <w:rsid w:val="00AB6AE7"/>
    <w:rsid w:val="00AD21F5"/>
    <w:rsid w:val="00AD5043"/>
    <w:rsid w:val="00AE0B1F"/>
    <w:rsid w:val="00AE3956"/>
    <w:rsid w:val="00AE5153"/>
    <w:rsid w:val="00AE5FB7"/>
    <w:rsid w:val="00AE643E"/>
    <w:rsid w:val="00AF0E74"/>
    <w:rsid w:val="00AF20E6"/>
    <w:rsid w:val="00AF7DB9"/>
    <w:rsid w:val="00B00310"/>
    <w:rsid w:val="00B0123A"/>
    <w:rsid w:val="00B06225"/>
    <w:rsid w:val="00B16A67"/>
    <w:rsid w:val="00B20DFF"/>
    <w:rsid w:val="00B2200B"/>
    <w:rsid w:val="00B23C7A"/>
    <w:rsid w:val="00B346B5"/>
    <w:rsid w:val="00B347D5"/>
    <w:rsid w:val="00B37C53"/>
    <w:rsid w:val="00B42E62"/>
    <w:rsid w:val="00B4650C"/>
    <w:rsid w:val="00B46FF9"/>
    <w:rsid w:val="00B6703E"/>
    <w:rsid w:val="00B75483"/>
    <w:rsid w:val="00B81360"/>
    <w:rsid w:val="00B93AD4"/>
    <w:rsid w:val="00B95C3B"/>
    <w:rsid w:val="00BA100F"/>
    <w:rsid w:val="00BA5A78"/>
    <w:rsid w:val="00BA7952"/>
    <w:rsid w:val="00BB3EA6"/>
    <w:rsid w:val="00BD3160"/>
    <w:rsid w:val="00BE27BE"/>
    <w:rsid w:val="00BF0BBF"/>
    <w:rsid w:val="00BF36D2"/>
    <w:rsid w:val="00BF6C8A"/>
    <w:rsid w:val="00C05571"/>
    <w:rsid w:val="00C06212"/>
    <w:rsid w:val="00C06521"/>
    <w:rsid w:val="00C15989"/>
    <w:rsid w:val="00C17740"/>
    <w:rsid w:val="00C21E00"/>
    <w:rsid w:val="00C246CE"/>
    <w:rsid w:val="00C352BD"/>
    <w:rsid w:val="00C54451"/>
    <w:rsid w:val="00C547AC"/>
    <w:rsid w:val="00C5553B"/>
    <w:rsid w:val="00C57FA2"/>
    <w:rsid w:val="00C63844"/>
    <w:rsid w:val="00C6795A"/>
    <w:rsid w:val="00C72918"/>
    <w:rsid w:val="00C8611E"/>
    <w:rsid w:val="00C8765D"/>
    <w:rsid w:val="00C9265A"/>
    <w:rsid w:val="00C92730"/>
    <w:rsid w:val="00CA4F58"/>
    <w:rsid w:val="00CC2E4D"/>
    <w:rsid w:val="00CC78A5"/>
    <w:rsid w:val="00CC7B16"/>
    <w:rsid w:val="00CD2673"/>
    <w:rsid w:val="00CE15FE"/>
    <w:rsid w:val="00CE64F2"/>
    <w:rsid w:val="00CE7273"/>
    <w:rsid w:val="00CF3CA5"/>
    <w:rsid w:val="00D02E15"/>
    <w:rsid w:val="00D14F44"/>
    <w:rsid w:val="00D16BFE"/>
    <w:rsid w:val="00D278E8"/>
    <w:rsid w:val="00D359DD"/>
    <w:rsid w:val="00D40D1E"/>
    <w:rsid w:val="00D421C8"/>
    <w:rsid w:val="00D43788"/>
    <w:rsid w:val="00D44604"/>
    <w:rsid w:val="00D479B3"/>
    <w:rsid w:val="00D509D6"/>
    <w:rsid w:val="00D51657"/>
    <w:rsid w:val="00D52283"/>
    <w:rsid w:val="00D524E5"/>
    <w:rsid w:val="00D72FEF"/>
    <w:rsid w:val="00D755FA"/>
    <w:rsid w:val="00D90FD1"/>
    <w:rsid w:val="00DB7449"/>
    <w:rsid w:val="00DB7471"/>
    <w:rsid w:val="00DC4A4E"/>
    <w:rsid w:val="00DC5CF5"/>
    <w:rsid w:val="00DC7EE0"/>
    <w:rsid w:val="00DD1874"/>
    <w:rsid w:val="00DD63BD"/>
    <w:rsid w:val="00DE0C67"/>
    <w:rsid w:val="00E0130A"/>
    <w:rsid w:val="00E172C6"/>
    <w:rsid w:val="00E22B55"/>
    <w:rsid w:val="00E24309"/>
    <w:rsid w:val="00E31116"/>
    <w:rsid w:val="00E37DE9"/>
    <w:rsid w:val="00E44202"/>
    <w:rsid w:val="00E53D82"/>
    <w:rsid w:val="00E54437"/>
    <w:rsid w:val="00E61431"/>
    <w:rsid w:val="00E71E80"/>
    <w:rsid w:val="00E753A9"/>
    <w:rsid w:val="00E75DFB"/>
    <w:rsid w:val="00E82F4B"/>
    <w:rsid w:val="00E85A74"/>
    <w:rsid w:val="00EA3ADE"/>
    <w:rsid w:val="00EB2B42"/>
    <w:rsid w:val="00EC4097"/>
    <w:rsid w:val="00EE0EA4"/>
    <w:rsid w:val="00EE6B97"/>
    <w:rsid w:val="00F1061E"/>
    <w:rsid w:val="00F12C3B"/>
    <w:rsid w:val="00F15341"/>
    <w:rsid w:val="00F22050"/>
    <w:rsid w:val="00F23C65"/>
    <w:rsid w:val="00F26884"/>
    <w:rsid w:val="00F3372B"/>
    <w:rsid w:val="00F34FD0"/>
    <w:rsid w:val="00F40370"/>
    <w:rsid w:val="00F604E7"/>
    <w:rsid w:val="00F66FF6"/>
    <w:rsid w:val="00F7404F"/>
    <w:rsid w:val="00F74200"/>
    <w:rsid w:val="00F74824"/>
    <w:rsid w:val="00F75F0D"/>
    <w:rsid w:val="00F812C2"/>
    <w:rsid w:val="00F82443"/>
    <w:rsid w:val="00F83555"/>
    <w:rsid w:val="00F8355F"/>
    <w:rsid w:val="00F876E5"/>
    <w:rsid w:val="00F90D64"/>
    <w:rsid w:val="00F925CB"/>
    <w:rsid w:val="00F95F3E"/>
    <w:rsid w:val="00FA14FE"/>
    <w:rsid w:val="00FA3196"/>
    <w:rsid w:val="00FB1FF6"/>
    <w:rsid w:val="00FB6C03"/>
    <w:rsid w:val="00FC3779"/>
    <w:rsid w:val="00FE427C"/>
    <w:rsid w:val="00FF19EF"/>
    <w:rsid w:val="00FF2C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4C59DF"/>
  <w15:docId w15:val="{A9B83262-2689-469F-963E-73836CDE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8933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93389"/>
    <w:rPr>
      <w:rFonts w:ascii="Calibri" w:hAnsi="Calibri" w:cs="Calibri"/>
      <w:noProof/>
      <w:lang w:val="en-US"/>
    </w:rPr>
  </w:style>
  <w:style w:type="paragraph" w:customStyle="1" w:styleId="EndNoteBibliography">
    <w:name w:val="EndNote Bibliography"/>
    <w:basedOn w:val="Normal"/>
    <w:link w:val="EndNoteBibliographyChar"/>
    <w:rsid w:val="00893389"/>
    <w:rPr>
      <w:rFonts w:ascii="Calibri" w:hAnsi="Calibri" w:cs="Calibri"/>
      <w:noProof/>
      <w:lang w:val="en-US"/>
    </w:rPr>
  </w:style>
  <w:style w:type="character" w:customStyle="1" w:styleId="EndNoteBibliographyChar">
    <w:name w:val="EndNote Bibliography Char"/>
    <w:basedOn w:val="DefaultParagraphFont"/>
    <w:link w:val="EndNoteBibliography"/>
    <w:rsid w:val="00893389"/>
    <w:rPr>
      <w:rFonts w:ascii="Calibri" w:hAnsi="Calibri" w:cs="Calibri"/>
      <w:noProof/>
      <w:lang w:val="en-US"/>
    </w:rPr>
  </w:style>
  <w:style w:type="character" w:styleId="Hyperlink">
    <w:name w:val="Hyperlink"/>
    <w:basedOn w:val="DefaultParagraphFont"/>
    <w:uiPriority w:val="99"/>
    <w:unhideWhenUsed/>
    <w:rsid w:val="008933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upportingphysicsteaching.net/EnHom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hyperlink" Target="https://www.stem.org.uk/best-evidence-science-teaching"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1717</TotalTime>
  <Pages>6</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156</cp:revision>
  <cp:lastPrinted>2018-11-05T16:03:00Z</cp:lastPrinted>
  <dcterms:created xsi:type="dcterms:W3CDTF">2018-11-02T15:18:00Z</dcterms:created>
  <dcterms:modified xsi:type="dcterms:W3CDTF">2019-04-15T14:45:00Z</dcterms:modified>
</cp:coreProperties>
</file>