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C10C4" w:rsidP="00201AC2">
      <w:pPr>
        <w:spacing w:after="180"/>
        <w:rPr>
          <w:b/>
          <w:sz w:val="44"/>
          <w:szCs w:val="44"/>
        </w:rPr>
      </w:pPr>
      <w:r>
        <w:rPr>
          <w:b/>
          <w:sz w:val="44"/>
          <w:szCs w:val="44"/>
        </w:rPr>
        <w:t>Parachutes</w:t>
      </w:r>
    </w:p>
    <w:p w:rsidR="00201AC2" w:rsidRDefault="00201AC2" w:rsidP="00017A26">
      <w:pPr>
        <w:spacing w:after="240"/>
      </w:pPr>
    </w:p>
    <w:p w:rsidR="00017A26" w:rsidRPr="00017A26" w:rsidRDefault="00017A26" w:rsidP="00017A26">
      <w:pPr>
        <w:spacing w:after="60"/>
      </w:pPr>
      <w:r w:rsidRPr="00017A26">
        <w:rPr>
          <w:lang w:val="en-US"/>
        </w:rPr>
        <w:t>You can test parachutes by using paper trays.</w:t>
      </w:r>
    </w:p>
    <w:p w:rsidR="00154B06" w:rsidRDefault="00017A26" w:rsidP="00154B06">
      <w:pPr>
        <w:spacing w:after="360"/>
        <w:rPr>
          <w:lang w:val="en-US"/>
        </w:rPr>
      </w:pPr>
      <w:r w:rsidRPr="00017A26">
        <w:rPr>
          <w:lang w:val="en-US"/>
        </w:rPr>
        <w:t>Fold a piece of graph paper with sharp creases and pinch the corners in.</w:t>
      </w:r>
    </w:p>
    <w:p w:rsidR="00B23B31" w:rsidRDefault="00017A26" w:rsidP="00154B06">
      <w:pPr>
        <w:spacing w:after="360"/>
        <w:jc w:val="center"/>
      </w:pPr>
      <w:r>
        <w:rPr>
          <w:noProof/>
          <w:lang w:eastAsia="en-GB"/>
        </w:rPr>
        <w:drawing>
          <wp:inline distT="0" distB="0" distL="0" distR="0" wp14:anchorId="28B3D0D8">
            <wp:extent cx="5445802" cy="1697117"/>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0456" cy="1717266"/>
                    </a:xfrm>
                    <a:prstGeom prst="rect">
                      <a:avLst/>
                    </a:prstGeom>
                    <a:noFill/>
                  </pic:spPr>
                </pic:pic>
              </a:graphicData>
            </a:graphic>
          </wp:inline>
        </w:drawing>
      </w:r>
    </w:p>
    <w:p w:rsidR="00017A26" w:rsidRPr="00017A26" w:rsidRDefault="00017A26" w:rsidP="00017A26">
      <w:pPr>
        <w:spacing w:after="60"/>
      </w:pPr>
      <w:r w:rsidRPr="00017A26">
        <w:rPr>
          <w:lang w:val="en-US"/>
        </w:rPr>
        <w:t xml:space="preserve">Place the tray on your hand and drop it from above your head. </w:t>
      </w:r>
    </w:p>
    <w:p w:rsidR="00017A26" w:rsidRPr="00017A26" w:rsidRDefault="00017A26" w:rsidP="00017A26">
      <w:pPr>
        <w:spacing w:after="180"/>
      </w:pPr>
      <w:r w:rsidRPr="00017A26">
        <w:rPr>
          <w:lang w:val="en-US"/>
        </w:rPr>
        <w:t>It will fall straight, which makes it easy to observe.</w:t>
      </w:r>
    </w:p>
    <w:p w:rsidR="00017A26" w:rsidRDefault="00017A26" w:rsidP="00201AC2">
      <w:pPr>
        <w:spacing w:after="180"/>
      </w:pPr>
    </w:p>
    <w:p w:rsidR="00B26756" w:rsidRPr="00E172C6" w:rsidRDefault="00B26756" w:rsidP="00B26756">
      <w:pPr>
        <w:spacing w:after="180"/>
        <w:rPr>
          <w:b/>
        </w:rPr>
      </w:pPr>
      <w:r>
        <w:rPr>
          <w:b/>
        </w:rPr>
        <w:t>Safety</w:t>
      </w:r>
    </w:p>
    <w:p w:rsidR="00017A26" w:rsidRDefault="00017A26" w:rsidP="00B26756">
      <w:pPr>
        <w:spacing w:after="180"/>
      </w:pPr>
      <w:r>
        <w:t>Stand on the floor at all times; do not climb onto stools or desks</w:t>
      </w:r>
    </w:p>
    <w:p w:rsidR="00B26756" w:rsidRPr="00E172C6" w:rsidRDefault="00B26756" w:rsidP="00B26756">
      <w:pPr>
        <w:spacing w:after="180"/>
        <w:rPr>
          <w:b/>
        </w:rPr>
      </w:pPr>
      <w:r>
        <w:rPr>
          <w:b/>
        </w:rPr>
        <w:t>Apparatus and materials</w:t>
      </w:r>
    </w:p>
    <w:p w:rsidR="00FF3F1E" w:rsidRPr="00017A26" w:rsidRDefault="00144A8A" w:rsidP="00017A26">
      <w:pPr>
        <w:numPr>
          <w:ilvl w:val="0"/>
          <w:numId w:val="4"/>
        </w:numPr>
        <w:spacing w:line="278" w:lineRule="auto"/>
        <w:ind w:left="714" w:hanging="357"/>
      </w:pPr>
      <w:r w:rsidRPr="00017A26">
        <w:t>x2 sheets of graph paper</w:t>
      </w:r>
      <w:r w:rsidRPr="00017A26">
        <w:tab/>
      </w:r>
      <w:r w:rsidRPr="00017A26">
        <w:tab/>
      </w:r>
      <w:r w:rsidRPr="00017A26">
        <w:tab/>
      </w:r>
    </w:p>
    <w:p w:rsidR="00FF3F1E" w:rsidRPr="00017A26" w:rsidRDefault="00144A8A" w:rsidP="00017A26">
      <w:pPr>
        <w:numPr>
          <w:ilvl w:val="0"/>
          <w:numId w:val="4"/>
        </w:numPr>
        <w:spacing w:after="180"/>
      </w:pPr>
      <w:r w:rsidRPr="00017A26">
        <w:t xml:space="preserve">Timer </w:t>
      </w:r>
    </w:p>
    <w:p w:rsidR="00B26756" w:rsidRPr="00E172C6" w:rsidRDefault="00B26756" w:rsidP="00B26756">
      <w:pPr>
        <w:spacing w:after="180"/>
        <w:rPr>
          <w:b/>
        </w:rPr>
      </w:pPr>
      <w:r>
        <w:rPr>
          <w:b/>
        </w:rPr>
        <w:t>Procedure</w:t>
      </w:r>
    </w:p>
    <w:p w:rsidR="00FF3F1E" w:rsidRPr="00017A26" w:rsidRDefault="00144A8A" w:rsidP="00017A26">
      <w:pPr>
        <w:numPr>
          <w:ilvl w:val="0"/>
          <w:numId w:val="5"/>
        </w:numPr>
        <w:tabs>
          <w:tab w:val="clear" w:pos="720"/>
          <w:tab w:val="num" w:pos="426"/>
        </w:tabs>
        <w:spacing w:line="278" w:lineRule="auto"/>
        <w:ind w:left="425" w:hanging="425"/>
      </w:pPr>
      <w:r w:rsidRPr="00017A26">
        <w:t>Make a tray out of a sheet of graph paper.</w:t>
      </w:r>
    </w:p>
    <w:p w:rsidR="00FF3F1E" w:rsidRPr="00017A26" w:rsidRDefault="00144A8A" w:rsidP="00017A26">
      <w:pPr>
        <w:numPr>
          <w:ilvl w:val="0"/>
          <w:numId w:val="5"/>
        </w:numPr>
        <w:tabs>
          <w:tab w:val="clear" w:pos="720"/>
          <w:tab w:val="num" w:pos="426"/>
        </w:tabs>
        <w:spacing w:line="278" w:lineRule="auto"/>
        <w:ind w:left="425" w:hanging="425"/>
      </w:pPr>
      <w:r w:rsidRPr="00017A26">
        <w:t>Place it on your hand and hold it up in the air.</w:t>
      </w:r>
    </w:p>
    <w:p w:rsidR="00FF3F1E" w:rsidRPr="00017A26" w:rsidRDefault="00144A8A" w:rsidP="00017A26">
      <w:pPr>
        <w:numPr>
          <w:ilvl w:val="0"/>
          <w:numId w:val="5"/>
        </w:numPr>
        <w:tabs>
          <w:tab w:val="clear" w:pos="720"/>
          <w:tab w:val="num" w:pos="426"/>
        </w:tabs>
        <w:spacing w:line="278" w:lineRule="auto"/>
        <w:ind w:left="425" w:hanging="425"/>
      </w:pPr>
      <w:r w:rsidRPr="00017A26">
        <w:t>Move your hand away quickly so the tray falls.</w:t>
      </w:r>
    </w:p>
    <w:p w:rsidR="00FF3F1E" w:rsidRPr="0034148A" w:rsidRDefault="00144A8A" w:rsidP="00017A26">
      <w:pPr>
        <w:numPr>
          <w:ilvl w:val="0"/>
          <w:numId w:val="5"/>
        </w:numPr>
        <w:tabs>
          <w:tab w:val="clear" w:pos="720"/>
          <w:tab w:val="num" w:pos="426"/>
        </w:tabs>
        <w:spacing w:line="278" w:lineRule="auto"/>
        <w:ind w:left="425" w:hanging="425"/>
        <w:rPr>
          <w:sz w:val="28"/>
          <w:szCs w:val="28"/>
        </w:rPr>
      </w:pPr>
      <w:r w:rsidRPr="0034148A">
        <w:rPr>
          <w:sz w:val="28"/>
          <w:szCs w:val="28"/>
        </w:rPr>
        <w:t>Time how long it takes the tray to fall to the ground.</w:t>
      </w:r>
    </w:p>
    <w:p w:rsidR="00017A26" w:rsidRDefault="00017A26" w:rsidP="00017A26">
      <w:pPr>
        <w:spacing w:line="278" w:lineRule="auto"/>
      </w:pPr>
    </w:p>
    <w:p w:rsidR="00154B06" w:rsidRPr="00017A26" w:rsidRDefault="00154B06" w:rsidP="00017A26">
      <w:pPr>
        <w:spacing w:line="278" w:lineRule="auto"/>
      </w:pPr>
      <w:r w:rsidRPr="00017A26">
        <w:rPr>
          <w:noProof/>
          <w:lang w:eastAsia="en-GB"/>
        </w:rPr>
        <w:drawing>
          <wp:anchor distT="0" distB="0" distL="114300" distR="114300" simplePos="0" relativeHeight="251658240" behindDoc="0" locked="0" layoutInCell="1" allowOverlap="1">
            <wp:simplePos x="0" y="0"/>
            <wp:positionH relativeFrom="column">
              <wp:posOffset>4216742</wp:posOffset>
            </wp:positionH>
            <wp:positionV relativeFrom="paragraph">
              <wp:posOffset>64760</wp:posOffset>
            </wp:positionV>
            <wp:extent cx="1162050" cy="552038"/>
            <wp:effectExtent l="19050" t="38100" r="19050" b="38735"/>
            <wp:wrapNone/>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21420173">
                      <a:off x="0" y="0"/>
                      <a:ext cx="1162050" cy="552038"/>
                    </a:xfrm>
                    <a:prstGeom prst="rect">
                      <a:avLst/>
                    </a:prstGeom>
                  </pic:spPr>
                </pic:pic>
              </a:graphicData>
            </a:graphic>
            <wp14:sizeRelH relativeFrom="margin">
              <wp14:pctWidth>0</wp14:pctWidth>
            </wp14:sizeRelH>
            <wp14:sizeRelV relativeFrom="margin">
              <wp14:pctHeight>0</wp14:pctHeight>
            </wp14:sizeRelV>
          </wp:anchor>
        </w:drawing>
      </w:r>
    </w:p>
    <w:p w:rsidR="00FF3F1E" w:rsidRPr="00017A26" w:rsidRDefault="00144A8A" w:rsidP="00017A26">
      <w:pPr>
        <w:numPr>
          <w:ilvl w:val="0"/>
          <w:numId w:val="5"/>
        </w:numPr>
        <w:tabs>
          <w:tab w:val="clear" w:pos="720"/>
          <w:tab w:val="num" w:pos="426"/>
        </w:tabs>
        <w:spacing w:line="278" w:lineRule="auto"/>
        <w:ind w:left="425" w:hanging="425"/>
      </w:pPr>
      <w:r w:rsidRPr="00017A26">
        <w:t>Fold another piece of graph paper in half.</w:t>
      </w:r>
    </w:p>
    <w:p w:rsidR="00FF3F1E" w:rsidRPr="00017A26" w:rsidRDefault="00144A8A" w:rsidP="00017A26">
      <w:pPr>
        <w:numPr>
          <w:ilvl w:val="0"/>
          <w:numId w:val="5"/>
        </w:numPr>
        <w:tabs>
          <w:tab w:val="clear" w:pos="720"/>
          <w:tab w:val="num" w:pos="426"/>
        </w:tabs>
        <w:spacing w:after="180"/>
        <w:ind w:left="426" w:hanging="426"/>
      </w:pPr>
      <w:r w:rsidRPr="00017A26">
        <w:t xml:space="preserve">Fold this into a </w:t>
      </w:r>
      <w:r w:rsidR="00154B06">
        <w:t>second tray with half the area of the first one</w:t>
      </w:r>
      <w:r w:rsidRPr="00017A26">
        <w:t>.</w:t>
      </w:r>
    </w:p>
    <w:p w:rsidR="00017A26" w:rsidRPr="00154B06" w:rsidRDefault="00017A26" w:rsidP="00154B06">
      <w:pPr>
        <w:spacing w:line="288" w:lineRule="auto"/>
        <w:ind w:left="6237"/>
        <w:jc w:val="center"/>
        <w:rPr>
          <w:i/>
          <w:szCs w:val="18"/>
        </w:rPr>
      </w:pPr>
      <w:r w:rsidRPr="00154B06">
        <w:rPr>
          <w:bCs/>
          <w:i/>
          <w:szCs w:val="18"/>
        </w:rPr>
        <w:t>Both trays weigh the same</w:t>
      </w:r>
    </w:p>
    <w:p w:rsidR="00201AC2" w:rsidRPr="00201AC2" w:rsidRDefault="00201AC2" w:rsidP="006F3279">
      <w:pPr>
        <w:spacing w:after="240"/>
        <w:rPr>
          <w:szCs w:val="18"/>
        </w:rPr>
      </w:pPr>
    </w:p>
    <w:p w:rsidR="00F6675D" w:rsidRDefault="00F6675D" w:rsidP="006F3279">
      <w:pPr>
        <w:spacing w:after="240"/>
        <w:rPr>
          <w:szCs w:val="18"/>
        </w:rPr>
      </w:pPr>
    </w:p>
    <w:p w:rsidR="00F6675D" w:rsidRDefault="00F6675D">
      <w:pPr>
        <w:spacing w:after="200" w:line="276" w:lineRule="auto"/>
        <w:rPr>
          <w:szCs w:val="18"/>
        </w:rPr>
      </w:pPr>
      <w:r>
        <w:rPr>
          <w:szCs w:val="18"/>
        </w:rPr>
        <w:br w:type="page"/>
      </w:r>
    </w:p>
    <w:p w:rsidR="00F6675D" w:rsidRPr="001A40E2" w:rsidRDefault="00154B06" w:rsidP="00F6675D">
      <w:pPr>
        <w:spacing w:after="180"/>
        <w:rPr>
          <w:b/>
          <w:sz w:val="44"/>
          <w:szCs w:val="44"/>
        </w:rPr>
      </w:pPr>
      <w:r w:rsidRPr="00154B06">
        <w:rPr>
          <w:noProof/>
          <w:lang w:eastAsia="en-GB"/>
        </w:rPr>
        <w:lastRenderedPageBreak/>
        <w:drawing>
          <wp:anchor distT="0" distB="0" distL="114300" distR="114300" simplePos="0" relativeHeight="251659264" behindDoc="0" locked="0" layoutInCell="1" allowOverlap="1">
            <wp:simplePos x="0" y="0"/>
            <wp:positionH relativeFrom="column">
              <wp:posOffset>3275464</wp:posOffset>
            </wp:positionH>
            <wp:positionV relativeFrom="paragraph">
              <wp:posOffset>409433</wp:posOffset>
            </wp:positionV>
            <wp:extent cx="1703240" cy="1078173"/>
            <wp:effectExtent l="0" t="0" r="0" b="825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7231" cy="1080699"/>
                    </a:xfrm>
                    <a:prstGeom prst="rect">
                      <a:avLst/>
                    </a:prstGeom>
                    <a:noFill/>
                  </pic:spPr>
                </pic:pic>
              </a:graphicData>
            </a:graphic>
            <wp14:sizeRelH relativeFrom="margin">
              <wp14:pctWidth>0</wp14:pctWidth>
            </wp14:sizeRelH>
            <wp14:sizeRelV relativeFrom="margin">
              <wp14:pctHeight>0</wp14:pctHeight>
            </wp14:sizeRelV>
          </wp:anchor>
        </w:drawing>
      </w:r>
      <w:r w:rsidR="00DC10C4">
        <w:rPr>
          <w:b/>
          <w:sz w:val="44"/>
          <w:szCs w:val="44"/>
        </w:rPr>
        <w:t>Parachutes</w:t>
      </w:r>
    </w:p>
    <w:p w:rsidR="00F6675D" w:rsidRDefault="00F6675D" w:rsidP="00F6675D">
      <w:pPr>
        <w:spacing w:after="180"/>
        <w:rPr>
          <w:highlight w:val="yellow"/>
        </w:rPr>
      </w:pPr>
    </w:p>
    <w:p w:rsidR="00F6675D" w:rsidRDefault="00154B06" w:rsidP="00154B06">
      <w:pPr>
        <w:spacing w:line="288" w:lineRule="auto"/>
      </w:pPr>
      <w:r>
        <w:t>Make a tray out of a piece of graph paper.</w:t>
      </w:r>
    </w:p>
    <w:p w:rsidR="00154B06" w:rsidRPr="007B2C4B" w:rsidRDefault="00154B06" w:rsidP="00F6675D">
      <w:pPr>
        <w:spacing w:after="180"/>
        <w:rPr>
          <w:b/>
        </w:rPr>
      </w:pPr>
      <w:r w:rsidRPr="007B2C4B">
        <w:rPr>
          <w:b/>
        </w:rPr>
        <w:t>Time how long it takes to fall from a known height.</w:t>
      </w:r>
    </w:p>
    <w:p w:rsidR="00154B06" w:rsidRDefault="00154B06" w:rsidP="00154B06">
      <w:pPr>
        <w:spacing w:line="288" w:lineRule="auto"/>
      </w:pPr>
      <w:r>
        <w:t>Fold a piece of graph paper in half.</w:t>
      </w:r>
    </w:p>
    <w:p w:rsidR="00154B06" w:rsidRPr="008243E9" w:rsidRDefault="00154B06" w:rsidP="00F6675D">
      <w:pPr>
        <w:spacing w:after="180"/>
      </w:pPr>
      <w:r>
        <w:t>Make this into a tray with half the area of the one.</w:t>
      </w:r>
    </w:p>
    <w:p w:rsidR="00F6675D" w:rsidRDefault="00F6675D" w:rsidP="00F6675D">
      <w:pPr>
        <w:spacing w:after="180"/>
        <w:jc w:val="center"/>
      </w:pPr>
    </w:p>
    <w:p w:rsidR="00F6675D" w:rsidRPr="00E172C6" w:rsidRDefault="00F6675D" w:rsidP="00F6675D">
      <w:pPr>
        <w:spacing w:after="120"/>
        <w:rPr>
          <w:b/>
        </w:rPr>
      </w:pPr>
      <w:r>
        <w:rPr>
          <w:b/>
        </w:rPr>
        <w:t>Predict</w:t>
      </w:r>
    </w:p>
    <w:p w:rsidR="003558E0" w:rsidRPr="003558E0" w:rsidRDefault="003558E0" w:rsidP="003558E0">
      <w:pPr>
        <w:tabs>
          <w:tab w:val="right" w:leader="dot" w:pos="7655"/>
        </w:tabs>
        <w:spacing w:after="120"/>
      </w:pPr>
      <w:r w:rsidRPr="003558E0">
        <w:t>How long do you think the small tray will take to fall</w:t>
      </w:r>
      <w:r>
        <w:t xml:space="preserve"> from the same place</w:t>
      </w:r>
      <w:r w:rsidR="00B849F7">
        <w:t xml:space="preserve"> as the big tray</w:t>
      </w:r>
      <w:r w:rsidRPr="003558E0">
        <w:t>?</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3558E0" w:rsidRPr="003558E0" w:rsidRDefault="003558E0" w:rsidP="003558E0">
      <w:pPr>
        <w:tabs>
          <w:tab w:val="right" w:leader="dot" w:pos="7655"/>
        </w:tabs>
        <w:spacing w:after="120"/>
        <w:rPr>
          <w:lang w:eastAsia="en-GB"/>
        </w:rPr>
      </w:pPr>
      <w:r w:rsidRPr="003558E0">
        <w:rPr>
          <w:lang w:eastAsia="en-GB"/>
        </w:rPr>
        <w:t>Why do you think this will happen?</w:t>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F6675D" w:rsidRDefault="00F6675D" w:rsidP="00F6675D">
      <w:pPr>
        <w:tabs>
          <w:tab w:val="right" w:leader="dot" w:pos="7655"/>
        </w:tabs>
        <w:spacing w:after="120"/>
      </w:pPr>
      <w:r>
        <w:tab/>
      </w:r>
    </w:p>
    <w:p w:rsidR="00F6675D" w:rsidRPr="008E662A" w:rsidRDefault="00F6675D" w:rsidP="00F6675D">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F6675D" w:rsidRPr="00563C6F" w:rsidTr="009B7933">
        <w:trPr>
          <w:trHeight w:val="323"/>
        </w:trPr>
        <w:tc>
          <w:tcPr>
            <w:tcW w:w="6345" w:type="dxa"/>
            <w:vAlign w:val="center"/>
          </w:tcPr>
          <w:p w:rsidR="00F6675D" w:rsidRPr="00563C6F" w:rsidRDefault="003558E0" w:rsidP="003558E0">
            <w:pPr>
              <w:tabs>
                <w:tab w:val="right" w:leader="dot" w:pos="7655"/>
              </w:tabs>
              <w:jc w:val="center"/>
              <w:rPr>
                <w:b/>
              </w:rPr>
            </w:pPr>
            <w:r>
              <w:rPr>
                <w:b/>
              </w:rPr>
              <w:t>Measure the time for the small tray to fall</w:t>
            </w:r>
          </w:p>
        </w:tc>
      </w:tr>
    </w:tbl>
    <w:p w:rsidR="00F6675D" w:rsidRDefault="00F6675D" w:rsidP="00F6675D">
      <w:pPr>
        <w:spacing w:after="120"/>
        <w:rPr>
          <w:b/>
          <w:sz w:val="4"/>
          <w:szCs w:val="4"/>
        </w:rPr>
      </w:pPr>
    </w:p>
    <w:p w:rsidR="00F6675D" w:rsidRPr="00F45BBF" w:rsidRDefault="00F6675D" w:rsidP="00F6675D">
      <w:pPr>
        <w:spacing w:after="120"/>
        <w:rPr>
          <w:b/>
          <w:sz w:val="4"/>
          <w:szCs w:val="4"/>
        </w:rPr>
      </w:pPr>
    </w:p>
    <w:p w:rsidR="00F6675D" w:rsidRPr="00E172C6" w:rsidRDefault="00F6675D" w:rsidP="00F6675D">
      <w:pPr>
        <w:spacing w:after="120"/>
        <w:rPr>
          <w:b/>
        </w:rPr>
      </w:pPr>
      <w:r>
        <w:rPr>
          <w:b/>
        </w:rPr>
        <w:t>Observe</w:t>
      </w:r>
    </w:p>
    <w:p w:rsidR="003558E0" w:rsidRPr="003558E0" w:rsidRDefault="003558E0" w:rsidP="003558E0">
      <w:pPr>
        <w:tabs>
          <w:tab w:val="right" w:leader="dot" w:pos="7655"/>
        </w:tabs>
        <w:spacing w:after="120"/>
        <w:rPr>
          <w:rFonts w:ascii="Calibri" w:eastAsia="Times New Roman" w:hAnsi="Calibri" w:cs="Times New Roman"/>
          <w:lang w:eastAsia="en-GB" w:bidi="en-US"/>
        </w:rPr>
      </w:pPr>
      <w:r>
        <w:rPr>
          <w:rFonts w:ascii="Calibri" w:eastAsia="Times New Roman" w:hAnsi="Calibri" w:cs="Times New Roman"/>
          <w:lang w:eastAsia="en-GB" w:bidi="en-US"/>
        </w:rPr>
        <w:t>Record</w:t>
      </w:r>
      <w:r w:rsidRPr="003558E0">
        <w:rPr>
          <w:rFonts w:ascii="Calibri" w:eastAsia="Times New Roman" w:hAnsi="Calibri" w:cs="Times New Roman"/>
          <w:lang w:eastAsia="en-GB" w:bidi="en-US"/>
        </w:rPr>
        <w:t xml:space="preserve"> the time the small tray takes to fall.</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E172C6" w:rsidRDefault="00F6675D" w:rsidP="00F6675D">
      <w:pPr>
        <w:spacing w:after="120"/>
        <w:rPr>
          <w:b/>
        </w:rPr>
      </w:pPr>
      <w:r>
        <w:rPr>
          <w:b/>
        </w:rPr>
        <w:t>Explain</w:t>
      </w:r>
    </w:p>
    <w:p w:rsidR="003558E0" w:rsidRPr="003558E0" w:rsidRDefault="003558E0" w:rsidP="003558E0">
      <w:pPr>
        <w:tabs>
          <w:tab w:val="right" w:leader="dot" w:pos="7655"/>
        </w:tabs>
        <w:spacing w:after="120"/>
      </w:pPr>
      <w:r w:rsidRPr="003558E0">
        <w:t>Were your prediction and explanation correct?</w:t>
      </w:r>
    </w:p>
    <w:p w:rsidR="003558E0" w:rsidRPr="003558E0" w:rsidRDefault="003558E0" w:rsidP="003558E0">
      <w:pPr>
        <w:tabs>
          <w:tab w:val="right" w:leader="dot" w:pos="7655"/>
        </w:tabs>
        <w:spacing w:after="120"/>
      </w:pPr>
      <w:r w:rsidRPr="003558E0">
        <w:rPr>
          <w:lang w:val="en-US"/>
        </w:rPr>
        <w:t>Try to improve your first explanation to explain what happens more clearly.</w:t>
      </w:r>
    </w:p>
    <w:p w:rsidR="00F6675D" w:rsidRDefault="00F6675D" w:rsidP="00F6675D">
      <w:pPr>
        <w:tabs>
          <w:tab w:val="right" w:leader="dot" w:pos="7655"/>
        </w:tabs>
        <w:spacing w:after="120"/>
      </w:pPr>
      <w:r>
        <w:tab/>
      </w:r>
    </w:p>
    <w:p w:rsidR="00F6675D" w:rsidRDefault="00F6675D" w:rsidP="00F6675D">
      <w:pPr>
        <w:tabs>
          <w:tab w:val="right" w:leader="dot" w:pos="7655"/>
        </w:tabs>
        <w:spacing w:after="120"/>
      </w:pPr>
      <w:r>
        <w:tab/>
      </w:r>
    </w:p>
    <w:p w:rsidR="00F6675D" w:rsidRPr="00201AC2" w:rsidRDefault="00F6675D" w:rsidP="00F6675D">
      <w:pPr>
        <w:tabs>
          <w:tab w:val="right" w:leader="dot" w:pos="7655"/>
        </w:tabs>
        <w:spacing w:after="120"/>
        <w:rPr>
          <w:szCs w:val="18"/>
        </w:rPr>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B84161" w:rsidRPr="006F3279" w:rsidRDefault="00B84161" w:rsidP="00B84161">
      <w:pPr>
        <w:spacing w:after="240"/>
        <w:rPr>
          <w:i/>
          <w:sz w:val="18"/>
          <w:szCs w:val="18"/>
        </w:rPr>
      </w:pPr>
      <w:r>
        <w:rPr>
          <w:i/>
          <w:sz w:val="18"/>
          <w:szCs w:val="18"/>
        </w:rPr>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DC10C4" w:rsidP="00BC3206">
            <w:pPr>
              <w:spacing w:after="60"/>
              <w:ind w:left="1304"/>
              <w:rPr>
                <w:b/>
                <w:sz w:val="40"/>
                <w:szCs w:val="40"/>
              </w:rPr>
            </w:pPr>
            <w:r>
              <w:rPr>
                <w:b/>
                <w:sz w:val="40"/>
                <w:szCs w:val="40"/>
              </w:rPr>
              <w:t>Parachutes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84161" w:rsidTr="003F16F9">
        <w:trPr>
          <w:trHeight w:val="340"/>
        </w:trPr>
        <w:tc>
          <w:tcPr>
            <w:tcW w:w="2196" w:type="dxa"/>
          </w:tcPr>
          <w:p w:rsidR="00B84161" w:rsidRDefault="00B84161" w:rsidP="00B84161">
            <w:pPr>
              <w:spacing w:before="60" w:after="60"/>
            </w:pPr>
            <w:r>
              <w:t>Learning focus:</w:t>
            </w:r>
          </w:p>
        </w:tc>
        <w:tc>
          <w:tcPr>
            <w:tcW w:w="6820" w:type="dxa"/>
          </w:tcPr>
          <w:p w:rsidR="00B84161" w:rsidRDefault="00B84161" w:rsidP="00B84161">
            <w:pPr>
              <w:spacing w:before="60" w:after="60"/>
            </w:pPr>
            <w:r w:rsidRPr="00F507EA">
              <w:t>The drag force on an object moving through a fluid increases with its speed and can be reduced by making the object more streamlined</w:t>
            </w:r>
          </w:p>
        </w:tc>
      </w:tr>
      <w:tr w:rsidR="00B84161" w:rsidTr="00002C84">
        <w:trPr>
          <w:trHeight w:val="340"/>
        </w:trPr>
        <w:tc>
          <w:tcPr>
            <w:tcW w:w="2196" w:type="dxa"/>
          </w:tcPr>
          <w:p w:rsidR="00B84161" w:rsidRDefault="00B84161" w:rsidP="00B84161">
            <w:pPr>
              <w:spacing w:before="60" w:after="60"/>
            </w:pPr>
            <w:r>
              <w:t>Observable learning outcome:</w:t>
            </w:r>
          </w:p>
        </w:tc>
        <w:tc>
          <w:tcPr>
            <w:tcW w:w="6820" w:type="dxa"/>
            <w:tcBorders>
              <w:bottom w:val="dotted" w:sz="4" w:space="0" w:color="auto"/>
            </w:tcBorders>
            <w:vAlign w:val="center"/>
          </w:tcPr>
          <w:p w:rsidR="00D7798B" w:rsidRPr="00D7798B" w:rsidRDefault="00D7798B" w:rsidP="00D7798B">
            <w:pPr>
              <w:pStyle w:val="NoSpacing"/>
              <w:spacing w:before="60" w:after="60"/>
              <w:rPr>
                <w:rFonts w:asciiTheme="minorHAnsi" w:hAnsiTheme="minorHAnsi" w:cstheme="minorHAnsi"/>
                <w:sz w:val="22"/>
              </w:rPr>
            </w:pPr>
            <w:r w:rsidRPr="00D7798B">
              <w:rPr>
                <w:rFonts w:asciiTheme="minorHAnsi" w:hAnsiTheme="minorHAnsi" w:cstheme="minorHAnsi"/>
                <w:sz w:val="22"/>
              </w:rPr>
              <w:t>Describe the forces acting on an object when it is moving at a constant speed through a fluid</w:t>
            </w:r>
          </w:p>
          <w:p w:rsidR="00B84161" w:rsidRPr="00F507EA" w:rsidRDefault="00D7798B" w:rsidP="00D7798B">
            <w:pPr>
              <w:pStyle w:val="NoSpacing"/>
              <w:spacing w:before="60" w:after="60"/>
              <w:rPr>
                <w:rFonts w:asciiTheme="minorHAnsi" w:hAnsiTheme="minorHAnsi" w:cstheme="minorHAnsi"/>
                <w:sz w:val="22"/>
              </w:rPr>
            </w:pPr>
            <w:r w:rsidRPr="00D7798B">
              <w:rPr>
                <w:rFonts w:asciiTheme="minorHAnsi" w:hAnsiTheme="minorHAnsi" w:cstheme="minorHAnsi"/>
                <w:sz w:val="22"/>
              </w:rPr>
              <w:t>Explain how using a parachute can make it safe to jump out of an aeroplane</w:t>
            </w:r>
          </w:p>
        </w:tc>
      </w:tr>
      <w:tr w:rsidR="00755E81" w:rsidTr="00002C84">
        <w:trPr>
          <w:trHeight w:val="340"/>
        </w:trPr>
        <w:tc>
          <w:tcPr>
            <w:tcW w:w="2196" w:type="dxa"/>
          </w:tcPr>
          <w:p w:rsidR="00755E81" w:rsidRDefault="00342102" w:rsidP="00755E81">
            <w:pPr>
              <w:spacing w:before="60" w:after="60"/>
            </w:pPr>
            <w:r>
              <w:t>Activity</w:t>
            </w:r>
            <w:r w:rsidR="00755E81">
              <w:t xml:space="preserve"> type:</w:t>
            </w:r>
          </w:p>
        </w:tc>
        <w:tc>
          <w:tcPr>
            <w:tcW w:w="6820" w:type="dxa"/>
            <w:tcBorders>
              <w:bottom w:val="single" w:sz="4" w:space="0" w:color="auto"/>
            </w:tcBorders>
          </w:tcPr>
          <w:p w:rsidR="00755E81" w:rsidRDefault="00BC3206" w:rsidP="00755E81">
            <w:pPr>
              <w:spacing w:before="60" w:after="60"/>
            </w:pPr>
            <w:r>
              <w:t>Predict, explain; observe, explain (PEOE)</w:t>
            </w:r>
          </w:p>
        </w:tc>
      </w:tr>
      <w:tr w:rsidR="00755E81" w:rsidTr="00002C84">
        <w:trPr>
          <w:trHeight w:val="340"/>
        </w:trPr>
        <w:tc>
          <w:tcPr>
            <w:tcW w:w="2196" w:type="dxa"/>
          </w:tcPr>
          <w:p w:rsidR="00755E81" w:rsidRDefault="00755E81" w:rsidP="00755E81">
            <w:pPr>
              <w:spacing w:before="60" w:after="60"/>
            </w:pPr>
            <w:r>
              <w:t>Key words:</w:t>
            </w:r>
          </w:p>
        </w:tc>
        <w:tc>
          <w:tcPr>
            <w:tcW w:w="6820" w:type="dxa"/>
            <w:tcBorders>
              <w:top w:val="single" w:sz="4" w:space="0" w:color="auto"/>
              <w:bottom w:val="dotted" w:sz="4" w:space="0" w:color="auto"/>
            </w:tcBorders>
          </w:tcPr>
          <w:p w:rsidR="00755E81" w:rsidRDefault="00B84161" w:rsidP="00755E81">
            <w:pPr>
              <w:spacing w:before="60" w:after="60"/>
            </w:pPr>
            <w:r w:rsidRPr="00F507EA">
              <w:t>Drag, weight, resultant force, speed</w:t>
            </w:r>
          </w:p>
        </w:tc>
      </w:tr>
    </w:tbl>
    <w:p w:rsidR="00E172C6" w:rsidRDefault="00E172C6" w:rsidP="00E172C6">
      <w:pPr>
        <w:spacing w:after="180"/>
      </w:pPr>
    </w:p>
    <w:p w:rsidR="00755E81" w:rsidRPr="00DC10C4"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DC10C4">
        <w:rPr>
          <w:rFonts w:cstheme="minorHAnsi"/>
          <w:color w:val="222222"/>
          <w:shd w:val="clear" w:color="auto" w:fill="FFFFFF"/>
        </w:rPr>
        <w:t xml:space="preserve">he </w:t>
      </w:r>
      <w:r w:rsidR="00DC10C4" w:rsidRPr="00DC10C4">
        <w:rPr>
          <w:rFonts w:cstheme="minorHAnsi"/>
          <w:color w:val="222222"/>
          <w:shd w:val="clear" w:color="auto" w:fill="FFFFFF"/>
        </w:rPr>
        <w:t>following diagnostic questions:</w:t>
      </w:r>
    </w:p>
    <w:p w:rsidR="00B00348" w:rsidRDefault="00B00348" w:rsidP="00B00348">
      <w:pPr>
        <w:pStyle w:val="ListParagraph"/>
        <w:numPr>
          <w:ilvl w:val="0"/>
          <w:numId w:val="1"/>
        </w:numPr>
        <w:spacing w:after="180"/>
      </w:pPr>
      <w:r w:rsidRPr="00DC10C4">
        <w:t xml:space="preserve">Diagnostic </w:t>
      </w:r>
      <w:r w:rsidR="00E3348F" w:rsidRPr="00DC10C4">
        <w:t>question</w:t>
      </w:r>
      <w:r w:rsidRPr="00DC10C4">
        <w:t xml:space="preserve">: </w:t>
      </w:r>
      <w:r w:rsidR="00DC10C4" w:rsidRPr="00DC10C4">
        <w:t>Top speed</w:t>
      </w:r>
    </w:p>
    <w:p w:rsidR="00DC10C4" w:rsidRPr="00DC10C4" w:rsidRDefault="00DC10C4" w:rsidP="00DC10C4">
      <w:pPr>
        <w:pStyle w:val="ListParagraph"/>
        <w:numPr>
          <w:ilvl w:val="0"/>
          <w:numId w:val="1"/>
        </w:numPr>
        <w:spacing w:after="180"/>
      </w:pPr>
      <w:r w:rsidRPr="00DC10C4">
        <w:t>Diagnostic question:</w:t>
      </w:r>
      <w:r>
        <w:t xml:space="preserve"> Safe landing</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84161" w:rsidRDefault="00B84161" w:rsidP="00B84161">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B84161" w:rsidRDefault="00B84161" w:rsidP="00B84161">
      <w:pPr>
        <w:spacing w:after="180"/>
      </w:pPr>
      <w:r>
        <w:t xml:space="preserve">Instead of concentrating on the applied force students need to think about all the forces acting and how they combine to produce the resultant force. They need to identify when the resultant force acts, when it changes and when it ceases. This involves understanding drag and the direction it acts in in order to recognise how it contributes to the resultant force </w:t>
      </w:r>
      <w:r>
        <w:fldChar w:fldCharType="begin"/>
      </w:r>
      <w:r w:rsidR="002A38C4">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2A38C4">
        <w:rPr>
          <w:noProof/>
        </w:rPr>
        <w:t>(Driver et al., 1994b)</w:t>
      </w:r>
      <w:r>
        <w:fldChar w:fldCharType="end"/>
      </w:r>
      <w:r>
        <w:t>.</w:t>
      </w:r>
    </w:p>
    <w:p w:rsidR="00B84161" w:rsidRDefault="00B84161" w:rsidP="00B84161">
      <w:pPr>
        <w:spacing w:after="180"/>
      </w:pPr>
      <w:r>
        <w:t xml:space="preserve">For most students the idea that a bigger resultant force produce a bigger effect is intuitive, but it is important to emphasise that resultant 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002C84">
        <w:t xml:space="preserve"> </w:t>
      </w:r>
      <w:r>
        <w:t>In other words: any moving object will continue to accelerate whilst a resultant force is acting on it.</w:t>
      </w:r>
    </w:p>
    <w:p w:rsidR="00B84161" w:rsidRDefault="00B84161" w:rsidP="00B84161">
      <w:pPr>
        <w:spacing w:after="180"/>
      </w:pPr>
      <w:r>
        <w:t xml:space="preserve">The effect of drag on falling objects can be very confusing because although drag (air resistance in air) can significantly affect the motion of an object falling in the real world, students often do not take it into account. In a study, Lee and Kwok </w:t>
      </w:r>
      <w:r>
        <w:fldChar w:fldCharType="begin"/>
      </w:r>
      <w:r>
        <w:instrText xml:space="preserve"> ADDIN EN.CITE &lt;EndNote&gt;&lt;Cite ExcludeAuth="1"&gt;&lt;Author&gt;Lee&lt;/Author&gt;&lt;Year&gt;2009&lt;/Year&gt;&lt;IDText&gt;Can an egg-dropping race enhance students&amp;apos; conceptual understanding of air resistance?&lt;/IDText&gt;&lt;DisplayText&gt;(2009)&lt;/DisplayText&gt;&lt;record&gt;&lt;titles&gt;&lt;title&gt;Can an egg-dropping race enhance students&amp;apos; conceptual understanding of air resistance?&lt;/title&gt;&lt;secondary-title&gt;Physics Education&lt;/secondary-title&gt;&lt;/titles&gt;&lt;pages&gt;151-158&lt;/pages&gt;&lt;contributors&gt;&lt;authors&gt;&lt;author&gt;Lee, Y. C&lt;/author&gt;&lt;author&gt;Kwok, P. W&lt;/author&gt;&lt;/authors&gt;&lt;/contributors&gt;&lt;added-date format="utc"&gt;1550750817&lt;/added-date&gt;&lt;ref-type name="Journal Article"&gt;17&lt;/ref-type&gt;&lt;dates&gt;&lt;year&gt;2009&lt;/year&gt;&lt;/dates&gt;&lt;rec-number&gt;89&lt;/rec-number&gt;&lt;last-updated-date format="utc"&gt;1550750935&lt;/last-updated-date&gt;&lt;volume&gt;44(2)&lt;/volume&gt;&lt;/record&gt;&lt;/Cite&gt;&lt;/EndNote&gt;</w:instrText>
      </w:r>
      <w:r>
        <w:fldChar w:fldCharType="separate"/>
      </w:r>
      <w:r>
        <w:rPr>
          <w:noProof/>
        </w:rPr>
        <w:t>(2009)</w:t>
      </w:r>
      <w:r>
        <w:fldChar w:fldCharType="end"/>
      </w:r>
      <w:r>
        <w:t xml:space="preserve"> found that when 11- to 12-year-olds (n=204) were asked to label the forces on a falling ball, 90% were able to label the gravitational force, but none of them included any drag force.</w:t>
      </w:r>
    </w:p>
    <w:p w:rsidR="00B84161" w:rsidRDefault="00B84161" w:rsidP="00B84161">
      <w:pPr>
        <w:spacing w:after="180"/>
      </w:pPr>
      <w:r>
        <w:t>This activity gives students opportunity to construct and rehearse their own explanations of how drag and weight affect the speed of a falling object.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BC3206" w:rsidRDefault="00BC3206" w:rsidP="00BC3206">
      <w:pPr>
        <w:spacing w:after="180"/>
      </w:pPr>
      <w:r w:rsidRPr="00DA3B6C">
        <w:t xml:space="preserve">Students </w:t>
      </w:r>
      <w:r>
        <w:t>should complete this activity in pairs or small groups, and the focus should be on the discussions.</w:t>
      </w:r>
      <w:r w:rsidR="00002C84">
        <w:t xml:space="preserve"> </w:t>
      </w:r>
      <w:r>
        <w:t>It is through the discussions that students can check their understanding and rehearse their explanations.</w:t>
      </w:r>
    </w:p>
    <w:p w:rsidR="00BC3206" w:rsidRDefault="00BC3206" w:rsidP="00BC3206">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002C84">
        <w:t xml:space="preserve"> </w:t>
      </w:r>
      <w:r>
        <w:t>If students in any group cannot agree, you may be able to direct them with some careful questioning.</w:t>
      </w:r>
      <w:r w:rsidR="00002C84">
        <w:t xml:space="preserve"> </w:t>
      </w:r>
    </w:p>
    <w:p w:rsidR="00BC3206" w:rsidRDefault="00BC3206" w:rsidP="00BC3206">
      <w:pPr>
        <w:spacing w:after="180"/>
      </w:pPr>
      <w:r>
        <w:t>Students now carry out the practical, or watch a demonstration.</w:t>
      </w:r>
      <w:r w:rsidR="00002C84">
        <w:t xml:space="preserve"> </w:t>
      </w:r>
      <w:r>
        <w:t>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BC3206" w:rsidRDefault="00BC3206" w:rsidP="00BC3206">
      <w:pPr>
        <w:spacing w:after="180"/>
      </w:pPr>
      <w:r>
        <w:t>After the practical each group should be given the opportunity to change, or improve their explanation.</w:t>
      </w:r>
      <w:r w:rsidR="00002C84">
        <w:t xml:space="preserve"> </w:t>
      </w:r>
      <w:r>
        <w:t>A good way to review your students’ thinking might be through a structured class discussion.</w:t>
      </w:r>
      <w:r w:rsidR="00002C84">
        <w:t xml:space="preserve"> </w:t>
      </w:r>
      <w:r>
        <w:t xml:space="preserve">You could ask several groups for their </w:t>
      </w:r>
      <w:r>
        <w:rPr>
          <w:i/>
        </w:rPr>
        <w:t>expla</w:t>
      </w:r>
      <w:r w:rsidRPr="00BA242F">
        <w:rPr>
          <w:i/>
        </w:rPr>
        <w:t>n</w:t>
      </w:r>
      <w:r>
        <w:rPr>
          <w:i/>
        </w:rPr>
        <w:t>ations</w:t>
      </w:r>
      <w:r>
        <w:t xml:space="preserve"> and put these on the whiteboard.</w:t>
      </w:r>
      <w:r w:rsidR="00002C84">
        <w:t xml:space="preserve"> </w:t>
      </w:r>
      <w:r>
        <w:t>Then ask other groups to suggest which explanation is the most accurate and the most clearly expressed, and through careful questioning work up a clear ‘class explanation’.</w:t>
      </w:r>
      <w:r w:rsidR="00002C84">
        <w:t xml:space="preserve"> </w:t>
      </w:r>
    </w:p>
    <w:p w:rsidR="00BC3206" w:rsidRDefault="00BC3206" w:rsidP="00BC3206">
      <w:pPr>
        <w:spacing w:after="180"/>
      </w:pPr>
      <w:r>
        <w:t>A useful follow up is for individual students to then write down explanations in their own words – without reference to the class explanation on the board (i.e. cover it up).</w:t>
      </w:r>
    </w:p>
    <w:p w:rsidR="00BC3206" w:rsidRPr="00C86659" w:rsidRDefault="00BC3206" w:rsidP="00BC3206">
      <w:pPr>
        <w:spacing w:after="180"/>
        <w:rPr>
          <w:i/>
        </w:rPr>
      </w:pPr>
      <w:r w:rsidRPr="00C86659">
        <w:rPr>
          <w:i/>
        </w:rPr>
        <w:t>Differentiation</w:t>
      </w:r>
    </w:p>
    <w:p w:rsidR="00BC3206" w:rsidRDefault="00BC3206" w:rsidP="00BC3206">
      <w:pPr>
        <w:spacing w:after="180"/>
      </w:pPr>
      <w:r>
        <w:t>The quality of the discussions can be improved with a careful selection of groups; or by allocating specific roles to students in the each group.</w:t>
      </w:r>
      <w:r w:rsidR="00002C84">
        <w:t xml:space="preserve"> </w:t>
      </w:r>
      <w:r>
        <w:t>For example, you may choose to select a student with strong prior knowledge as a scribe, and forbid them from contributing any of their own answers.</w:t>
      </w:r>
      <w:r w:rsidR="00002C84">
        <w:t xml:space="preserve"> </w:t>
      </w:r>
      <w:r>
        <w:t>They may question the others and only write down what they have been told.</w:t>
      </w:r>
      <w:r w:rsidR="00002C84">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44A8A" w:rsidRDefault="00144A8A" w:rsidP="00EC1E33">
      <w:pPr>
        <w:pStyle w:val="ListParagraph"/>
        <w:numPr>
          <w:ilvl w:val="0"/>
          <w:numId w:val="6"/>
        </w:numPr>
        <w:spacing w:after="180"/>
        <w:sectPr w:rsidR="00144A8A" w:rsidSect="00642ECD">
          <w:headerReference w:type="default" r:id="rId12"/>
          <w:pgSz w:w="11906" w:h="16838" w:code="9"/>
          <w:pgMar w:top="1440" w:right="1440" w:bottom="1440" w:left="1440" w:header="709" w:footer="567" w:gutter="0"/>
          <w:cols w:space="708"/>
          <w:docGrid w:linePitch="360"/>
        </w:sectPr>
      </w:pPr>
    </w:p>
    <w:p w:rsidR="00EC1E33" w:rsidRDefault="00EC1E33" w:rsidP="00EC1E33">
      <w:pPr>
        <w:pStyle w:val="ListParagraph"/>
        <w:numPr>
          <w:ilvl w:val="0"/>
          <w:numId w:val="6"/>
        </w:numPr>
        <w:spacing w:after="180"/>
      </w:pPr>
      <w:r>
        <w:t>x2 sheets of graph paper</w:t>
      </w:r>
      <w:r>
        <w:tab/>
      </w:r>
      <w:r>
        <w:tab/>
      </w:r>
      <w:r>
        <w:tab/>
      </w:r>
    </w:p>
    <w:p w:rsidR="00EC1E33" w:rsidRDefault="00EC1E33" w:rsidP="00EC1E33">
      <w:pPr>
        <w:pStyle w:val="ListParagraph"/>
        <w:numPr>
          <w:ilvl w:val="0"/>
          <w:numId w:val="6"/>
        </w:numPr>
        <w:spacing w:after="180"/>
      </w:pPr>
      <w:r>
        <w:t xml:space="preserve">Timer </w:t>
      </w:r>
    </w:p>
    <w:p w:rsidR="00144A8A" w:rsidRDefault="00144A8A" w:rsidP="00B26756">
      <w:pPr>
        <w:spacing w:after="180"/>
        <w:rPr>
          <w:b/>
          <w:color w:val="5F497A" w:themeColor="accent4" w:themeShade="BF"/>
          <w:sz w:val="24"/>
        </w:rPr>
        <w:sectPr w:rsidR="00144A8A" w:rsidSect="00144A8A">
          <w:type w:val="continuous"/>
          <w:pgSz w:w="11906" w:h="16838" w:code="9"/>
          <w:pgMar w:top="1440" w:right="1440" w:bottom="1440" w:left="1440" w:header="709" w:footer="567" w:gutter="0"/>
          <w:cols w:num="2" w:space="708"/>
          <w:docGrid w:linePitch="360"/>
        </w:sectPr>
      </w:pP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1E4FFA" w:rsidP="00B26756">
      <w:pPr>
        <w:spacing w:after="180"/>
      </w:pPr>
      <w:r>
        <w:t xml:space="preserve">Use graph paper with 5 squares per centimetre, or paper with 1cm sided squares. </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1E4FFA" w:rsidP="00B26756">
      <w:pPr>
        <w:spacing w:after="180"/>
      </w:pPr>
      <w:r>
        <w:t>Students will be moving around the room.</w:t>
      </w:r>
    </w:p>
    <w:p w:rsidR="001E4FFA" w:rsidRDefault="001E4FFA" w:rsidP="00B26756">
      <w:pPr>
        <w:spacing w:after="180"/>
      </w:pPr>
      <w:r>
        <w:t>They should remain standing on the floor and not climb on chairs, stools or desks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002C84" w:rsidRDefault="00002C84">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1328FC" w:rsidP="00230FF3">
      <w:pPr>
        <w:pStyle w:val="ListParagraph"/>
        <w:numPr>
          <w:ilvl w:val="0"/>
          <w:numId w:val="7"/>
        </w:numPr>
        <w:spacing w:line="288" w:lineRule="auto"/>
      </w:pPr>
      <w:r>
        <w:t>The tray with half the area will fall faster than</w:t>
      </w:r>
      <w:r w:rsidR="00002C84">
        <w:t xml:space="preserve"> the larger tray</w:t>
      </w:r>
      <w:r>
        <w:t>, but not exactly twice as fast</w:t>
      </w:r>
      <w:r w:rsidR="00002C84">
        <w:t>.</w:t>
      </w:r>
    </w:p>
    <w:p w:rsidR="00FC1FA4" w:rsidRDefault="001328FC" w:rsidP="00230FF3">
      <w:pPr>
        <w:pStyle w:val="ListParagraph"/>
        <w:numPr>
          <w:ilvl w:val="0"/>
          <w:numId w:val="7"/>
        </w:numPr>
        <w:spacing w:line="288" w:lineRule="auto"/>
      </w:pPr>
      <w:r>
        <w:t xml:space="preserve">The downwards force on each tray is the same (weight) </w:t>
      </w:r>
    </w:p>
    <w:p w:rsidR="00FC1FA4" w:rsidRDefault="00FC1FA4" w:rsidP="00230FF3">
      <w:pPr>
        <w:pStyle w:val="ListParagraph"/>
        <w:numPr>
          <w:ilvl w:val="0"/>
          <w:numId w:val="7"/>
        </w:numPr>
        <w:spacing w:line="288" w:lineRule="auto"/>
      </w:pPr>
      <w:r>
        <w:t>At the same speed, the</w:t>
      </w:r>
      <w:r w:rsidR="001328FC">
        <w:t xml:space="preserve"> drag </w:t>
      </w:r>
      <w:r>
        <w:t>on the smaller tray is about half the size as the drag on the larger tray.</w:t>
      </w:r>
    </w:p>
    <w:p w:rsidR="001328FC" w:rsidRDefault="00FC1FA4" w:rsidP="00230FF3">
      <w:pPr>
        <w:pStyle w:val="ListParagraph"/>
        <w:numPr>
          <w:ilvl w:val="0"/>
          <w:numId w:val="7"/>
        </w:numPr>
        <w:spacing w:line="288" w:lineRule="auto"/>
      </w:pPr>
      <w:r>
        <w:t xml:space="preserve">Drag on both trays </w:t>
      </w:r>
      <w:r w:rsidR="001328FC">
        <w:t>increases with speed.</w:t>
      </w:r>
    </w:p>
    <w:p w:rsidR="00230FF3" w:rsidRDefault="001328FC" w:rsidP="00230FF3">
      <w:pPr>
        <w:pStyle w:val="ListParagraph"/>
        <w:numPr>
          <w:ilvl w:val="0"/>
          <w:numId w:val="7"/>
        </w:numPr>
        <w:spacing w:line="288" w:lineRule="auto"/>
      </w:pPr>
      <w:r>
        <w:t xml:space="preserve">The smaller tray will speed up </w:t>
      </w:r>
      <w:r w:rsidR="00C745AB">
        <w:t>at a faster rate</w:t>
      </w:r>
      <w:r>
        <w:t xml:space="preserve"> than the large one and reach a higher top speed</w:t>
      </w:r>
      <w:r w:rsidR="00C745AB">
        <w:t>.</w:t>
      </w:r>
    </w:p>
    <w:p w:rsidR="001328FC" w:rsidRPr="00230FF3" w:rsidRDefault="00230FF3" w:rsidP="00230FF3">
      <w:pPr>
        <w:spacing w:after="180" w:line="288" w:lineRule="auto"/>
        <w:rPr>
          <w:i/>
        </w:rPr>
      </w:pPr>
      <w:r w:rsidRPr="00230FF3">
        <w:rPr>
          <w:i/>
        </w:rPr>
        <w:t xml:space="preserve">NB </w:t>
      </w:r>
      <w:r w:rsidR="002A38C4" w:rsidRPr="00230FF3">
        <w:rPr>
          <w:i/>
        </w:rPr>
        <w:t>The top speed of the small tray is less than twi</w:t>
      </w:r>
      <w:r w:rsidRPr="00230FF3">
        <w:rPr>
          <w:i/>
        </w:rPr>
        <w:t>ce the speed of the large tray.</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BC3206">
        <w:t>Peter Fairhurst</w:t>
      </w:r>
      <w:r w:rsidR="0015356E">
        <w:t xml:space="preserve"> (UYSEG</w:t>
      </w:r>
      <w:r w:rsidR="0015356E" w:rsidRPr="00BC3206">
        <w:t>)</w:t>
      </w:r>
      <w:r w:rsidR="002A38C4">
        <w:t>.</w:t>
      </w:r>
    </w:p>
    <w:p w:rsidR="00CC78A5" w:rsidRDefault="00D278E8" w:rsidP="00E172C6">
      <w:pPr>
        <w:spacing w:after="180"/>
      </w:pPr>
      <w:r w:rsidRPr="0045323E">
        <w:t xml:space="preserve">Images: </w:t>
      </w:r>
      <w:r w:rsidR="00BC3206">
        <w:t>Peter Fairhurst (UYSEG</w:t>
      </w:r>
      <w:r w:rsidR="00BC3206" w:rsidRPr="00BC3206">
        <w:t>)</w:t>
      </w:r>
      <w:r w:rsidR="002A38C4">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A38C4" w:rsidRPr="002A38C4" w:rsidRDefault="002A38C4" w:rsidP="002A38C4">
      <w:pPr>
        <w:pStyle w:val="EndNoteBibliography"/>
        <w:spacing w:after="120"/>
      </w:pPr>
      <w:r>
        <w:fldChar w:fldCharType="begin"/>
      </w:r>
      <w:r>
        <w:instrText xml:space="preserve"> ADDIN EN.REFLIST </w:instrText>
      </w:r>
      <w:r>
        <w:fldChar w:fldCharType="separate"/>
      </w:r>
      <w:r w:rsidRPr="002A38C4">
        <w:t xml:space="preserve">Driver, R., et al. (1994a). </w:t>
      </w:r>
      <w:r w:rsidRPr="002A38C4">
        <w:rPr>
          <w:i/>
        </w:rPr>
        <w:t xml:space="preserve">Making Sense of Secondary Science: Research into Children's Ideas, </w:t>
      </w:r>
      <w:r w:rsidRPr="002A38C4">
        <w:t>London, UK: Routledge.</w:t>
      </w:r>
    </w:p>
    <w:p w:rsidR="002A38C4" w:rsidRPr="002A38C4" w:rsidRDefault="002A38C4" w:rsidP="002A38C4">
      <w:pPr>
        <w:pStyle w:val="EndNoteBibliography"/>
        <w:spacing w:after="120"/>
      </w:pPr>
      <w:r w:rsidRPr="002A38C4">
        <w:t xml:space="preserve">Driver, R., et al. (1994b). </w:t>
      </w:r>
      <w:r w:rsidRPr="002A38C4">
        <w:rPr>
          <w:i/>
        </w:rPr>
        <w:t xml:space="preserve">Making Sense of Secondary Science: Support Materials for Teachers, </w:t>
      </w:r>
      <w:r w:rsidRPr="002A38C4">
        <w:t>London: Routledge.</w:t>
      </w:r>
    </w:p>
    <w:p w:rsidR="002A38C4" w:rsidRPr="002A38C4" w:rsidRDefault="002A38C4" w:rsidP="002A38C4">
      <w:pPr>
        <w:pStyle w:val="EndNoteBibliography"/>
        <w:spacing w:after="120"/>
      </w:pPr>
      <w:r w:rsidRPr="002A38C4">
        <w:t xml:space="preserve">Gunstone, R and Watts, M. (1985). Force and Motion. In Driver, R, Guesne, E. &amp; Tiberghien, A. (eds.) </w:t>
      </w:r>
      <w:r w:rsidRPr="002A38C4">
        <w:rPr>
          <w:i/>
        </w:rPr>
        <w:t>Children's Ideas in Science.</w:t>
      </w:r>
      <w:r w:rsidRPr="002A38C4">
        <w:t xml:space="preserve"> Milton Keynes, England: Open University Press.</w:t>
      </w:r>
    </w:p>
    <w:p w:rsidR="002A38C4" w:rsidRPr="002A38C4" w:rsidRDefault="002A38C4" w:rsidP="002A38C4">
      <w:pPr>
        <w:pStyle w:val="EndNoteBibliography"/>
        <w:spacing w:after="120"/>
      </w:pPr>
      <w:r w:rsidRPr="002A38C4">
        <w:t xml:space="preserve">Lee, Y. C. and Kwok, P. W. (2009). Can an egg-dropping race enhance students' conceptual understanding of air resistance? </w:t>
      </w:r>
      <w:r w:rsidRPr="002A38C4">
        <w:rPr>
          <w:i/>
        </w:rPr>
        <w:t>Physics Education,</w:t>
      </w:r>
      <w:r w:rsidRPr="002A38C4">
        <w:t xml:space="preserve"> 44(2)</w:t>
      </w:r>
      <w:r w:rsidRPr="002A38C4">
        <w:rPr>
          <w:b/>
        </w:rPr>
        <w:t>,</w:t>
      </w:r>
      <w:r w:rsidRPr="002A38C4">
        <w:t xml:space="preserve"> 151-158.</w:t>
      </w:r>
    </w:p>
    <w:p w:rsidR="002A38C4" w:rsidRPr="002A38C4" w:rsidRDefault="002A38C4" w:rsidP="002A38C4">
      <w:pPr>
        <w:pStyle w:val="EndNoteBibliography"/>
        <w:spacing w:after="120"/>
      </w:pPr>
      <w:r w:rsidRPr="002A38C4">
        <w:t xml:space="preserve">Osborne, R. (1985). Building on children's intuitive ideas. In Osborne, R &amp; Freyberg, P. (eds.) </w:t>
      </w:r>
      <w:r w:rsidRPr="002A38C4">
        <w:rPr>
          <w:i/>
        </w:rPr>
        <w:t>Learning in Science</w:t>
      </w:r>
      <w:r w:rsidR="00002C84">
        <w:rPr>
          <w:i/>
        </w:rPr>
        <w:t xml:space="preserve"> </w:t>
      </w:r>
      <w:r w:rsidRPr="002A38C4">
        <w:t>Aukland, New Zealand: Heinemann.</w:t>
      </w:r>
    </w:p>
    <w:p w:rsidR="00B37A2E" w:rsidRPr="00B37A2E" w:rsidRDefault="002A38C4" w:rsidP="002A38C4">
      <w:pPr>
        <w:spacing w:after="120"/>
      </w:pPr>
      <w:r>
        <w:fldChar w:fldCharType="end"/>
      </w:r>
    </w:p>
    <w:sectPr w:rsidR="00B37A2E" w:rsidRPr="00B37A2E" w:rsidSect="00144A8A">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0C4" w:rsidRDefault="00DC10C4" w:rsidP="000B473B">
      <w:r>
        <w:separator/>
      </w:r>
    </w:p>
  </w:endnote>
  <w:endnote w:type="continuationSeparator" w:id="0">
    <w:p w:rsidR="00DC10C4" w:rsidRDefault="00DC10C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202BD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30FF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0C4" w:rsidRDefault="00DC10C4" w:rsidP="000B473B">
      <w:r>
        <w:separator/>
      </w:r>
    </w:p>
  </w:footnote>
  <w:footnote w:type="continuationSeparator" w:id="0">
    <w:p w:rsidR="00DC10C4" w:rsidRDefault="00DC10C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DD32E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A53D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1F07BA"/>
    <w:multiLevelType w:val="hybridMultilevel"/>
    <w:tmpl w:val="2FF88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49417C"/>
    <w:multiLevelType w:val="hybridMultilevel"/>
    <w:tmpl w:val="CDB072AC"/>
    <w:lvl w:ilvl="0" w:tplc="89FAE108">
      <w:start w:val="1"/>
      <w:numFmt w:val="bullet"/>
      <w:lvlText w:val="•"/>
      <w:lvlJc w:val="left"/>
      <w:pPr>
        <w:tabs>
          <w:tab w:val="num" w:pos="720"/>
        </w:tabs>
        <w:ind w:left="720" w:hanging="360"/>
      </w:pPr>
      <w:rPr>
        <w:rFonts w:ascii="Arial" w:hAnsi="Arial" w:hint="default"/>
      </w:rPr>
    </w:lvl>
    <w:lvl w:ilvl="1" w:tplc="84542AEA" w:tentative="1">
      <w:start w:val="1"/>
      <w:numFmt w:val="bullet"/>
      <w:lvlText w:val="•"/>
      <w:lvlJc w:val="left"/>
      <w:pPr>
        <w:tabs>
          <w:tab w:val="num" w:pos="1440"/>
        </w:tabs>
        <w:ind w:left="1440" w:hanging="360"/>
      </w:pPr>
      <w:rPr>
        <w:rFonts w:ascii="Arial" w:hAnsi="Arial" w:hint="default"/>
      </w:rPr>
    </w:lvl>
    <w:lvl w:ilvl="2" w:tplc="CE9605C2" w:tentative="1">
      <w:start w:val="1"/>
      <w:numFmt w:val="bullet"/>
      <w:lvlText w:val="•"/>
      <w:lvlJc w:val="left"/>
      <w:pPr>
        <w:tabs>
          <w:tab w:val="num" w:pos="2160"/>
        </w:tabs>
        <w:ind w:left="2160" w:hanging="360"/>
      </w:pPr>
      <w:rPr>
        <w:rFonts w:ascii="Arial" w:hAnsi="Arial" w:hint="default"/>
      </w:rPr>
    </w:lvl>
    <w:lvl w:ilvl="3" w:tplc="47AC04F8" w:tentative="1">
      <w:start w:val="1"/>
      <w:numFmt w:val="bullet"/>
      <w:lvlText w:val="•"/>
      <w:lvlJc w:val="left"/>
      <w:pPr>
        <w:tabs>
          <w:tab w:val="num" w:pos="2880"/>
        </w:tabs>
        <w:ind w:left="2880" w:hanging="360"/>
      </w:pPr>
      <w:rPr>
        <w:rFonts w:ascii="Arial" w:hAnsi="Arial" w:hint="default"/>
      </w:rPr>
    </w:lvl>
    <w:lvl w:ilvl="4" w:tplc="0C8EEFE8" w:tentative="1">
      <w:start w:val="1"/>
      <w:numFmt w:val="bullet"/>
      <w:lvlText w:val="•"/>
      <w:lvlJc w:val="left"/>
      <w:pPr>
        <w:tabs>
          <w:tab w:val="num" w:pos="3600"/>
        </w:tabs>
        <w:ind w:left="3600" w:hanging="360"/>
      </w:pPr>
      <w:rPr>
        <w:rFonts w:ascii="Arial" w:hAnsi="Arial" w:hint="default"/>
      </w:rPr>
    </w:lvl>
    <w:lvl w:ilvl="5" w:tplc="1C9C1474" w:tentative="1">
      <w:start w:val="1"/>
      <w:numFmt w:val="bullet"/>
      <w:lvlText w:val="•"/>
      <w:lvlJc w:val="left"/>
      <w:pPr>
        <w:tabs>
          <w:tab w:val="num" w:pos="4320"/>
        </w:tabs>
        <w:ind w:left="4320" w:hanging="360"/>
      </w:pPr>
      <w:rPr>
        <w:rFonts w:ascii="Arial" w:hAnsi="Arial" w:hint="default"/>
      </w:rPr>
    </w:lvl>
    <w:lvl w:ilvl="6" w:tplc="13B669AA" w:tentative="1">
      <w:start w:val="1"/>
      <w:numFmt w:val="bullet"/>
      <w:lvlText w:val="•"/>
      <w:lvlJc w:val="left"/>
      <w:pPr>
        <w:tabs>
          <w:tab w:val="num" w:pos="5040"/>
        </w:tabs>
        <w:ind w:left="5040" w:hanging="360"/>
      </w:pPr>
      <w:rPr>
        <w:rFonts w:ascii="Arial" w:hAnsi="Arial" w:hint="default"/>
      </w:rPr>
    </w:lvl>
    <w:lvl w:ilvl="7" w:tplc="FD36AA78" w:tentative="1">
      <w:start w:val="1"/>
      <w:numFmt w:val="bullet"/>
      <w:lvlText w:val="•"/>
      <w:lvlJc w:val="left"/>
      <w:pPr>
        <w:tabs>
          <w:tab w:val="num" w:pos="5760"/>
        </w:tabs>
        <w:ind w:left="5760" w:hanging="360"/>
      </w:pPr>
      <w:rPr>
        <w:rFonts w:ascii="Arial" w:hAnsi="Arial" w:hint="default"/>
      </w:rPr>
    </w:lvl>
    <w:lvl w:ilvl="8" w:tplc="6FD498D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93D4E4D"/>
    <w:multiLevelType w:val="hybridMultilevel"/>
    <w:tmpl w:val="51F481EA"/>
    <w:lvl w:ilvl="0" w:tplc="53B48EBA">
      <w:start w:val="1"/>
      <w:numFmt w:val="decimal"/>
      <w:lvlText w:val="%1."/>
      <w:lvlJc w:val="left"/>
      <w:pPr>
        <w:tabs>
          <w:tab w:val="num" w:pos="720"/>
        </w:tabs>
        <w:ind w:left="720" w:hanging="360"/>
      </w:pPr>
    </w:lvl>
    <w:lvl w:ilvl="1" w:tplc="E216E302" w:tentative="1">
      <w:start w:val="1"/>
      <w:numFmt w:val="decimal"/>
      <w:lvlText w:val="%2."/>
      <w:lvlJc w:val="left"/>
      <w:pPr>
        <w:tabs>
          <w:tab w:val="num" w:pos="1440"/>
        </w:tabs>
        <w:ind w:left="1440" w:hanging="360"/>
      </w:pPr>
    </w:lvl>
    <w:lvl w:ilvl="2" w:tplc="60421C8E" w:tentative="1">
      <w:start w:val="1"/>
      <w:numFmt w:val="decimal"/>
      <w:lvlText w:val="%3."/>
      <w:lvlJc w:val="left"/>
      <w:pPr>
        <w:tabs>
          <w:tab w:val="num" w:pos="2160"/>
        </w:tabs>
        <w:ind w:left="2160" w:hanging="360"/>
      </w:pPr>
    </w:lvl>
    <w:lvl w:ilvl="3" w:tplc="E80CB54C" w:tentative="1">
      <w:start w:val="1"/>
      <w:numFmt w:val="decimal"/>
      <w:lvlText w:val="%4."/>
      <w:lvlJc w:val="left"/>
      <w:pPr>
        <w:tabs>
          <w:tab w:val="num" w:pos="2880"/>
        </w:tabs>
        <w:ind w:left="2880" w:hanging="360"/>
      </w:pPr>
    </w:lvl>
    <w:lvl w:ilvl="4" w:tplc="A2D07598" w:tentative="1">
      <w:start w:val="1"/>
      <w:numFmt w:val="decimal"/>
      <w:lvlText w:val="%5."/>
      <w:lvlJc w:val="left"/>
      <w:pPr>
        <w:tabs>
          <w:tab w:val="num" w:pos="3600"/>
        </w:tabs>
        <w:ind w:left="3600" w:hanging="360"/>
      </w:pPr>
    </w:lvl>
    <w:lvl w:ilvl="5" w:tplc="E5CC3E9E" w:tentative="1">
      <w:start w:val="1"/>
      <w:numFmt w:val="decimal"/>
      <w:lvlText w:val="%6."/>
      <w:lvlJc w:val="left"/>
      <w:pPr>
        <w:tabs>
          <w:tab w:val="num" w:pos="4320"/>
        </w:tabs>
        <w:ind w:left="4320" w:hanging="360"/>
      </w:pPr>
    </w:lvl>
    <w:lvl w:ilvl="6" w:tplc="C8E47080" w:tentative="1">
      <w:start w:val="1"/>
      <w:numFmt w:val="decimal"/>
      <w:lvlText w:val="%7."/>
      <w:lvlJc w:val="left"/>
      <w:pPr>
        <w:tabs>
          <w:tab w:val="num" w:pos="5040"/>
        </w:tabs>
        <w:ind w:left="5040" w:hanging="360"/>
      </w:pPr>
    </w:lvl>
    <w:lvl w:ilvl="7" w:tplc="7E7A8492" w:tentative="1">
      <w:start w:val="1"/>
      <w:numFmt w:val="decimal"/>
      <w:lvlText w:val="%8."/>
      <w:lvlJc w:val="left"/>
      <w:pPr>
        <w:tabs>
          <w:tab w:val="num" w:pos="5760"/>
        </w:tabs>
        <w:ind w:left="5760" w:hanging="360"/>
      </w:pPr>
    </w:lvl>
    <w:lvl w:ilvl="8" w:tplc="433CDDA0" w:tentative="1">
      <w:start w:val="1"/>
      <w:numFmt w:val="decimal"/>
      <w:lvlText w:val="%9."/>
      <w:lvlJc w:val="left"/>
      <w:pPr>
        <w:tabs>
          <w:tab w:val="num" w:pos="6480"/>
        </w:tabs>
        <w:ind w:left="6480" w:hanging="36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4D0F37"/>
    <w:multiLevelType w:val="hybridMultilevel"/>
    <w:tmpl w:val="ACD6F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C10C4"/>
    <w:rsid w:val="00002C84"/>
    <w:rsid w:val="00015578"/>
    <w:rsid w:val="00017A26"/>
    <w:rsid w:val="00024731"/>
    <w:rsid w:val="00026DEC"/>
    <w:rsid w:val="000505CA"/>
    <w:rsid w:val="00072C2E"/>
    <w:rsid w:val="0007651D"/>
    <w:rsid w:val="0009089A"/>
    <w:rsid w:val="000947E2"/>
    <w:rsid w:val="00095E04"/>
    <w:rsid w:val="000B473B"/>
    <w:rsid w:val="000D0E89"/>
    <w:rsid w:val="000E2689"/>
    <w:rsid w:val="001328FC"/>
    <w:rsid w:val="00142613"/>
    <w:rsid w:val="00144A8A"/>
    <w:rsid w:val="00144DA7"/>
    <w:rsid w:val="0015356E"/>
    <w:rsid w:val="00154B06"/>
    <w:rsid w:val="00161D3F"/>
    <w:rsid w:val="001915D4"/>
    <w:rsid w:val="00194675"/>
    <w:rsid w:val="001A1FED"/>
    <w:rsid w:val="001A40E2"/>
    <w:rsid w:val="001C4805"/>
    <w:rsid w:val="001D0511"/>
    <w:rsid w:val="001E4FFA"/>
    <w:rsid w:val="00201AC2"/>
    <w:rsid w:val="00202AEC"/>
    <w:rsid w:val="00214608"/>
    <w:rsid w:val="002178AC"/>
    <w:rsid w:val="0022547C"/>
    <w:rsid w:val="00230FF3"/>
    <w:rsid w:val="002454AC"/>
    <w:rsid w:val="0025410A"/>
    <w:rsid w:val="0027553E"/>
    <w:rsid w:val="0028012F"/>
    <w:rsid w:val="002828DF"/>
    <w:rsid w:val="00287876"/>
    <w:rsid w:val="00292C53"/>
    <w:rsid w:val="00294E22"/>
    <w:rsid w:val="002A08F2"/>
    <w:rsid w:val="002A38C4"/>
    <w:rsid w:val="002C22EA"/>
    <w:rsid w:val="002C59BA"/>
    <w:rsid w:val="002F41B2"/>
    <w:rsid w:val="00301AA9"/>
    <w:rsid w:val="003117F6"/>
    <w:rsid w:val="0034148A"/>
    <w:rsid w:val="00342102"/>
    <w:rsid w:val="003533B8"/>
    <w:rsid w:val="003558E0"/>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22F9A"/>
    <w:rsid w:val="00754539"/>
    <w:rsid w:val="00755E81"/>
    <w:rsid w:val="00781BC6"/>
    <w:rsid w:val="007A3C86"/>
    <w:rsid w:val="007A683E"/>
    <w:rsid w:val="007A748B"/>
    <w:rsid w:val="007B2C4B"/>
    <w:rsid w:val="007C73B8"/>
    <w:rsid w:val="007D1D65"/>
    <w:rsid w:val="007E0A9E"/>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000F3"/>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84161"/>
    <w:rsid w:val="00B849F7"/>
    <w:rsid w:val="00BA7952"/>
    <w:rsid w:val="00BB44B4"/>
    <w:rsid w:val="00BC3206"/>
    <w:rsid w:val="00BF0BBF"/>
    <w:rsid w:val="00BF6C8A"/>
    <w:rsid w:val="00C05571"/>
    <w:rsid w:val="00C1190E"/>
    <w:rsid w:val="00C246CE"/>
    <w:rsid w:val="00C57FA2"/>
    <w:rsid w:val="00C745AB"/>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798B"/>
    <w:rsid w:val="00DC10C4"/>
    <w:rsid w:val="00DC4A4E"/>
    <w:rsid w:val="00DD1874"/>
    <w:rsid w:val="00DD63BD"/>
    <w:rsid w:val="00DF14E9"/>
    <w:rsid w:val="00E0092B"/>
    <w:rsid w:val="00E172C6"/>
    <w:rsid w:val="00E24309"/>
    <w:rsid w:val="00E3348F"/>
    <w:rsid w:val="00E53D82"/>
    <w:rsid w:val="00E9330A"/>
    <w:rsid w:val="00EC1E33"/>
    <w:rsid w:val="00EE6B97"/>
    <w:rsid w:val="00F12C3B"/>
    <w:rsid w:val="00F26884"/>
    <w:rsid w:val="00F6675D"/>
    <w:rsid w:val="00F72ECC"/>
    <w:rsid w:val="00F8355F"/>
    <w:rsid w:val="00FA3196"/>
    <w:rsid w:val="00FC1FA4"/>
    <w:rsid w:val="00FE296F"/>
    <w:rsid w:val="00FF3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536A01"/>
  <w15:docId w15:val="{42B3FB12-D3F8-4170-9AD3-395AB19B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F6675D"/>
    <w:pPr>
      <w:spacing w:after="120"/>
      <w:ind w:right="1371"/>
    </w:pPr>
    <w:rPr>
      <w:rFonts w:ascii="Calibri" w:eastAsia="Times New Roman" w:hAnsi="Calibri" w:cs="Times New Roman"/>
      <w:lang w:eastAsia="en-GB" w:bidi="en-US"/>
    </w:rPr>
  </w:style>
  <w:style w:type="paragraph" w:styleId="NoSpacing">
    <w:name w:val="No Spacing"/>
    <w:uiPriority w:val="1"/>
    <w:qFormat/>
    <w:rsid w:val="00B84161"/>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2A38C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A38C4"/>
    <w:rPr>
      <w:rFonts w:ascii="Calibri" w:hAnsi="Calibri" w:cs="Calibri"/>
      <w:noProof/>
      <w:lang w:val="en-US"/>
    </w:rPr>
  </w:style>
  <w:style w:type="paragraph" w:customStyle="1" w:styleId="EndNoteBibliography">
    <w:name w:val="EndNote Bibliography"/>
    <w:basedOn w:val="Normal"/>
    <w:link w:val="EndNoteBibliographyChar"/>
    <w:rsid w:val="002A38C4"/>
    <w:rPr>
      <w:rFonts w:ascii="Calibri" w:hAnsi="Calibri" w:cs="Calibri"/>
      <w:noProof/>
      <w:lang w:val="en-US"/>
    </w:rPr>
  </w:style>
  <w:style w:type="character" w:customStyle="1" w:styleId="EndNoteBibliographyChar">
    <w:name w:val="EndNote Bibliography Char"/>
    <w:basedOn w:val="DefaultParagraphFont"/>
    <w:link w:val="EndNoteBibliography"/>
    <w:rsid w:val="002A38C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5306">
      <w:bodyDiv w:val="1"/>
      <w:marLeft w:val="0"/>
      <w:marRight w:val="0"/>
      <w:marTop w:val="0"/>
      <w:marBottom w:val="0"/>
      <w:divBdr>
        <w:top w:val="none" w:sz="0" w:space="0" w:color="auto"/>
        <w:left w:val="none" w:sz="0" w:space="0" w:color="auto"/>
        <w:bottom w:val="none" w:sz="0" w:space="0" w:color="auto"/>
        <w:right w:val="none" w:sz="0" w:space="0" w:color="auto"/>
      </w:divBdr>
      <w:divsChild>
        <w:div w:id="1732388568">
          <w:marLeft w:val="446"/>
          <w:marRight w:val="0"/>
          <w:marTop w:val="0"/>
          <w:marBottom w:val="0"/>
          <w:divBdr>
            <w:top w:val="none" w:sz="0" w:space="0" w:color="auto"/>
            <w:left w:val="none" w:sz="0" w:space="0" w:color="auto"/>
            <w:bottom w:val="none" w:sz="0" w:space="0" w:color="auto"/>
            <w:right w:val="none" w:sz="0" w:space="0" w:color="auto"/>
          </w:divBdr>
        </w:div>
        <w:div w:id="1824007374">
          <w:marLeft w:val="446"/>
          <w:marRight w:val="0"/>
          <w:marTop w:val="0"/>
          <w:marBottom w:val="0"/>
          <w:divBdr>
            <w:top w:val="none" w:sz="0" w:space="0" w:color="auto"/>
            <w:left w:val="none" w:sz="0" w:space="0" w:color="auto"/>
            <w:bottom w:val="none" w:sz="0" w:space="0" w:color="auto"/>
            <w:right w:val="none" w:sz="0" w:space="0" w:color="auto"/>
          </w:divBdr>
        </w:div>
      </w:divsChild>
    </w:div>
    <w:div w:id="384335834">
      <w:bodyDiv w:val="1"/>
      <w:marLeft w:val="0"/>
      <w:marRight w:val="0"/>
      <w:marTop w:val="0"/>
      <w:marBottom w:val="0"/>
      <w:divBdr>
        <w:top w:val="none" w:sz="0" w:space="0" w:color="auto"/>
        <w:left w:val="none" w:sz="0" w:space="0" w:color="auto"/>
        <w:bottom w:val="none" w:sz="0" w:space="0" w:color="auto"/>
        <w:right w:val="none" w:sz="0" w:space="0" w:color="auto"/>
      </w:divBdr>
    </w:div>
    <w:div w:id="712577632">
      <w:bodyDiv w:val="1"/>
      <w:marLeft w:val="0"/>
      <w:marRight w:val="0"/>
      <w:marTop w:val="0"/>
      <w:marBottom w:val="0"/>
      <w:divBdr>
        <w:top w:val="none" w:sz="0" w:space="0" w:color="auto"/>
        <w:left w:val="none" w:sz="0" w:space="0" w:color="auto"/>
        <w:bottom w:val="none" w:sz="0" w:space="0" w:color="auto"/>
        <w:right w:val="none" w:sz="0" w:space="0" w:color="auto"/>
      </w:divBdr>
    </w:div>
    <w:div w:id="940450447">
      <w:bodyDiv w:val="1"/>
      <w:marLeft w:val="0"/>
      <w:marRight w:val="0"/>
      <w:marTop w:val="0"/>
      <w:marBottom w:val="0"/>
      <w:divBdr>
        <w:top w:val="none" w:sz="0" w:space="0" w:color="auto"/>
        <w:left w:val="none" w:sz="0" w:space="0" w:color="auto"/>
        <w:bottom w:val="none" w:sz="0" w:space="0" w:color="auto"/>
        <w:right w:val="none" w:sz="0" w:space="0" w:color="auto"/>
      </w:divBdr>
    </w:div>
    <w:div w:id="1082751926">
      <w:bodyDiv w:val="1"/>
      <w:marLeft w:val="0"/>
      <w:marRight w:val="0"/>
      <w:marTop w:val="0"/>
      <w:marBottom w:val="0"/>
      <w:divBdr>
        <w:top w:val="none" w:sz="0" w:space="0" w:color="auto"/>
        <w:left w:val="none" w:sz="0" w:space="0" w:color="auto"/>
        <w:bottom w:val="none" w:sz="0" w:space="0" w:color="auto"/>
        <w:right w:val="none" w:sz="0" w:space="0" w:color="auto"/>
      </w:divBdr>
    </w:div>
    <w:div w:id="1259756495">
      <w:bodyDiv w:val="1"/>
      <w:marLeft w:val="0"/>
      <w:marRight w:val="0"/>
      <w:marTop w:val="0"/>
      <w:marBottom w:val="0"/>
      <w:divBdr>
        <w:top w:val="none" w:sz="0" w:space="0" w:color="auto"/>
        <w:left w:val="none" w:sz="0" w:space="0" w:color="auto"/>
        <w:bottom w:val="none" w:sz="0" w:space="0" w:color="auto"/>
        <w:right w:val="none" w:sz="0" w:space="0" w:color="auto"/>
      </w:divBdr>
    </w:div>
    <w:div w:id="1574972742">
      <w:bodyDiv w:val="1"/>
      <w:marLeft w:val="0"/>
      <w:marRight w:val="0"/>
      <w:marTop w:val="0"/>
      <w:marBottom w:val="0"/>
      <w:divBdr>
        <w:top w:val="none" w:sz="0" w:space="0" w:color="auto"/>
        <w:left w:val="none" w:sz="0" w:space="0" w:color="auto"/>
        <w:bottom w:val="none" w:sz="0" w:space="0" w:color="auto"/>
        <w:right w:val="none" w:sz="0" w:space="0" w:color="auto"/>
      </w:divBdr>
    </w:div>
    <w:div w:id="2114588088">
      <w:bodyDiv w:val="1"/>
      <w:marLeft w:val="0"/>
      <w:marRight w:val="0"/>
      <w:marTop w:val="0"/>
      <w:marBottom w:val="0"/>
      <w:divBdr>
        <w:top w:val="none" w:sz="0" w:space="0" w:color="auto"/>
        <w:left w:val="none" w:sz="0" w:space="0" w:color="auto"/>
        <w:bottom w:val="none" w:sz="0" w:space="0" w:color="auto"/>
        <w:right w:val="none" w:sz="0" w:space="0" w:color="auto"/>
      </w:divBdr>
    </w:div>
    <w:div w:id="2141994380">
      <w:bodyDiv w:val="1"/>
      <w:marLeft w:val="0"/>
      <w:marRight w:val="0"/>
      <w:marTop w:val="0"/>
      <w:marBottom w:val="0"/>
      <w:divBdr>
        <w:top w:val="none" w:sz="0" w:space="0" w:color="auto"/>
        <w:left w:val="none" w:sz="0" w:space="0" w:color="auto"/>
        <w:bottom w:val="none" w:sz="0" w:space="0" w:color="auto"/>
        <w:right w:val="none" w:sz="0" w:space="0" w:color="auto"/>
      </w:divBdr>
      <w:divsChild>
        <w:div w:id="407314885">
          <w:marLeft w:val="547"/>
          <w:marRight w:val="0"/>
          <w:marTop w:val="0"/>
          <w:marBottom w:val="0"/>
          <w:divBdr>
            <w:top w:val="none" w:sz="0" w:space="0" w:color="auto"/>
            <w:left w:val="none" w:sz="0" w:space="0" w:color="auto"/>
            <w:bottom w:val="none" w:sz="0" w:space="0" w:color="auto"/>
            <w:right w:val="none" w:sz="0" w:space="0" w:color="auto"/>
          </w:divBdr>
        </w:div>
        <w:div w:id="1637837274">
          <w:marLeft w:val="547"/>
          <w:marRight w:val="0"/>
          <w:marTop w:val="0"/>
          <w:marBottom w:val="0"/>
          <w:divBdr>
            <w:top w:val="none" w:sz="0" w:space="0" w:color="auto"/>
            <w:left w:val="none" w:sz="0" w:space="0" w:color="auto"/>
            <w:bottom w:val="none" w:sz="0" w:space="0" w:color="auto"/>
            <w:right w:val="none" w:sz="0" w:space="0" w:color="auto"/>
          </w:divBdr>
        </w:div>
        <w:div w:id="1069840067">
          <w:marLeft w:val="547"/>
          <w:marRight w:val="0"/>
          <w:marTop w:val="0"/>
          <w:marBottom w:val="0"/>
          <w:divBdr>
            <w:top w:val="none" w:sz="0" w:space="0" w:color="auto"/>
            <w:left w:val="none" w:sz="0" w:space="0" w:color="auto"/>
            <w:bottom w:val="none" w:sz="0" w:space="0" w:color="auto"/>
            <w:right w:val="none" w:sz="0" w:space="0" w:color="auto"/>
          </w:divBdr>
        </w:div>
        <w:div w:id="1656834143">
          <w:marLeft w:val="547"/>
          <w:marRight w:val="0"/>
          <w:marTop w:val="0"/>
          <w:marBottom w:val="0"/>
          <w:divBdr>
            <w:top w:val="none" w:sz="0" w:space="0" w:color="auto"/>
            <w:left w:val="none" w:sz="0" w:space="0" w:color="auto"/>
            <w:bottom w:val="none" w:sz="0" w:space="0" w:color="auto"/>
            <w:right w:val="none" w:sz="0" w:space="0" w:color="auto"/>
          </w:divBdr>
        </w:div>
        <w:div w:id="1320841905">
          <w:marLeft w:val="547"/>
          <w:marRight w:val="0"/>
          <w:marTop w:val="0"/>
          <w:marBottom w:val="0"/>
          <w:divBdr>
            <w:top w:val="none" w:sz="0" w:space="0" w:color="auto"/>
            <w:left w:val="none" w:sz="0" w:space="0" w:color="auto"/>
            <w:bottom w:val="none" w:sz="0" w:space="0" w:color="auto"/>
            <w:right w:val="none" w:sz="0" w:space="0" w:color="auto"/>
          </w:divBdr>
        </w:div>
        <w:div w:id="124467000">
          <w:marLeft w:val="547"/>
          <w:marRight w:val="0"/>
          <w:marTop w:val="0"/>
          <w:marBottom w:val="0"/>
          <w:divBdr>
            <w:top w:val="none" w:sz="0" w:space="0" w:color="auto"/>
            <w:left w:val="none" w:sz="0" w:space="0" w:color="auto"/>
            <w:bottom w:val="none" w:sz="0" w:space="0" w:color="auto"/>
            <w:right w:val="none" w:sz="0" w:space="0" w:color="auto"/>
          </w:divBdr>
        </w:div>
      </w:divsChild>
    </w:div>
    <w:div w:id="214219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.template_physics_response_PEOE.dotx</Template>
  <TotalTime>61</TotalTime>
  <Pages>5</Pages>
  <Words>2017</Words>
  <Characters>11502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2019-02-28T12:00:00Z</dcterms:created>
  <dcterms:modified xsi:type="dcterms:W3CDTF">2019-03-04T15:31:00Z</dcterms:modified>
</cp:coreProperties>
</file>