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1E7B5" w14:textId="09EFC7E6" w:rsidR="00287876" w:rsidRPr="00BB3EA6" w:rsidRDefault="001413D2" w:rsidP="006F3279">
      <w:pPr>
        <w:spacing w:after="240"/>
        <w:rPr>
          <w:i/>
          <w:sz w:val="18"/>
          <w:szCs w:val="18"/>
        </w:rPr>
      </w:pPr>
      <w:r w:rsidRPr="00477C30">
        <w:rPr>
          <w:i/>
          <w:sz w:val="18"/>
          <w:szCs w:val="18"/>
        </w:rPr>
        <w:t>Chemistry</w:t>
      </w:r>
      <w:r w:rsidR="0005709C" w:rsidRPr="00477C30">
        <w:rPr>
          <w:i/>
          <w:sz w:val="18"/>
          <w:szCs w:val="18"/>
        </w:rPr>
        <w:t xml:space="preserve"> &gt; </w:t>
      </w:r>
      <w:r w:rsidR="001B2603" w:rsidRPr="00477C30">
        <w:rPr>
          <w:i/>
          <w:sz w:val="18"/>
          <w:szCs w:val="18"/>
        </w:rPr>
        <w:t xml:space="preserve">Big idea </w:t>
      </w:r>
      <w:r w:rsidR="00DB2434" w:rsidRPr="00477C30">
        <w:rPr>
          <w:i/>
          <w:sz w:val="18"/>
          <w:szCs w:val="18"/>
        </w:rPr>
        <w:t>C</w:t>
      </w:r>
      <w:r w:rsidR="00477C30" w:rsidRPr="00477C30">
        <w:rPr>
          <w:i/>
          <w:sz w:val="18"/>
          <w:szCs w:val="18"/>
        </w:rPr>
        <w:t>SU: Substance</w:t>
      </w:r>
      <w:r w:rsidR="00F34FD0" w:rsidRPr="00477C30">
        <w:rPr>
          <w:i/>
          <w:sz w:val="18"/>
          <w:szCs w:val="18"/>
        </w:rPr>
        <w:t xml:space="preserve"> &gt; </w:t>
      </w:r>
      <w:r w:rsidR="001B2603" w:rsidRPr="00477C30">
        <w:rPr>
          <w:i/>
          <w:sz w:val="18"/>
          <w:szCs w:val="18"/>
        </w:rPr>
        <w:t xml:space="preserve">Topic </w:t>
      </w:r>
      <w:r w:rsidR="00477C30" w:rsidRPr="00477C30">
        <w:rPr>
          <w:i/>
          <w:sz w:val="18"/>
          <w:szCs w:val="18"/>
        </w:rPr>
        <w:t>CSU2: Solubility</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27CF8290" w14:textId="77777777" w:rsidTr="00EF081E">
        <w:trPr>
          <w:trHeight w:val="321"/>
        </w:trPr>
        <w:tc>
          <w:tcPr>
            <w:tcW w:w="16831" w:type="dxa"/>
            <w:shd w:val="clear" w:color="auto" w:fill="FABF8F" w:themeFill="accent6" w:themeFillTint="99"/>
          </w:tcPr>
          <w:p w14:paraId="2532C580"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03546E6D" w14:textId="77777777" w:rsidTr="00EF081E">
        <w:trPr>
          <w:trHeight w:val="362"/>
        </w:trPr>
        <w:tc>
          <w:tcPr>
            <w:tcW w:w="16831" w:type="dxa"/>
            <w:shd w:val="clear" w:color="auto" w:fill="FBD4B4" w:themeFill="accent6" w:themeFillTint="66"/>
          </w:tcPr>
          <w:p w14:paraId="5ED09797" w14:textId="0D7AC270" w:rsidR="006F3279" w:rsidRPr="001413D2" w:rsidRDefault="00477C30" w:rsidP="00F34FD0">
            <w:pPr>
              <w:spacing w:after="60"/>
              <w:ind w:left="1304"/>
              <w:rPr>
                <w:b/>
                <w:color w:val="E36C0A" w:themeColor="accent6" w:themeShade="BF"/>
                <w:sz w:val="40"/>
                <w:szCs w:val="40"/>
              </w:rPr>
            </w:pPr>
            <w:r w:rsidRPr="00477C30">
              <w:rPr>
                <w:b/>
                <w:color w:val="000000" w:themeColor="text1"/>
                <w:sz w:val="40"/>
                <w:szCs w:val="40"/>
              </w:rPr>
              <w:t>CSU2.1: Comparing solubility</w:t>
            </w:r>
          </w:p>
        </w:tc>
      </w:tr>
    </w:tbl>
    <w:p w14:paraId="591CF4A8" w14:textId="77777777" w:rsidR="003A07C6" w:rsidRDefault="003A07C6" w:rsidP="003A07C6">
      <w:pPr>
        <w:rPr>
          <w:b/>
          <w:color w:val="E36C0A" w:themeColor="accent6" w:themeShade="BF"/>
          <w:sz w:val="24"/>
        </w:rPr>
      </w:pPr>
    </w:p>
    <w:p w14:paraId="46E2BF8D"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731684DB" w14:textId="29C3A02C" w:rsidR="00477C30" w:rsidRPr="00DA245A" w:rsidRDefault="00477C30" w:rsidP="00477C30">
      <w:pPr>
        <w:spacing w:after="180"/>
        <w:rPr>
          <w:rFonts w:eastAsia="Times New Roman"/>
        </w:rPr>
      </w:pPr>
      <w:r w:rsidRPr="00DA245A">
        <w:rPr>
          <w:rFonts w:eastAsia="Times New Roman"/>
        </w:rPr>
        <w:t>A big idea in chemistry is that of substances and properties. All materials are made of a single chemical substance or a mixture of substances</w:t>
      </w:r>
      <w:r>
        <w:rPr>
          <w:rFonts w:eastAsia="Times New Roman"/>
        </w:rPr>
        <w:t xml:space="preserve">. </w:t>
      </w:r>
      <w:r w:rsidRPr="00DA245A">
        <w:rPr>
          <w:rFonts w:eastAsia="Times New Roman"/>
        </w:rPr>
        <w:t>Properties of substances may be explained using the big idea of particles and structure.</w:t>
      </w:r>
    </w:p>
    <w:p w14:paraId="14B0FB16"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649D3E5A" w14:textId="06F8A0BF" w:rsidR="003A07C6" w:rsidRPr="00F9779D" w:rsidRDefault="003A07C6" w:rsidP="003A07C6">
      <w:pPr>
        <w:spacing w:after="180"/>
      </w:pPr>
      <w:r>
        <w:t>This key concept develops the big idea by</w:t>
      </w:r>
      <w:r w:rsidR="00477C30">
        <w:t xml:space="preserve"> introducing </w:t>
      </w:r>
      <w:r w:rsidR="00F9779D" w:rsidRPr="00F9779D">
        <w:t>solubility as a distinct property of a substance.</w:t>
      </w:r>
    </w:p>
    <w:p w14:paraId="4C01D99F" w14:textId="35D2EC3B" w:rsidR="00477C30" w:rsidRPr="00F9779D" w:rsidRDefault="00C17716" w:rsidP="001413D2">
      <w:pPr>
        <w:spacing w:after="180"/>
      </w:pPr>
      <w:r w:rsidRPr="00F9779D">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3FA4D9C6" wp14:editId="087D2D09">
            <wp:simplePos x="0" y="0"/>
            <wp:positionH relativeFrom="column">
              <wp:posOffset>3926601</wp:posOffset>
            </wp:positionH>
            <wp:positionV relativeFrom="paragraph">
              <wp:posOffset>564294</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rsidRPr="00F9779D">
        <w:t xml:space="preserve">The conceptual progression starts by checking understanding of </w:t>
      </w:r>
      <w:r w:rsidR="00F9779D" w:rsidRPr="00F9779D">
        <w:t>solubility as being unaffected by stirring or addition of more solvent.</w:t>
      </w:r>
      <w:r w:rsidR="003A07C6" w:rsidRPr="00F9779D">
        <w:t xml:space="preserve"> It </w:t>
      </w:r>
      <w:r w:rsidRPr="00F9779D">
        <w:t xml:space="preserve">then </w:t>
      </w:r>
      <w:r w:rsidR="006F2CAB" w:rsidRPr="00F9779D">
        <w:t>supports the development of</w:t>
      </w:r>
      <w:r w:rsidR="003A07C6" w:rsidRPr="00F9779D">
        <w:t xml:space="preserve"> </w:t>
      </w:r>
      <w:r w:rsidR="007825A1">
        <w:t xml:space="preserve">understanding of </w:t>
      </w:r>
      <w:r w:rsidR="00F9779D" w:rsidRPr="00F9779D">
        <w:t>the effect of temperature on solubility</w:t>
      </w:r>
      <w:r w:rsidR="003A07C6" w:rsidRPr="00F9779D">
        <w:t xml:space="preserve"> in order to enable understanding of </w:t>
      </w:r>
      <w:r w:rsidR="00477C30" w:rsidRPr="00F9779D">
        <w:t>graphical representations of solubility v</w:t>
      </w:r>
      <w:r w:rsidR="007825A1">
        <w:t xml:space="preserve">ersus </w:t>
      </w:r>
      <w:r w:rsidR="00477C30" w:rsidRPr="00F9779D">
        <w:t>temperature.</w:t>
      </w:r>
    </w:p>
    <w:p w14:paraId="366451EA" w14:textId="59EFC993"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41A74F01"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69C182E9"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bookmarkStart w:id="0" w:name="_GoBack"/>
      <w:bookmarkEnd w:id="0"/>
    </w:p>
    <w:p w14:paraId="3FC81051"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7926CDF0" w14:textId="0B557018"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477C30" w:rsidRPr="00477C30">
        <w:rPr>
          <w:b/>
          <w:color w:val="E36C0A" w:themeColor="accent6" w:themeShade="BF"/>
          <w:sz w:val="24"/>
        </w:rPr>
        <w:t>Comparing solubility</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010A0FA1"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60B75A36"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750CA45A" w14:textId="4DEE1D12" w:rsidR="00F928E4" w:rsidRPr="006229D7" w:rsidRDefault="00477C30" w:rsidP="00E76774">
            <w:pPr>
              <w:jc w:val="center"/>
              <w:rPr>
                <w:rFonts w:ascii="Calibri" w:eastAsia="Calibri" w:hAnsi="Calibri" w:cs="Calibri"/>
                <w:sz w:val="24"/>
                <w:szCs w:val="20"/>
              </w:rPr>
            </w:pPr>
            <w:r w:rsidRPr="00D15EDE">
              <w:rPr>
                <w:rFonts w:cstheme="minorHAnsi"/>
                <w:sz w:val="24"/>
                <w:szCs w:val="20"/>
              </w:rPr>
              <w:t>Solubility is a property of a substance that varies with temperature.</w:t>
            </w:r>
          </w:p>
        </w:tc>
      </w:tr>
      <w:tr w:rsidR="00F928E4" w:rsidRPr="006229D7" w14:paraId="4ADB1DB7"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7A063B92"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C28570F"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2A0CBF8"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DBDA3B0"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F3D726D"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635B911E" w14:textId="77777777" w:rsidR="00F928E4" w:rsidRPr="006229D7" w:rsidRDefault="00F928E4" w:rsidP="00E76774">
            <w:pPr>
              <w:jc w:val="center"/>
              <w:rPr>
                <w:rFonts w:ascii="Calibri" w:eastAsia="Calibri" w:hAnsi="Calibri" w:cs="Calibri"/>
                <w:sz w:val="2"/>
                <w:szCs w:val="2"/>
              </w:rPr>
            </w:pPr>
          </w:p>
        </w:tc>
      </w:tr>
      <w:tr w:rsidR="00F928E4" w:rsidRPr="006229D7" w14:paraId="1F1B412E"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530FCBF2"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200FF448"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08DD5214" wp14:editId="2DA277A6">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06B135BA"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8DD5214"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06B135BA"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347BD7" w:rsidRPr="006229D7" w14:paraId="28248173" w14:textId="77777777" w:rsidTr="00031662">
        <w:trPr>
          <w:trHeight w:val="631"/>
        </w:trPr>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73A03F13" w14:textId="77777777" w:rsidR="00347BD7" w:rsidRPr="006229D7" w:rsidRDefault="00347BD7" w:rsidP="00347BD7">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4BD20312" w14:textId="51335D76" w:rsidR="00347BD7" w:rsidRDefault="00347BD7" w:rsidP="00347BD7">
            <w:pPr>
              <w:rPr>
                <w:rFonts w:cstheme="minorHAnsi"/>
                <w:sz w:val="20"/>
                <w:szCs w:val="20"/>
              </w:rPr>
            </w:pPr>
            <w:r w:rsidRPr="00031662">
              <w:rPr>
                <w:rFonts w:cstheme="minorHAnsi"/>
                <w:sz w:val="20"/>
                <w:szCs w:val="20"/>
              </w:rPr>
              <w:t xml:space="preserve">Recognise that stirring does not </w:t>
            </w:r>
            <w:r>
              <w:rPr>
                <w:rFonts w:cstheme="minorHAnsi"/>
                <w:sz w:val="20"/>
                <w:szCs w:val="20"/>
              </w:rPr>
              <w:t xml:space="preserve">affect the </w:t>
            </w:r>
            <w:r w:rsidR="00816A23">
              <w:rPr>
                <w:rFonts w:cstheme="minorHAnsi"/>
                <w:sz w:val="20"/>
                <w:szCs w:val="20"/>
              </w:rPr>
              <w:t>solubility of a substance.</w:t>
            </w:r>
          </w:p>
          <w:p w14:paraId="3A955D2C" w14:textId="77777777" w:rsidR="00816A23" w:rsidRDefault="00816A23" w:rsidP="00347BD7">
            <w:pPr>
              <w:rPr>
                <w:rFonts w:cstheme="minorHAnsi"/>
                <w:sz w:val="20"/>
                <w:szCs w:val="20"/>
              </w:rPr>
            </w:pPr>
          </w:p>
          <w:p w14:paraId="61015947" w14:textId="4A28DF31" w:rsidR="008119AD" w:rsidRPr="00E675A8" w:rsidRDefault="008119AD" w:rsidP="00347BD7">
            <w:pPr>
              <w:rPr>
                <w:rFonts w:cstheme="minorHAnsi"/>
                <w:sz w:val="20"/>
                <w:szCs w:val="20"/>
              </w:rPr>
            </w:pPr>
            <w:r w:rsidRPr="006229D7">
              <w:rPr>
                <w:rFonts w:ascii="Calibri" w:eastAsia="Calibri" w:hAnsi="Calibri"/>
                <w:noProof/>
                <w:sz w:val="20"/>
                <w:lang w:eastAsia="en-GB"/>
              </w:rPr>
              <mc:AlternateContent>
                <mc:Choice Requires="wps">
                  <w:drawing>
                    <wp:inline distT="0" distB="0" distL="0" distR="0" wp14:anchorId="1D0727E8" wp14:editId="36929F3C">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1D224A5C" w14:textId="77777777" w:rsidR="008119AD" w:rsidRPr="006229D7" w:rsidRDefault="008119AD" w:rsidP="008119AD">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0727E8" id="Text Box 2"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" fillcolor="#e46c0a" stroked="f" strokeweight=".5pt">
                      <v:textbox style="mso-fit-shape-to-text:t" inset="1mm,1mm,1mm,1mm">
                        <w:txbxContent>
                          <w:p w14:paraId="1D224A5C" w14:textId="77777777" w:rsidR="008119AD" w:rsidRPr="006229D7" w:rsidRDefault="008119AD" w:rsidP="008119AD">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28189D71" w14:textId="02611CC5" w:rsidR="00347BD7" w:rsidRPr="00031662" w:rsidRDefault="00347BD7" w:rsidP="00347BD7">
            <w:pPr>
              <w:rPr>
                <w:rFonts w:cstheme="minorHAnsi"/>
                <w:sz w:val="20"/>
                <w:szCs w:val="20"/>
              </w:rPr>
            </w:pPr>
            <w:r>
              <w:rPr>
                <w:rFonts w:cstheme="minorHAnsi"/>
                <w:sz w:val="20"/>
                <w:szCs w:val="20"/>
              </w:rPr>
              <w:t>Recognise that increasing the volume of solvent does not increase the solubility of a substance.</w:t>
            </w:r>
          </w:p>
          <w:p w14:paraId="0BCAE00C" w14:textId="0A7EBF3F" w:rsidR="00347BD7" w:rsidRPr="00E675A8" w:rsidRDefault="00347BD7" w:rsidP="00347BD7">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0101EB61" w14:textId="695BCA95" w:rsidR="00347BD7" w:rsidRPr="00031662" w:rsidRDefault="00347BD7" w:rsidP="00347BD7">
            <w:pPr>
              <w:spacing w:after="120"/>
              <w:rPr>
                <w:rFonts w:cstheme="minorHAnsi"/>
                <w:sz w:val="20"/>
                <w:szCs w:val="20"/>
                <w:highlight w:val="yellow"/>
              </w:rPr>
            </w:pPr>
            <w:r w:rsidRPr="00347BD7">
              <w:rPr>
                <w:rFonts w:cstheme="minorHAnsi"/>
                <w:sz w:val="20"/>
                <w:szCs w:val="20"/>
              </w:rPr>
              <w:t>Use data to predict observations of 100 cm</w:t>
            </w:r>
            <w:r w:rsidRPr="00816A23">
              <w:rPr>
                <w:rFonts w:cstheme="minorHAnsi"/>
                <w:sz w:val="20"/>
                <w:szCs w:val="20"/>
                <w:vertAlign w:val="superscript"/>
              </w:rPr>
              <w:t>3</w:t>
            </w:r>
            <w:r w:rsidRPr="00347BD7">
              <w:rPr>
                <w:rFonts w:cstheme="minorHAnsi"/>
                <w:sz w:val="20"/>
                <w:szCs w:val="20"/>
              </w:rPr>
              <w:t xml:space="preserve"> of solution where the mass of solute is above, below or equal to the solubility</w:t>
            </w:r>
            <w:r w:rsidR="00EB438B">
              <w:rPr>
                <w:rFonts w:cstheme="minorHAnsi"/>
                <w:sz w:val="20"/>
                <w:szCs w:val="20"/>
              </w:rPr>
              <w:t>.</w:t>
            </w:r>
          </w:p>
        </w:tc>
        <w:tc>
          <w:tcPr>
            <w:tcW w:w="2439" w:type="dxa"/>
            <w:tcBorders>
              <w:top w:val="nil"/>
              <w:left w:val="dashed" w:sz="4" w:space="0" w:color="E36C0A"/>
              <w:bottom w:val="single" w:sz="8" w:space="0" w:color="E36C0A"/>
              <w:right w:val="dashed" w:sz="4" w:space="0" w:color="E36C0A"/>
            </w:tcBorders>
          </w:tcPr>
          <w:p w14:paraId="64AC5A9D" w14:textId="739CC064" w:rsidR="00347BD7" w:rsidRDefault="00347BD7" w:rsidP="00347BD7">
            <w:pPr>
              <w:spacing w:after="120"/>
              <w:rPr>
                <w:rFonts w:cstheme="minorHAnsi"/>
                <w:sz w:val="20"/>
                <w:szCs w:val="20"/>
              </w:rPr>
            </w:pPr>
            <w:r w:rsidRPr="00A1530B">
              <w:rPr>
                <w:rFonts w:cstheme="minorHAnsi"/>
                <w:sz w:val="20"/>
                <w:szCs w:val="20"/>
              </w:rPr>
              <w:t>Predict observable changes following</w:t>
            </w:r>
            <w:r>
              <w:rPr>
                <w:rFonts w:cstheme="minorHAnsi"/>
                <w:sz w:val="20"/>
                <w:szCs w:val="20"/>
              </w:rPr>
              <w:t xml:space="preserve"> the</w:t>
            </w:r>
            <w:r w:rsidRPr="00A1530B">
              <w:rPr>
                <w:rFonts w:cstheme="minorHAnsi"/>
                <w:sz w:val="20"/>
                <w:szCs w:val="20"/>
              </w:rPr>
              <w:t xml:space="preserve"> cooling of a saturated solution.</w:t>
            </w:r>
          </w:p>
          <w:p w14:paraId="41AF9280" w14:textId="431D223C" w:rsidR="00347BD7" w:rsidRPr="00E675A8" w:rsidRDefault="00347BD7" w:rsidP="00347BD7">
            <w:pPr>
              <w:spacing w:after="120"/>
              <w:rPr>
                <w:rFonts w:cstheme="minorHAnsi"/>
                <w:sz w:val="20"/>
                <w:szCs w:val="20"/>
              </w:rPr>
            </w:pPr>
          </w:p>
        </w:tc>
        <w:tc>
          <w:tcPr>
            <w:tcW w:w="2439" w:type="dxa"/>
            <w:tcBorders>
              <w:top w:val="nil"/>
              <w:left w:val="dashed" w:sz="4" w:space="0" w:color="E36C0A"/>
              <w:bottom w:val="single" w:sz="8" w:space="0" w:color="E36C0A"/>
              <w:right w:val="single" w:sz="8" w:space="0" w:color="E36C0A"/>
            </w:tcBorders>
          </w:tcPr>
          <w:p w14:paraId="53601578" w14:textId="1A4EA6F5" w:rsidR="00347BD7" w:rsidRPr="000A4D1F" w:rsidRDefault="008119AD" w:rsidP="00347BD7">
            <w:pPr>
              <w:pStyle w:val="NoSpacing"/>
              <w:rPr>
                <w:rFonts w:asciiTheme="minorHAnsi" w:hAnsiTheme="minorHAnsi" w:cstheme="minorHAnsi"/>
                <w:sz w:val="20"/>
                <w:szCs w:val="20"/>
              </w:rPr>
            </w:pPr>
            <w:r w:rsidRPr="008119AD">
              <w:rPr>
                <w:rFonts w:asciiTheme="minorHAnsi" w:hAnsiTheme="minorHAnsi" w:cstheme="minorHAnsi"/>
                <w:sz w:val="20"/>
                <w:szCs w:val="20"/>
              </w:rPr>
              <w:t>Link points on a solubility graph to macroscopic observations.</w:t>
            </w:r>
          </w:p>
        </w:tc>
      </w:tr>
      <w:tr w:rsidR="00347BD7" w:rsidRPr="006229D7" w14:paraId="7DFA7134" w14:textId="77777777" w:rsidTr="00EB438B">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1B86DEFD" w14:textId="77777777" w:rsidR="00347BD7" w:rsidRPr="006229D7" w:rsidRDefault="00347BD7" w:rsidP="00347BD7">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0254AF5"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1B95193"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D7B5390"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F418904"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60321FCA" w14:textId="77777777" w:rsidR="00347BD7" w:rsidRPr="006229D7" w:rsidRDefault="00347BD7" w:rsidP="00347BD7">
            <w:pPr>
              <w:jc w:val="center"/>
              <w:rPr>
                <w:rFonts w:ascii="Calibri" w:eastAsia="Calibri" w:hAnsi="Calibri" w:cs="Calibri"/>
                <w:sz w:val="20"/>
                <w:szCs w:val="20"/>
              </w:rPr>
            </w:pPr>
          </w:p>
        </w:tc>
      </w:tr>
      <w:tr w:rsidR="00347BD7" w:rsidRPr="006229D7" w14:paraId="66557183" w14:textId="77777777" w:rsidTr="00EB438B">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0BD5DC84" w14:textId="77777777" w:rsidR="00347BD7" w:rsidRPr="006229D7" w:rsidRDefault="00347BD7" w:rsidP="00347BD7">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6797AE9" w14:textId="5BB7E274"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 xml:space="preserve">Stirring </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D6D1703" w14:textId="1D28B6F0"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Adding water</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D1883CF" w14:textId="147B7162"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Warming up</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085A578" w14:textId="33AA921B" w:rsidR="00347BD7" w:rsidRPr="00347BD7" w:rsidRDefault="00347BD7" w:rsidP="00347BD7">
            <w:pPr>
              <w:jc w:val="center"/>
              <w:rPr>
                <w:rFonts w:ascii="Calibri" w:eastAsia="Calibri" w:hAnsi="Calibri" w:cs="Calibri"/>
                <w:sz w:val="20"/>
                <w:szCs w:val="20"/>
              </w:rPr>
            </w:pPr>
            <w:r w:rsidRPr="00347BD7">
              <w:rPr>
                <w:rFonts w:ascii="Calibri" w:eastAsia="Calibri" w:hAnsi="Calibri" w:cs="Calibri"/>
                <w:sz w:val="20"/>
                <w:szCs w:val="20"/>
              </w:rPr>
              <w:t>Cooling down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229BD72" w14:textId="3286D02B" w:rsidR="00347BD7" w:rsidRPr="006229D7" w:rsidRDefault="008119AD" w:rsidP="00347BD7">
            <w:pPr>
              <w:jc w:val="center"/>
              <w:rPr>
                <w:rFonts w:ascii="Calibri" w:eastAsia="Calibri" w:hAnsi="Calibri" w:cs="Calibri"/>
                <w:sz w:val="20"/>
                <w:szCs w:val="20"/>
              </w:rPr>
            </w:pPr>
            <w:r>
              <w:rPr>
                <w:rFonts w:ascii="Calibri" w:eastAsia="Calibri" w:hAnsi="Calibri" w:cs="Calibri"/>
                <w:sz w:val="20"/>
                <w:szCs w:val="20"/>
              </w:rPr>
              <w:t>Solubility graph</w:t>
            </w:r>
          </w:p>
        </w:tc>
      </w:tr>
      <w:tr w:rsidR="00347BD7" w:rsidRPr="006229D7" w14:paraId="71015AD2" w14:textId="77777777" w:rsidTr="00EB438B">
        <w:trPr>
          <w:trHeight w:hRule="exact" w:val="57"/>
        </w:trPr>
        <w:tc>
          <w:tcPr>
            <w:tcW w:w="1545" w:type="dxa"/>
            <w:tcBorders>
              <w:top w:val="single" w:sz="8" w:space="0" w:color="E36C0A"/>
              <w:left w:val="single" w:sz="8" w:space="0" w:color="E36C0A"/>
              <w:bottom w:val="single" w:sz="8" w:space="0" w:color="E36C0A" w:themeColor="accent6" w:themeShade="BF"/>
              <w:right w:val="nil"/>
            </w:tcBorders>
            <w:shd w:val="clear" w:color="auto" w:fill="auto"/>
            <w:tcMar>
              <w:top w:w="0" w:type="dxa"/>
              <w:left w:w="0" w:type="dxa"/>
              <w:bottom w:w="0" w:type="dxa"/>
              <w:right w:w="0" w:type="dxa"/>
            </w:tcMar>
          </w:tcPr>
          <w:p w14:paraId="3E862B0B" w14:textId="77777777" w:rsidR="00347BD7" w:rsidRPr="006229D7" w:rsidRDefault="00347BD7" w:rsidP="00347BD7">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C2E17DE"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tcMar>
              <w:top w:w="0" w:type="dxa"/>
              <w:left w:w="0" w:type="dxa"/>
              <w:bottom w:w="0" w:type="dxa"/>
              <w:right w:w="0" w:type="dxa"/>
            </w:tcMar>
            <w:vAlign w:val="center"/>
          </w:tcPr>
          <w:p w14:paraId="4F567571"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tcMar>
              <w:top w:w="0" w:type="dxa"/>
              <w:left w:w="0" w:type="dxa"/>
              <w:bottom w:w="0" w:type="dxa"/>
              <w:right w:w="0" w:type="dxa"/>
            </w:tcMar>
            <w:vAlign w:val="center"/>
          </w:tcPr>
          <w:p w14:paraId="42E44911"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tcMar>
              <w:top w:w="0" w:type="dxa"/>
              <w:left w:w="0" w:type="dxa"/>
              <w:bottom w:w="0" w:type="dxa"/>
              <w:right w:w="0" w:type="dxa"/>
            </w:tcMar>
            <w:vAlign w:val="center"/>
          </w:tcPr>
          <w:p w14:paraId="4AD3E2EC" w14:textId="77777777" w:rsidR="00347BD7" w:rsidRPr="006229D7" w:rsidRDefault="00347BD7" w:rsidP="00347BD7">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tcMar>
              <w:top w:w="0" w:type="dxa"/>
              <w:left w:w="0" w:type="dxa"/>
              <w:bottom w:w="0" w:type="dxa"/>
              <w:right w:w="0" w:type="dxa"/>
            </w:tcMar>
            <w:vAlign w:val="center"/>
          </w:tcPr>
          <w:p w14:paraId="3DB55818" w14:textId="77777777" w:rsidR="00347BD7" w:rsidRPr="006229D7" w:rsidRDefault="00347BD7" w:rsidP="00347BD7">
            <w:pPr>
              <w:jc w:val="center"/>
              <w:rPr>
                <w:rFonts w:ascii="Calibri" w:eastAsia="Calibri" w:hAnsi="Calibri" w:cs="Calibri"/>
                <w:sz w:val="20"/>
                <w:szCs w:val="20"/>
              </w:rPr>
            </w:pPr>
          </w:p>
        </w:tc>
      </w:tr>
      <w:tr w:rsidR="00347BD7" w:rsidRPr="006229D7" w14:paraId="087A7A5A" w14:textId="77777777" w:rsidTr="00EB438B">
        <w:trPr>
          <w:trHeight w:val="340"/>
        </w:trPr>
        <w:tc>
          <w:tcPr>
            <w:tcW w:w="1545" w:type="dxa"/>
            <w:tcBorders>
              <w:top w:val="single" w:sz="8" w:space="0" w:color="E36C0A" w:themeColor="accent6" w:themeShade="BF"/>
              <w:left w:val="single" w:sz="8" w:space="0" w:color="E36C0A"/>
              <w:bottom w:val="single" w:sz="8" w:space="0" w:color="E36C0A"/>
              <w:right w:val="single" w:sz="8" w:space="0" w:color="E36C0A"/>
            </w:tcBorders>
            <w:shd w:val="clear" w:color="auto" w:fill="E36C0A"/>
          </w:tcPr>
          <w:p w14:paraId="3A23FF09" w14:textId="77777777" w:rsidR="00347BD7" w:rsidRPr="006229D7" w:rsidRDefault="00347BD7" w:rsidP="00347BD7">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08E9E85A" w14:textId="11FBBD3D" w:rsidR="00347BD7" w:rsidRPr="006229D7" w:rsidRDefault="00347BD7" w:rsidP="00347BD7">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0837148" w14:textId="019783C9"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Blue crystals (CPS2.1)</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D9D8D8E" w14:textId="3240F118"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Undissolved salt</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04C557B" w14:textId="202318AA"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Copper sulfate data</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B7821CE" w14:textId="3DA7BD5F" w:rsidR="00347BD7" w:rsidRPr="006229D7" w:rsidRDefault="00347BD7" w:rsidP="00347BD7">
            <w:pPr>
              <w:jc w:val="center"/>
              <w:rPr>
                <w:rFonts w:ascii="Calibri" w:eastAsia="Calibri" w:hAnsi="Calibri" w:cs="Calibri"/>
                <w:sz w:val="20"/>
                <w:szCs w:val="20"/>
              </w:rPr>
            </w:pPr>
            <w:r>
              <w:rPr>
                <w:rFonts w:ascii="Calibri" w:eastAsia="Calibri" w:hAnsi="Calibri" w:cs="Calibri"/>
                <w:sz w:val="20"/>
                <w:szCs w:val="20"/>
              </w:rPr>
              <w:t>Warming up and cooling down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5AB5B8AC" w14:textId="0A8F8F70" w:rsidR="00347BD7" w:rsidRPr="006229D7" w:rsidRDefault="008119AD" w:rsidP="00347BD7">
            <w:pPr>
              <w:jc w:val="center"/>
              <w:rPr>
                <w:rFonts w:ascii="Calibri" w:eastAsia="Calibri" w:hAnsi="Calibri" w:cs="Calibri"/>
                <w:sz w:val="20"/>
                <w:szCs w:val="20"/>
              </w:rPr>
            </w:pPr>
            <w:r>
              <w:rPr>
                <w:rFonts w:ascii="Calibri" w:eastAsia="Calibri" w:hAnsi="Calibri" w:cs="Calibri"/>
                <w:sz w:val="20"/>
                <w:szCs w:val="20"/>
              </w:rPr>
              <w:t>Solubility curve</w:t>
            </w:r>
          </w:p>
        </w:tc>
      </w:tr>
    </w:tbl>
    <w:p w14:paraId="5DB47655"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F928E4" w:rsidRPr="006229D7" w14:paraId="1807E2B3" w14:textId="77777777" w:rsidTr="00E76774">
        <w:tc>
          <w:tcPr>
            <w:tcW w:w="10361" w:type="dxa"/>
            <w:gridSpan w:val="4"/>
          </w:tcPr>
          <w:p w14:paraId="6F2C7816"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1497C8AF" w14:textId="77777777" w:rsidTr="00E76774">
        <w:tc>
          <w:tcPr>
            <w:tcW w:w="438" w:type="dxa"/>
            <w:vAlign w:val="center"/>
          </w:tcPr>
          <w:p w14:paraId="0190A680" w14:textId="5C2E9569" w:rsidR="00F928E4" w:rsidRPr="006229D7" w:rsidRDefault="000949DD"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0226C42D" wp14:editId="24409C76">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4B38C6C7" w14:textId="77777777" w:rsidR="000949DD" w:rsidRPr="006229D7" w:rsidRDefault="000949DD" w:rsidP="000949DD">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26C42D" id="Text Box 24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" fillcolor="#e46c0a" stroked="f" strokeweight=".5pt">
                      <v:textbox style="mso-fit-shape-to-text:t" inset="1mm,1mm,1mm,1mm">
                        <w:txbxContent>
                          <w:p w14:paraId="4B38C6C7" w14:textId="77777777" w:rsidR="000949DD" w:rsidRPr="006229D7" w:rsidRDefault="000949DD" w:rsidP="000949DD">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25503C31"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1221E66B" w14:textId="2DC3E803" w:rsidR="00F928E4" w:rsidRPr="006229D7" w:rsidRDefault="00F928E4" w:rsidP="00E76774">
            <w:pPr>
              <w:jc w:val="center"/>
              <w:rPr>
                <w:rFonts w:ascii="Calibri" w:eastAsia="Calibri" w:hAnsi="Calibri"/>
                <w:sz w:val="20"/>
              </w:rPr>
            </w:pPr>
          </w:p>
        </w:tc>
        <w:tc>
          <w:tcPr>
            <w:tcW w:w="4407" w:type="dxa"/>
            <w:vAlign w:val="center"/>
          </w:tcPr>
          <w:p w14:paraId="399141D8" w14:textId="262792BB" w:rsidR="00F928E4" w:rsidRPr="006229D7" w:rsidRDefault="00F928E4" w:rsidP="00E76774">
            <w:pPr>
              <w:rPr>
                <w:rFonts w:ascii="Calibri" w:eastAsia="Calibri" w:hAnsi="Calibri"/>
                <w:sz w:val="20"/>
              </w:rPr>
            </w:pPr>
          </w:p>
        </w:tc>
      </w:tr>
    </w:tbl>
    <w:p w14:paraId="1DFAAF34" w14:textId="77777777" w:rsidR="00F928E4" w:rsidRPr="00F928E4" w:rsidRDefault="00D43788" w:rsidP="00F928E4">
      <w:pPr>
        <w:spacing w:after="200" w:line="276" w:lineRule="auto"/>
      </w:pPr>
      <w:r>
        <w:br w:type="page"/>
      </w:r>
    </w:p>
    <w:p w14:paraId="4F2680F2"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0D7AAE27" w14:textId="77777777" w:rsidR="00F9779D" w:rsidRDefault="00F9779D" w:rsidP="00F9779D">
      <w:pPr>
        <w:spacing w:after="180"/>
      </w:pPr>
      <w:r>
        <w:t xml:space="preserve">There is a maximum mass of a substance (solute) that will dissolve in any given volume of solvent.  A solution in which no more solute will dissolve is called a saturated solution. </w:t>
      </w:r>
    </w:p>
    <w:p w14:paraId="2C6EFB8E" w14:textId="00E37F10" w:rsidR="00F9779D" w:rsidRPr="0091006D" w:rsidRDefault="00F9779D" w:rsidP="00F9779D">
      <w:pPr>
        <w:spacing w:after="180"/>
      </w:pPr>
      <w:r>
        <w:t>Solubility can change with temperature therefore the solubility of a particular substance is defined at a specific temperature.</w:t>
      </w:r>
      <w:r w:rsidR="00E4058A">
        <w:t xml:space="preserve"> </w:t>
      </w:r>
      <w:r>
        <w:t>Graphical data on solubility can be used to predict macroscopic observations of solutions in terms of whether the solute will appear fully dissolved.</w:t>
      </w:r>
    </w:p>
    <w:p w14:paraId="57E18898"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45188DC1" w14:textId="5F2BD316" w:rsidR="001B62F1" w:rsidRDefault="00FC505F" w:rsidP="00FB1FF6">
      <w:pPr>
        <w:spacing w:after="180"/>
      </w:pPr>
      <w:r>
        <w:t xml:space="preserve">Research </w:t>
      </w:r>
      <w:r>
        <w:fldChar w:fldCharType="begin"/>
      </w:r>
      <w:r w:rsidR="005E6800">
        <w:instrText xml:space="preserve"> ADDIN EN.CITE &lt;EndNote&gt;&lt;Cite&gt;&lt;Author&gt;Ç al ý k&lt;/Author&gt;&lt;Year&gt;2005&lt;/Year&gt;&lt;IDText&gt;A review of solution chemistry studies: Insights into students&amp;apos; conceptions&lt;/IDText&gt;&lt;DisplayText&gt;(Ç al ý k, Ayas and Ebenezer, 2005)&lt;/DisplayText&gt;&lt;record&gt;&lt;titles&gt;&lt;title&gt;A review of solution chemistry studies: Insights into students&amp;apos; conceptions&lt;/title&gt;&lt;secondary-title&gt;Journal of Science Education and Technology&lt;/secondary-title&gt;&lt;/titles&gt;&lt;pages&gt;29-50&lt;/pages&gt;&lt;number&gt;1&lt;/number&gt;&lt;contributors&gt;&lt;authors&gt;&lt;author&gt;Ç al ý k, Muammer&lt;/author&gt;&lt;author&gt;Ayas, Alipa ş a&lt;/author&gt;&lt;author&gt;Ebenezer, Jazlin V.&lt;/author&gt;&lt;/authors&gt;&lt;/contributors&gt;&lt;added-date format="utc"&gt;1547813973&lt;/added-date&gt;&lt;ref-type name="Journal Article"&gt;17&lt;/ref-type&gt;&lt;dates&gt;&lt;year&gt;2005&lt;/year&gt;&lt;/dates&gt;&lt;rec-number&gt;37&lt;/rec-number&gt;&lt;last-updated-date format="utc"&gt;1547814234&lt;/last-updated-date&gt;&lt;volume&gt;14&lt;/volume&gt;&lt;/record&gt;&lt;/Cite&gt;&lt;/EndNote&gt;</w:instrText>
      </w:r>
      <w:r>
        <w:fldChar w:fldCharType="separate"/>
      </w:r>
      <w:r w:rsidR="005E6800">
        <w:rPr>
          <w:noProof/>
        </w:rPr>
        <w:t>(Çalýk, Ayas and Ebenezer, 2005)</w:t>
      </w:r>
      <w:r>
        <w:fldChar w:fldCharType="end"/>
      </w:r>
      <w:r>
        <w:t xml:space="preserve"> found that everyday experiences can influence student understanding o</w:t>
      </w:r>
      <w:r w:rsidR="00816A23">
        <w:t>f</w:t>
      </w:r>
      <w:r>
        <w:t xml:space="preserve"> dissolving. Misunderstandings about what can affect the mass of a solute that dissolves have implications for understanding of solubility. For example, one research project </w:t>
      </w:r>
      <w:r>
        <w:fldChar w:fldCharType="begin"/>
      </w:r>
      <w:r>
        <w:instrText xml:space="preserve"> ADDIN EN.CITE &lt;EndNote&gt;&lt;Cite&gt;&lt;Author&gt;Adadan&lt;/Author&gt;&lt;Year&gt;2012&lt;/Year&gt;&lt;IDText&gt;An analysis of 16 to 17 year old students&amp;apos; understanding of solution chemistry concepts using a two-tier diagnostic instrument&lt;/IDText&gt;&lt;DisplayText&gt;(Adadan and Savasci, 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format="utc"&gt;1548174240&lt;/last-updated-date&gt;&lt;volume&gt;34&lt;/volume&gt;&lt;/record&gt;&lt;/Cite&gt;&lt;/EndNote&gt;</w:instrText>
      </w:r>
      <w:r>
        <w:fldChar w:fldCharType="separate"/>
      </w:r>
      <w:r>
        <w:rPr>
          <w:noProof/>
        </w:rPr>
        <w:t>(Adadan and Savasci, 2012)</w:t>
      </w:r>
      <w:r>
        <w:fldChar w:fldCharType="end"/>
      </w:r>
      <w:r>
        <w:t xml:space="preserve"> found that some students thought that mixing increased solubility. In fact, mixing increases how fast the solute dissolves but not how much. Another finding of the project was that some students considered an increase in the volume of water to result in an increase in solubility of a substance. This </w:t>
      </w:r>
      <w:r w:rsidR="00816A23">
        <w:t xml:space="preserve">suggests </w:t>
      </w:r>
      <w:r w:rsidR="001B62F1">
        <w:t>confusion between the amount (mass) of solute that dissolves and its solubility. If the volume increases the mass of solute that dissolves will also increase but solubility remains the same.</w:t>
      </w:r>
    </w:p>
    <w:p w14:paraId="775A990E" w14:textId="2EDD75FD" w:rsidR="007E6A8B" w:rsidRDefault="007E6A8B" w:rsidP="00FB1FF6">
      <w:pPr>
        <w:spacing w:after="180"/>
      </w:pPr>
      <w:r>
        <w:t xml:space="preserve">Research </w:t>
      </w:r>
      <w:r>
        <w:fldChar w:fldCharType="begin"/>
      </w:r>
      <w:r>
        <w:instrText xml:space="preserve"> ADDIN EN.CITE &lt;EndNote&gt;&lt;Cite&gt;&lt;Author&gt;Uzuntiryaki&lt;/Author&gt;&lt;Year&gt;2005&lt;/Year&gt;&lt;IDText&gt;Effect of conceptual change approach accompanied with concept mapping on understanding of solution concepts&lt;/IDText&gt;&lt;DisplayText&gt;(Uzuntiryaki and Geban, 2005)&lt;/DisplayText&gt;&lt;record&gt;&lt;titles&gt;&lt;title&gt;Effect of conceptual change approach accompanied with concept mapping on understanding of solution concepts&lt;/title&gt;&lt;secondary-title&gt;Instructional Science&lt;/secondary-title&gt;&lt;/titles&gt;&lt;pages&gt;311-339&lt;/pages&gt;&lt;contributors&gt;&lt;authors&gt;&lt;author&gt;Uzuntiryaki, E&lt;/author&gt;&lt;author&gt;Geban, O&lt;/author&gt;&lt;/authors&gt;&lt;/contributors&gt;&lt;added-date format="utc"&gt;1548174284&lt;/added-date&gt;&lt;ref-type name="Journal Article"&gt;17&lt;/ref-type&gt;&lt;dates&gt;&lt;year&gt;2005&lt;/year&gt;&lt;/dates&gt;&lt;rec-number&gt;39&lt;/rec-number&gt;&lt;last-updated-date format="utc"&gt;1548174347&lt;/last-updated-date&gt;&lt;volume&gt;33&lt;/volume&gt;&lt;/record&gt;&lt;/Cite&gt;&lt;/EndNote&gt;</w:instrText>
      </w:r>
      <w:r>
        <w:fldChar w:fldCharType="separate"/>
      </w:r>
      <w:r>
        <w:rPr>
          <w:noProof/>
        </w:rPr>
        <w:t>(Uzuntiryaki and Geban, 2005)</w:t>
      </w:r>
      <w:r>
        <w:fldChar w:fldCharType="end"/>
      </w:r>
      <w:r>
        <w:t xml:space="preserve"> also found that some students had misunderstandings </w:t>
      </w:r>
      <w:r w:rsidR="00816A23">
        <w:t>about</w:t>
      </w:r>
      <w:r>
        <w:t xml:space="preserve"> the link between the mass of solute that dissolves and temperature. They considered, that once a solution had been warmed, and all the solute had dissolved, this solute would remain dissolved as the solution cooled. They appeared unaware that a solute could recrystallise.</w:t>
      </w:r>
    </w:p>
    <w:p w14:paraId="6482ECDE" w14:textId="01043A6A" w:rsidR="005E6800" w:rsidRDefault="005E6800" w:rsidP="00FB1FF6">
      <w:pPr>
        <w:spacing w:after="180"/>
      </w:pPr>
      <w:r>
        <w:t xml:space="preserve">A further research paper </w:t>
      </w:r>
      <w:r>
        <w:fldChar w:fldCharType="begin"/>
      </w:r>
      <w:r>
        <w:instrText xml:space="preserve"> ADDIN EN.CITE &lt;EndNote&gt;&lt;Cite&gt;&lt;Author&gt;Gültepe&lt;/Author&gt;&lt;Year&gt;2016&lt;/Year&gt;&lt;IDText&gt;Reflections on high school students&amp;apos; graphing skills and their conceptual understanding of drawing chemistry graphs&lt;/IDText&gt;&lt;DisplayText&gt;(Gültepe, 2016)&lt;/DisplayText&gt;&lt;record&gt;&lt;titles&gt;&lt;title&gt;Reflections on high school students&amp;apos; graphing skills and their conceptual understanding of drawing chemistry graphs&lt;/title&gt;&lt;secondary-title&gt;Educational sciences: Theory and practice&lt;/secondary-title&gt;&lt;/titles&gt;&lt;pages&gt;53-81&lt;/pages&gt;&lt;contributors&gt;&lt;authors&gt;&lt;author&gt;Gültepe, Nejla&lt;/author&gt;&lt;/authors&gt;&lt;/contributors&gt;&lt;added-date format="utc"&gt;1548241865&lt;/added-date&gt;&lt;ref-type name="Journal Article"&gt;17&lt;/ref-type&gt;&lt;dates&gt;&lt;year&gt;2016&lt;/year&gt;&lt;/dates&gt;&lt;rec-number&gt;40&lt;/rec-number&gt;&lt;last-updated-date format="utc"&gt;1548242156&lt;/last-updated-date&gt;&lt;volume&gt;16&lt;/volume&gt;&lt;/record&gt;&lt;/Cite&gt;&lt;/EndNote&gt;</w:instrText>
      </w:r>
      <w:r>
        <w:fldChar w:fldCharType="separate"/>
      </w:r>
      <w:r>
        <w:rPr>
          <w:noProof/>
        </w:rPr>
        <w:t>(Gültepe, 2016)</w:t>
      </w:r>
      <w:r>
        <w:fldChar w:fldCharType="end"/>
      </w:r>
      <w:r>
        <w:t xml:space="preserve"> reports findings relating to students’ ability to interpret graphs in chemistry. In addition to requiring appropriate mathematical understanding the study found that a conceptual understanding of the related chemistry concepts was also important. Adadan and Savasci </w:t>
      </w:r>
      <w:r>
        <w:fldChar w:fldCharType="begin"/>
      </w:r>
      <w:r>
        <w:instrText xml:space="preserve"> ADDIN EN.CITE &lt;EndNote&gt;&lt;Cite ExcludeAuth="1"&gt;&lt;Author&gt;Adadan&lt;/Author&gt;&lt;Year&gt;2012&lt;/Year&gt;&lt;IDText&gt;An analysis of 16 to 17 year old students&amp;apos; understanding of solution chemistry concepts using a two-tier diagnostic instrument&lt;/IDText&gt;&lt;DisplayText&gt;(2012)&lt;/DisplayText&gt;&lt;record&gt;&lt;titles&gt;&lt;title&gt;An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format="utc"&gt;1548174240&lt;/last-updated-date&gt;&lt;volume&gt;34&lt;/volume&gt;&lt;/record&gt;&lt;/Cite&gt;&lt;/EndNote&gt;</w:instrText>
      </w:r>
      <w:r>
        <w:fldChar w:fldCharType="separate"/>
      </w:r>
      <w:r>
        <w:rPr>
          <w:noProof/>
        </w:rPr>
        <w:t>(2012)</w:t>
      </w:r>
      <w:r>
        <w:fldChar w:fldCharType="end"/>
      </w:r>
      <w:r>
        <w:t xml:space="preserve"> discuss the difficulties some students experience in moving between a graphical representation and other levels of representation (such as macroscopic). They link this to Johnstone’s triangle </w:t>
      </w:r>
      <w:r>
        <w:fldChar w:fldCharType="begin"/>
      </w:r>
      <w:r>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(Johnstone, 1991)</w:t>
      </w:r>
      <w:r>
        <w:fldChar w:fldCharType="end"/>
      </w:r>
      <w:r>
        <w:t xml:space="preserve"> and suggest that a graph is a form of symbolic representation.</w:t>
      </w:r>
    </w:p>
    <w:p w14:paraId="76DEF919"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27359F71" w14:textId="2405124C" w:rsidR="00983B2D" w:rsidRPr="00816A23" w:rsidRDefault="00983B2D" w:rsidP="00983B2D">
      <w:pPr>
        <w:spacing w:after="180"/>
        <w:rPr>
          <w:vertAlign w:val="subscript"/>
        </w:rPr>
      </w:pPr>
      <w:r>
        <w:t>To support</w:t>
      </w:r>
      <w:r w:rsidR="00816A23">
        <w:t xml:space="preserve"> students</w:t>
      </w:r>
      <w:r>
        <w:t xml:space="preserve"> in answering the question, the solubility of salt is initially described in words as “The maximum mass of salt that can dissolve in 100cm</w:t>
      </w:r>
      <w:r>
        <w:rPr>
          <w:vertAlign w:val="superscript"/>
        </w:rPr>
        <w:t>3</w:t>
      </w:r>
      <w:r>
        <w:t xml:space="preserve">.” Solubility is commonly expressed as grams of solute per 100g of water and this is used in subsequent questions and activities. </w:t>
      </w:r>
      <w:r w:rsidR="00816A23">
        <w:t>It may help students to point out that 100g of water has a volume of 100cm</w:t>
      </w:r>
      <w:r w:rsidR="00816A23">
        <w:rPr>
          <w:vertAlign w:val="superscript"/>
        </w:rPr>
        <w:t>3</w:t>
      </w:r>
      <w:r w:rsidR="00816A23">
        <w:rPr>
          <w:vertAlign w:val="subscript"/>
        </w:rPr>
        <w:t>.</w:t>
      </w:r>
    </w:p>
    <w:p w14:paraId="24315661" w14:textId="13CB88E1" w:rsidR="005E6800" w:rsidRDefault="005E6800" w:rsidP="00983B2D">
      <w:pPr>
        <w:spacing w:after="180"/>
      </w:pPr>
    </w:p>
    <w:p w14:paraId="024ED7B7" w14:textId="77777777" w:rsidR="005E6800" w:rsidRPr="00983B2D" w:rsidRDefault="005E6800" w:rsidP="00983B2D">
      <w:pPr>
        <w:spacing w:after="180"/>
      </w:pPr>
    </w:p>
    <w:p w14:paraId="1EED2E83" w14:textId="4863872E" w:rsidR="00FC505F" w:rsidRPr="00FC505F" w:rsidRDefault="00FB1FF6" w:rsidP="00FC505F">
      <w:pPr>
        <w:spacing w:after="180"/>
        <w:rPr>
          <w:b/>
          <w:color w:val="E36C0A" w:themeColor="accent6" w:themeShade="BF"/>
          <w:sz w:val="24"/>
        </w:rPr>
      </w:pPr>
      <w:r w:rsidRPr="00B10DE6">
        <w:rPr>
          <w:b/>
          <w:color w:val="E36C0A" w:themeColor="accent6" w:themeShade="BF"/>
          <w:sz w:val="24"/>
        </w:rPr>
        <w:t>References</w:t>
      </w:r>
    </w:p>
    <w:p w14:paraId="7E5795B1" w14:textId="77777777" w:rsidR="005E6800" w:rsidRPr="00EB438B" w:rsidRDefault="00FC505F" w:rsidP="00EB438B">
      <w:pPr>
        <w:pStyle w:val="EndNoteBibliography"/>
        <w:spacing w:after="120"/>
        <w:rPr>
          <w:sz w:val="20"/>
        </w:rPr>
      </w:pPr>
      <w:r w:rsidRPr="00EB438B">
        <w:rPr>
          <w:sz w:val="20"/>
        </w:rPr>
        <w:fldChar w:fldCharType="begin"/>
      </w:r>
      <w:r w:rsidRPr="00EB438B">
        <w:rPr>
          <w:sz w:val="20"/>
        </w:rPr>
        <w:instrText xml:space="preserve"> ADDIN EN.REFLIST </w:instrText>
      </w:r>
      <w:r w:rsidRPr="00EB438B">
        <w:rPr>
          <w:sz w:val="20"/>
        </w:rPr>
        <w:fldChar w:fldCharType="separate"/>
      </w:r>
      <w:r w:rsidR="005E6800" w:rsidRPr="00EB438B">
        <w:rPr>
          <w:sz w:val="20"/>
        </w:rPr>
        <w:t xml:space="preserve">Adadan, E. and Savasci, F. (2012). An analysis of 16 to 17 year old students' understanding of solution chemistry concepts using a two-tier diagnostic instrument. </w:t>
      </w:r>
      <w:r w:rsidR="005E6800" w:rsidRPr="00EB438B">
        <w:rPr>
          <w:i/>
          <w:sz w:val="20"/>
        </w:rPr>
        <w:t>International Journal of Science Education,</w:t>
      </w:r>
      <w:r w:rsidR="005E6800" w:rsidRPr="00EB438B">
        <w:rPr>
          <w:sz w:val="20"/>
        </w:rPr>
        <w:t xml:space="preserve"> 34(4)</w:t>
      </w:r>
      <w:r w:rsidR="005E6800" w:rsidRPr="00EB438B">
        <w:rPr>
          <w:b/>
          <w:sz w:val="20"/>
        </w:rPr>
        <w:t>,</w:t>
      </w:r>
      <w:r w:rsidR="005E6800" w:rsidRPr="00EB438B">
        <w:rPr>
          <w:sz w:val="20"/>
        </w:rPr>
        <w:t xml:space="preserve"> 513 to 544.</w:t>
      </w:r>
    </w:p>
    <w:p w14:paraId="700BFE92" w14:textId="77777777" w:rsidR="00EB438B" w:rsidRDefault="00EB438B" w:rsidP="00EB438B">
      <w:pPr>
        <w:pStyle w:val="EndNoteBibliography"/>
        <w:spacing w:after="120"/>
        <w:rPr>
          <w:sz w:val="20"/>
        </w:rPr>
      </w:pPr>
      <w:r w:rsidRPr="00EB438B">
        <w:rPr>
          <w:sz w:val="20"/>
        </w:rPr>
        <w:t xml:space="preserve">Çalýk, M., Ayas, A. ş. a. and Ebenezer, J. V. (2005). A review of solution chemistry studies: Insights into students' conceptions. </w:t>
      </w:r>
      <w:r w:rsidRPr="00EB438B">
        <w:rPr>
          <w:i/>
          <w:sz w:val="20"/>
        </w:rPr>
        <w:t>Journal of Science Education and Technology,</w:t>
      </w:r>
      <w:r w:rsidRPr="00EB438B">
        <w:rPr>
          <w:sz w:val="20"/>
        </w:rPr>
        <w:t xml:space="preserve"> 14(1)</w:t>
      </w:r>
      <w:r w:rsidRPr="00EB438B">
        <w:rPr>
          <w:b/>
          <w:sz w:val="20"/>
        </w:rPr>
        <w:t>,</w:t>
      </w:r>
      <w:r w:rsidRPr="00EB438B">
        <w:rPr>
          <w:sz w:val="20"/>
        </w:rPr>
        <w:t xml:space="preserve"> 29-50.</w:t>
      </w:r>
    </w:p>
    <w:p w14:paraId="3D5F3452" w14:textId="0AA827D0" w:rsidR="005E6800" w:rsidRPr="00EB438B" w:rsidRDefault="005E6800" w:rsidP="00EB438B">
      <w:pPr>
        <w:pStyle w:val="EndNoteBibliography"/>
        <w:spacing w:after="120"/>
        <w:rPr>
          <w:sz w:val="20"/>
        </w:rPr>
      </w:pPr>
      <w:r w:rsidRPr="00EB438B">
        <w:rPr>
          <w:sz w:val="20"/>
        </w:rPr>
        <w:t xml:space="preserve">Gültepe, N. (2016). Reflections on high school students' graphing skills and their conceptual understanding of drawing chemistry graphs. </w:t>
      </w:r>
      <w:r w:rsidRPr="00EB438B">
        <w:rPr>
          <w:i/>
          <w:sz w:val="20"/>
        </w:rPr>
        <w:t>Educational sciences: Theory and practice,</w:t>
      </w:r>
      <w:r w:rsidRPr="00EB438B">
        <w:rPr>
          <w:sz w:val="20"/>
        </w:rPr>
        <w:t xml:space="preserve"> 16</w:t>
      </w:r>
      <w:r w:rsidRPr="00EB438B">
        <w:rPr>
          <w:b/>
          <w:sz w:val="20"/>
        </w:rPr>
        <w:t>,</w:t>
      </w:r>
      <w:r w:rsidRPr="00EB438B">
        <w:rPr>
          <w:sz w:val="20"/>
        </w:rPr>
        <w:t xml:space="preserve"> 53-81.</w:t>
      </w:r>
    </w:p>
    <w:p w14:paraId="4B9A9BA5" w14:textId="77777777" w:rsidR="005E6800" w:rsidRPr="00EB438B" w:rsidRDefault="005E6800" w:rsidP="00EB438B">
      <w:pPr>
        <w:pStyle w:val="EndNoteBibliography"/>
        <w:spacing w:after="120"/>
        <w:rPr>
          <w:sz w:val="20"/>
        </w:rPr>
      </w:pPr>
      <w:r w:rsidRPr="00EB438B">
        <w:rPr>
          <w:sz w:val="20"/>
        </w:rPr>
        <w:t xml:space="preserve">Johnstone, A. H. (1991). Why is chemistry difficult to learn? Things are seldom what they seem. </w:t>
      </w:r>
      <w:r w:rsidRPr="00EB438B">
        <w:rPr>
          <w:i/>
          <w:sz w:val="20"/>
        </w:rPr>
        <w:t>Journal of Computer Assisted Learning,</w:t>
      </w:r>
      <w:r w:rsidRPr="00EB438B">
        <w:rPr>
          <w:sz w:val="20"/>
        </w:rPr>
        <w:t xml:space="preserve"> 7</w:t>
      </w:r>
      <w:r w:rsidRPr="00EB438B">
        <w:rPr>
          <w:b/>
          <w:sz w:val="20"/>
        </w:rPr>
        <w:t>,</w:t>
      </w:r>
      <w:r w:rsidRPr="00EB438B">
        <w:rPr>
          <w:sz w:val="20"/>
        </w:rPr>
        <w:t xml:space="preserve"> 75-83.</w:t>
      </w:r>
    </w:p>
    <w:p w14:paraId="308FEEAD" w14:textId="77777777" w:rsidR="005E6800" w:rsidRPr="00EB438B" w:rsidRDefault="005E6800" w:rsidP="00EB438B">
      <w:pPr>
        <w:pStyle w:val="EndNoteBibliography"/>
        <w:spacing w:after="120"/>
        <w:rPr>
          <w:sz w:val="20"/>
        </w:rPr>
      </w:pPr>
      <w:r w:rsidRPr="00EB438B">
        <w:rPr>
          <w:sz w:val="20"/>
        </w:rPr>
        <w:t xml:space="preserve">Uzuntiryaki, E. and Geban, O. (2005). Effect of conceptual change approach accompanied with concept mapping on understanding of solution concepts. </w:t>
      </w:r>
      <w:r w:rsidRPr="00EB438B">
        <w:rPr>
          <w:i/>
          <w:sz w:val="20"/>
        </w:rPr>
        <w:t>Instructional Science,</w:t>
      </w:r>
      <w:r w:rsidRPr="00EB438B">
        <w:rPr>
          <w:sz w:val="20"/>
        </w:rPr>
        <w:t xml:space="preserve"> 33</w:t>
      </w:r>
      <w:r w:rsidRPr="00EB438B">
        <w:rPr>
          <w:b/>
          <w:sz w:val="20"/>
        </w:rPr>
        <w:t>,</w:t>
      </w:r>
      <w:r w:rsidRPr="00EB438B">
        <w:rPr>
          <w:sz w:val="20"/>
        </w:rPr>
        <w:t xml:space="preserve"> 311-339.</w:t>
      </w:r>
    </w:p>
    <w:p w14:paraId="55299E75" w14:textId="40C24331" w:rsidR="005E6800" w:rsidRPr="00EB438B" w:rsidRDefault="005E6800" w:rsidP="00EB438B">
      <w:pPr>
        <w:pStyle w:val="EndNoteBibliography"/>
        <w:spacing w:after="120"/>
        <w:rPr>
          <w:sz w:val="20"/>
        </w:rPr>
      </w:pPr>
    </w:p>
    <w:p w14:paraId="6D75149E" w14:textId="2CF1D949" w:rsidR="00D43788" w:rsidRDefault="00FC505F" w:rsidP="00EB438B">
      <w:pPr>
        <w:spacing w:after="120" w:line="276" w:lineRule="auto"/>
      </w:pPr>
      <w:r w:rsidRPr="00EB438B">
        <w:rPr>
          <w:sz w:val="20"/>
        </w:rPr>
        <w:fldChar w:fldCharType="end"/>
      </w:r>
    </w:p>
    <w:sectPr w:rsidR="00D43788" w:rsidSect="00F34FD0">
      <w:headerReference w:type="default" r:id="rId8"/>
      <w:footerReference w:type="default" r:id="rId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65FF3" w14:textId="77777777" w:rsidR="00B17232" w:rsidRDefault="00B17232" w:rsidP="000B473B">
      <w:r>
        <w:separator/>
      </w:r>
    </w:p>
  </w:endnote>
  <w:endnote w:type="continuationSeparator" w:id="0">
    <w:p w14:paraId="185ADE17" w14:textId="77777777" w:rsidR="00B17232" w:rsidRDefault="00B1723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A999F" w14:textId="346C5219"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357D73EB" wp14:editId="28D4CC60">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4E8034"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C260B">
      <w:rPr>
        <w:noProof/>
      </w:rPr>
      <w:t>4</w:t>
    </w:r>
    <w:r>
      <w:rPr>
        <w:noProof/>
      </w:rPr>
      <w:fldChar w:fldCharType="end"/>
    </w:r>
  </w:p>
  <w:p w14:paraId="4A7453AF"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6BBB4234"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95592" w14:textId="77777777" w:rsidR="00B17232" w:rsidRDefault="00B17232" w:rsidP="000B473B">
      <w:r>
        <w:separator/>
      </w:r>
    </w:p>
  </w:footnote>
  <w:footnote w:type="continuationSeparator" w:id="0">
    <w:p w14:paraId="1641F66B" w14:textId="77777777" w:rsidR="00B17232" w:rsidRDefault="00B1723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F30B5"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2ADC8480" wp14:editId="68D3F764">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6C6AFD1" wp14:editId="2F539B66">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50437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42609"/>
    <w:rsid w:val="000026EA"/>
    <w:rsid w:val="00013987"/>
    <w:rsid w:val="00015578"/>
    <w:rsid w:val="00024731"/>
    <w:rsid w:val="00026DEC"/>
    <w:rsid w:val="000278D4"/>
    <w:rsid w:val="0003079C"/>
    <w:rsid w:val="00031662"/>
    <w:rsid w:val="00036EBA"/>
    <w:rsid w:val="000505CA"/>
    <w:rsid w:val="0005709C"/>
    <w:rsid w:val="000947E2"/>
    <w:rsid w:val="000949DD"/>
    <w:rsid w:val="00095E04"/>
    <w:rsid w:val="000A4D1F"/>
    <w:rsid w:val="000B473B"/>
    <w:rsid w:val="000D0E89"/>
    <w:rsid w:val="000D2978"/>
    <w:rsid w:val="000E2689"/>
    <w:rsid w:val="000F5E42"/>
    <w:rsid w:val="0010081B"/>
    <w:rsid w:val="00104331"/>
    <w:rsid w:val="00137415"/>
    <w:rsid w:val="001413D2"/>
    <w:rsid w:val="00142613"/>
    <w:rsid w:val="00144DA7"/>
    <w:rsid w:val="00161D3F"/>
    <w:rsid w:val="001915D4"/>
    <w:rsid w:val="001A1FED"/>
    <w:rsid w:val="001A40E2"/>
    <w:rsid w:val="001B2603"/>
    <w:rsid w:val="001B62F1"/>
    <w:rsid w:val="001C4805"/>
    <w:rsid w:val="001F2B4D"/>
    <w:rsid w:val="002153E4"/>
    <w:rsid w:val="002178AC"/>
    <w:rsid w:val="00223388"/>
    <w:rsid w:val="0022442F"/>
    <w:rsid w:val="00224B69"/>
    <w:rsid w:val="0022547C"/>
    <w:rsid w:val="00233BFE"/>
    <w:rsid w:val="0025410A"/>
    <w:rsid w:val="0028012F"/>
    <w:rsid w:val="00280B49"/>
    <w:rsid w:val="00287876"/>
    <w:rsid w:val="0029248B"/>
    <w:rsid w:val="00292C53"/>
    <w:rsid w:val="00294E22"/>
    <w:rsid w:val="00296E30"/>
    <w:rsid w:val="002C194B"/>
    <w:rsid w:val="002C36ED"/>
    <w:rsid w:val="002C59BA"/>
    <w:rsid w:val="002F08DF"/>
    <w:rsid w:val="002F3535"/>
    <w:rsid w:val="00301AA9"/>
    <w:rsid w:val="00306DB7"/>
    <w:rsid w:val="003117F6"/>
    <w:rsid w:val="00347BD7"/>
    <w:rsid w:val="003512FB"/>
    <w:rsid w:val="003533B8"/>
    <w:rsid w:val="003535C5"/>
    <w:rsid w:val="00366243"/>
    <w:rsid w:val="003752BE"/>
    <w:rsid w:val="00377662"/>
    <w:rsid w:val="003A07C6"/>
    <w:rsid w:val="003A346A"/>
    <w:rsid w:val="003B13BC"/>
    <w:rsid w:val="003B2917"/>
    <w:rsid w:val="003B541B"/>
    <w:rsid w:val="003C7537"/>
    <w:rsid w:val="003E2B2F"/>
    <w:rsid w:val="003E6046"/>
    <w:rsid w:val="003F16F9"/>
    <w:rsid w:val="00430C1F"/>
    <w:rsid w:val="00437318"/>
    <w:rsid w:val="00442595"/>
    <w:rsid w:val="0045323E"/>
    <w:rsid w:val="0047091F"/>
    <w:rsid w:val="00477C30"/>
    <w:rsid w:val="004B0EE1"/>
    <w:rsid w:val="004D0D83"/>
    <w:rsid w:val="004E1DF1"/>
    <w:rsid w:val="004E5592"/>
    <w:rsid w:val="004F3A89"/>
    <w:rsid w:val="0050055B"/>
    <w:rsid w:val="00524710"/>
    <w:rsid w:val="005519D4"/>
    <w:rsid w:val="00555342"/>
    <w:rsid w:val="005560E2"/>
    <w:rsid w:val="00575039"/>
    <w:rsid w:val="005767D5"/>
    <w:rsid w:val="005A452E"/>
    <w:rsid w:val="005E383D"/>
    <w:rsid w:val="005E6800"/>
    <w:rsid w:val="005F115D"/>
    <w:rsid w:val="00620AFF"/>
    <w:rsid w:val="006355D8"/>
    <w:rsid w:val="00642ECD"/>
    <w:rsid w:val="0065024C"/>
    <w:rsid w:val="006502A0"/>
    <w:rsid w:val="006772F5"/>
    <w:rsid w:val="006B0615"/>
    <w:rsid w:val="006C260B"/>
    <w:rsid w:val="006C2DD9"/>
    <w:rsid w:val="006D166B"/>
    <w:rsid w:val="006E616D"/>
    <w:rsid w:val="006E73AB"/>
    <w:rsid w:val="006F01D8"/>
    <w:rsid w:val="006F2CAB"/>
    <w:rsid w:val="006F2E61"/>
    <w:rsid w:val="006F3279"/>
    <w:rsid w:val="00704AEE"/>
    <w:rsid w:val="007100E4"/>
    <w:rsid w:val="00722F9A"/>
    <w:rsid w:val="00754539"/>
    <w:rsid w:val="00757297"/>
    <w:rsid w:val="00760E08"/>
    <w:rsid w:val="00775174"/>
    <w:rsid w:val="007825A1"/>
    <w:rsid w:val="007865A3"/>
    <w:rsid w:val="00795CB4"/>
    <w:rsid w:val="007A3C86"/>
    <w:rsid w:val="007A683E"/>
    <w:rsid w:val="007A748B"/>
    <w:rsid w:val="007C3B28"/>
    <w:rsid w:val="007D1D65"/>
    <w:rsid w:val="007E0A9E"/>
    <w:rsid w:val="007E5309"/>
    <w:rsid w:val="007E6A8B"/>
    <w:rsid w:val="00800DE1"/>
    <w:rsid w:val="00802843"/>
    <w:rsid w:val="008119AD"/>
    <w:rsid w:val="00813F47"/>
    <w:rsid w:val="00816A23"/>
    <w:rsid w:val="00821188"/>
    <w:rsid w:val="008450D6"/>
    <w:rsid w:val="008544D9"/>
    <w:rsid w:val="00856FCA"/>
    <w:rsid w:val="00867487"/>
    <w:rsid w:val="00872EB4"/>
    <w:rsid w:val="00873B8C"/>
    <w:rsid w:val="008A405F"/>
    <w:rsid w:val="008C7F34"/>
    <w:rsid w:val="008E032D"/>
    <w:rsid w:val="008E13E0"/>
    <w:rsid w:val="008E580C"/>
    <w:rsid w:val="0090047A"/>
    <w:rsid w:val="00913AD8"/>
    <w:rsid w:val="00917940"/>
    <w:rsid w:val="00925026"/>
    <w:rsid w:val="00931264"/>
    <w:rsid w:val="00942A4B"/>
    <w:rsid w:val="00961D59"/>
    <w:rsid w:val="00983B2D"/>
    <w:rsid w:val="009A6941"/>
    <w:rsid w:val="009B2D55"/>
    <w:rsid w:val="009C0343"/>
    <w:rsid w:val="009E0D11"/>
    <w:rsid w:val="00A1530B"/>
    <w:rsid w:val="00A24A16"/>
    <w:rsid w:val="00A37D14"/>
    <w:rsid w:val="00A6168B"/>
    <w:rsid w:val="00A62028"/>
    <w:rsid w:val="00AA2E97"/>
    <w:rsid w:val="00AA6236"/>
    <w:rsid w:val="00AB6AE7"/>
    <w:rsid w:val="00AB6CA4"/>
    <w:rsid w:val="00AD21F5"/>
    <w:rsid w:val="00AD5043"/>
    <w:rsid w:val="00AE3956"/>
    <w:rsid w:val="00AE5FB7"/>
    <w:rsid w:val="00AF0E74"/>
    <w:rsid w:val="00AF7DB9"/>
    <w:rsid w:val="00B06225"/>
    <w:rsid w:val="00B10DE6"/>
    <w:rsid w:val="00B17232"/>
    <w:rsid w:val="00B23C7A"/>
    <w:rsid w:val="00B33FEF"/>
    <w:rsid w:val="00B346B5"/>
    <w:rsid w:val="00B37C53"/>
    <w:rsid w:val="00B412B0"/>
    <w:rsid w:val="00B42E62"/>
    <w:rsid w:val="00B46FF9"/>
    <w:rsid w:val="00B537B5"/>
    <w:rsid w:val="00B75483"/>
    <w:rsid w:val="00B75597"/>
    <w:rsid w:val="00B962D0"/>
    <w:rsid w:val="00BA5A78"/>
    <w:rsid w:val="00BA7952"/>
    <w:rsid w:val="00BB3EA6"/>
    <w:rsid w:val="00BD3160"/>
    <w:rsid w:val="00BE17E9"/>
    <w:rsid w:val="00BE27BE"/>
    <w:rsid w:val="00BF0BBF"/>
    <w:rsid w:val="00BF6C8A"/>
    <w:rsid w:val="00C05571"/>
    <w:rsid w:val="00C06521"/>
    <w:rsid w:val="00C15989"/>
    <w:rsid w:val="00C17716"/>
    <w:rsid w:val="00C246CE"/>
    <w:rsid w:val="00C25222"/>
    <w:rsid w:val="00C504BE"/>
    <w:rsid w:val="00C5553B"/>
    <w:rsid w:val="00C57FA2"/>
    <w:rsid w:val="00C63844"/>
    <w:rsid w:val="00C72918"/>
    <w:rsid w:val="00C8765D"/>
    <w:rsid w:val="00C9265A"/>
    <w:rsid w:val="00CA5D81"/>
    <w:rsid w:val="00CC2E4D"/>
    <w:rsid w:val="00CC402A"/>
    <w:rsid w:val="00CC4CC8"/>
    <w:rsid w:val="00CC78A5"/>
    <w:rsid w:val="00CC7B16"/>
    <w:rsid w:val="00CE15FE"/>
    <w:rsid w:val="00CE7273"/>
    <w:rsid w:val="00D02E15"/>
    <w:rsid w:val="00D14F44"/>
    <w:rsid w:val="00D15EDE"/>
    <w:rsid w:val="00D278E8"/>
    <w:rsid w:val="00D32F0B"/>
    <w:rsid w:val="00D421C8"/>
    <w:rsid w:val="00D43788"/>
    <w:rsid w:val="00D44604"/>
    <w:rsid w:val="00D479B3"/>
    <w:rsid w:val="00D51657"/>
    <w:rsid w:val="00D52283"/>
    <w:rsid w:val="00D524E5"/>
    <w:rsid w:val="00D72FEF"/>
    <w:rsid w:val="00D755FA"/>
    <w:rsid w:val="00DA0EA5"/>
    <w:rsid w:val="00DA146F"/>
    <w:rsid w:val="00DB2434"/>
    <w:rsid w:val="00DB7449"/>
    <w:rsid w:val="00DB7471"/>
    <w:rsid w:val="00DC4A4E"/>
    <w:rsid w:val="00DD1874"/>
    <w:rsid w:val="00DD63BD"/>
    <w:rsid w:val="00DF096A"/>
    <w:rsid w:val="00E172C6"/>
    <w:rsid w:val="00E22B55"/>
    <w:rsid w:val="00E24309"/>
    <w:rsid w:val="00E25F67"/>
    <w:rsid w:val="00E31116"/>
    <w:rsid w:val="00E4058A"/>
    <w:rsid w:val="00E53D82"/>
    <w:rsid w:val="00E54437"/>
    <w:rsid w:val="00E753A9"/>
    <w:rsid w:val="00E85A74"/>
    <w:rsid w:val="00EB438B"/>
    <w:rsid w:val="00EE6B97"/>
    <w:rsid w:val="00EF081E"/>
    <w:rsid w:val="00F12C3B"/>
    <w:rsid w:val="00F26884"/>
    <w:rsid w:val="00F34FD0"/>
    <w:rsid w:val="00F40370"/>
    <w:rsid w:val="00F42609"/>
    <w:rsid w:val="00F520EB"/>
    <w:rsid w:val="00F604E7"/>
    <w:rsid w:val="00F66FF6"/>
    <w:rsid w:val="00F74824"/>
    <w:rsid w:val="00F75F0D"/>
    <w:rsid w:val="00F82443"/>
    <w:rsid w:val="00F8355F"/>
    <w:rsid w:val="00F90D64"/>
    <w:rsid w:val="00F928E4"/>
    <w:rsid w:val="00F95F3E"/>
    <w:rsid w:val="00F9779D"/>
    <w:rsid w:val="00FA14FE"/>
    <w:rsid w:val="00FA3196"/>
    <w:rsid w:val="00FB1FF6"/>
    <w:rsid w:val="00FC50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DE56CE"/>
  <w15:docId w15:val="{E9EBB78F-EC12-4D06-A332-F18D754E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C505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C505F"/>
    <w:rPr>
      <w:rFonts w:ascii="Calibri" w:hAnsi="Calibri" w:cs="Calibri"/>
      <w:noProof/>
      <w:lang w:val="en-US"/>
    </w:rPr>
  </w:style>
  <w:style w:type="paragraph" w:customStyle="1" w:styleId="EndNoteBibliography">
    <w:name w:val="EndNote Bibliography"/>
    <w:basedOn w:val="Normal"/>
    <w:link w:val="EndNoteBibliographyChar"/>
    <w:rsid w:val="00FC505F"/>
    <w:rPr>
      <w:rFonts w:ascii="Calibri" w:hAnsi="Calibri" w:cs="Calibri"/>
      <w:noProof/>
      <w:lang w:val="en-US"/>
    </w:rPr>
  </w:style>
  <w:style w:type="character" w:customStyle="1" w:styleId="EndNoteBibliographyChar">
    <w:name w:val="EndNote Bibliography Char"/>
    <w:basedOn w:val="DefaultParagraphFont"/>
    <w:link w:val="EndNoteBibliography"/>
    <w:rsid w:val="00FC505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395</TotalTime>
  <Pages>4</Pages>
  <Words>1630</Words>
  <Characters>9297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15</cp:revision>
  <cp:lastPrinted>2019-01-28T13:41:00Z</cp:lastPrinted>
  <dcterms:created xsi:type="dcterms:W3CDTF">2018-12-10T13:46:00Z</dcterms:created>
  <dcterms:modified xsi:type="dcterms:W3CDTF">2019-01-31T14:49:00Z</dcterms:modified>
</cp:coreProperties>
</file>