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73CD2D" w14:textId="0D6B30C2" w:rsidR="00201AC2" w:rsidRPr="001A40E2" w:rsidRDefault="00B3055F" w:rsidP="00201AC2">
      <w:pPr>
        <w:spacing w:after="180"/>
        <w:rPr>
          <w:b/>
          <w:sz w:val="44"/>
          <w:szCs w:val="44"/>
        </w:rPr>
      </w:pPr>
      <w:r>
        <w:rPr>
          <w:b/>
          <w:sz w:val="44"/>
          <w:szCs w:val="44"/>
        </w:rPr>
        <w:t>Solubility graph</w:t>
      </w:r>
    </w:p>
    <w:p w14:paraId="7D931402" w14:textId="77777777" w:rsidR="007C26E1" w:rsidRDefault="007C26E1" w:rsidP="00201AC2">
      <w:pPr>
        <w:spacing w:after="180"/>
      </w:pPr>
    </w:p>
    <w:p w14:paraId="0E739594" w14:textId="461FF0D6" w:rsidR="00201AC2" w:rsidRDefault="0042475C" w:rsidP="007E523A">
      <w:pPr>
        <w:spacing w:after="180"/>
      </w:pPr>
      <w:r>
        <w:t>The graph below shows the solubility of potassium nitrate at different temperatures.</w:t>
      </w:r>
    </w:p>
    <w:p w14:paraId="4BC312E4" w14:textId="15B88A79" w:rsidR="0042475C" w:rsidRDefault="0042475C" w:rsidP="0042475C">
      <w:pPr>
        <w:pStyle w:val="ListParagraph"/>
        <w:spacing w:after="180"/>
        <w:ind w:left="567"/>
        <w:contextualSpacing w:val="0"/>
      </w:pPr>
    </w:p>
    <w:p w14:paraId="63A50F09" w14:textId="17B82E06" w:rsidR="0042475C" w:rsidRDefault="0042475C" w:rsidP="0042475C">
      <w:pPr>
        <w:pStyle w:val="ListParagraph"/>
        <w:spacing w:after="180"/>
        <w:ind w:left="567"/>
        <w:contextualSpacing w:val="0"/>
      </w:pPr>
      <w:r w:rsidRPr="0042475C">
        <w:rPr>
          <w:noProof/>
        </w:rPr>
        <w:drawing>
          <wp:inline distT="0" distB="0" distL="0" distR="0" wp14:anchorId="3A75CB8D" wp14:editId="3875BBF3">
            <wp:extent cx="2285621" cy="3019425"/>
            <wp:effectExtent l="0" t="0" r="0" b="0"/>
            <wp:docPr id="2" name="Picture 4">
              <a:extLst xmlns:a="http://schemas.openxmlformats.org/drawingml/2006/main">
                <a:ext uri="{FF2B5EF4-FFF2-40B4-BE49-F238E27FC236}">
                  <a16:creationId xmlns:a16="http://schemas.microsoft.com/office/drawing/2014/main" id="{3DCBBF0F-B3B5-44B4-A2AB-F2F11809C7F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3DCBBF0F-B3B5-44B4-A2AB-F2F11809C7FC}"/>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91402" cy="3027062"/>
                    </a:xfrm>
                    <a:prstGeom prst="rect">
                      <a:avLst/>
                    </a:prstGeom>
                  </pic:spPr>
                </pic:pic>
              </a:graphicData>
            </a:graphic>
          </wp:inline>
        </w:drawing>
      </w:r>
    </w:p>
    <w:p w14:paraId="0FCA605E" w14:textId="77777777" w:rsidR="0093054B" w:rsidRDefault="0093054B" w:rsidP="0042475C">
      <w:pPr>
        <w:pStyle w:val="ListParagraph"/>
        <w:spacing w:after="180"/>
        <w:ind w:left="567"/>
        <w:contextualSpacing w:val="0"/>
      </w:pPr>
    </w:p>
    <w:p w14:paraId="32AB8385" w14:textId="3E8BC7A0" w:rsidR="0042475C" w:rsidRDefault="0042475C" w:rsidP="0093054B">
      <w:pPr>
        <w:pStyle w:val="ListParagraph"/>
        <w:spacing w:after="180"/>
        <w:ind w:left="993"/>
        <w:contextualSpacing w:val="0"/>
      </w:pPr>
      <w:r>
        <w:t>Which beaker of solution does each point on the graph represent?</w:t>
      </w:r>
    </w:p>
    <w:p w14:paraId="1168BE35" w14:textId="5F9FEF5C" w:rsidR="0093054B" w:rsidRDefault="0042475C" w:rsidP="0042475C">
      <w:pPr>
        <w:pStyle w:val="ListParagraph"/>
        <w:spacing w:after="180"/>
        <w:ind w:left="993"/>
        <w:contextualSpacing w:val="0"/>
      </w:pPr>
      <w:r w:rsidRPr="0093054B">
        <w:rPr>
          <w:b/>
        </w:rPr>
        <w:t>A</w:t>
      </w:r>
      <w:r w:rsidR="0093054B">
        <w:t xml:space="preserve"> </w:t>
      </w:r>
      <w:r>
        <w:tab/>
      </w:r>
      <w:r w:rsidR="0093054B">
        <w:t xml:space="preserve">All the potassium nitrate is dissolved.       </w:t>
      </w:r>
    </w:p>
    <w:p w14:paraId="43611B28" w14:textId="15AE7A29" w:rsidR="0093054B" w:rsidRDefault="0093054B" w:rsidP="0042475C">
      <w:pPr>
        <w:pStyle w:val="ListParagraph"/>
        <w:spacing w:after="180"/>
        <w:ind w:left="993"/>
        <w:contextualSpacing w:val="0"/>
        <w:rPr>
          <w:b/>
        </w:rPr>
      </w:pPr>
      <w:r w:rsidRPr="0042475C">
        <w:rPr>
          <w:noProof/>
        </w:rPr>
        <w:drawing>
          <wp:anchor distT="0" distB="0" distL="114300" distR="114300" simplePos="0" relativeHeight="251658240" behindDoc="0" locked="0" layoutInCell="1" allowOverlap="1" wp14:anchorId="62F2A3E9" wp14:editId="1198A55C">
            <wp:simplePos x="0" y="0"/>
            <wp:positionH relativeFrom="column">
              <wp:posOffset>1514475</wp:posOffset>
            </wp:positionH>
            <wp:positionV relativeFrom="paragraph">
              <wp:posOffset>171450</wp:posOffset>
            </wp:positionV>
            <wp:extent cx="640080" cy="747395"/>
            <wp:effectExtent l="0" t="0" r="7620" b="0"/>
            <wp:wrapSquare wrapText="bothSides"/>
            <wp:docPr id="6" name="Picture 2">
              <a:extLst xmlns:a="http://schemas.openxmlformats.org/drawingml/2006/main">
                <a:ext uri="{FF2B5EF4-FFF2-40B4-BE49-F238E27FC236}">
                  <a16:creationId xmlns:a16="http://schemas.microsoft.com/office/drawing/2014/main" id="{68795A14-5975-464B-A970-E44AF3F9A4D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68795A14-5975-464B-A970-E44AF3F9A4D3}"/>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40080" cy="747395"/>
                    </a:xfrm>
                    <a:prstGeom prst="rect">
                      <a:avLst/>
                    </a:prstGeom>
                  </pic:spPr>
                </pic:pic>
              </a:graphicData>
            </a:graphic>
            <wp14:sizeRelH relativeFrom="margin">
              <wp14:pctWidth>0</wp14:pctWidth>
            </wp14:sizeRelH>
            <wp14:sizeRelV relativeFrom="margin">
              <wp14:pctHeight>0</wp14:pctHeight>
            </wp14:sizeRelV>
          </wp:anchor>
        </w:drawing>
      </w:r>
    </w:p>
    <w:p w14:paraId="7BCEA68F" w14:textId="77777777" w:rsidR="0093054B" w:rsidRDefault="0093054B" w:rsidP="0042475C">
      <w:pPr>
        <w:pStyle w:val="ListParagraph"/>
        <w:spacing w:after="180"/>
        <w:ind w:left="993"/>
        <w:contextualSpacing w:val="0"/>
        <w:rPr>
          <w:b/>
        </w:rPr>
      </w:pPr>
    </w:p>
    <w:p w14:paraId="2FF99579" w14:textId="77777777" w:rsidR="0093054B" w:rsidRDefault="0093054B" w:rsidP="0042475C">
      <w:pPr>
        <w:pStyle w:val="ListParagraph"/>
        <w:spacing w:after="180"/>
        <w:ind w:left="993"/>
        <w:contextualSpacing w:val="0"/>
        <w:rPr>
          <w:b/>
        </w:rPr>
      </w:pPr>
    </w:p>
    <w:p w14:paraId="241658C8" w14:textId="77777777" w:rsidR="0093054B" w:rsidRDefault="0093054B" w:rsidP="0042475C">
      <w:pPr>
        <w:pStyle w:val="ListParagraph"/>
        <w:spacing w:after="180"/>
        <w:ind w:left="993"/>
        <w:contextualSpacing w:val="0"/>
        <w:rPr>
          <w:b/>
        </w:rPr>
      </w:pPr>
    </w:p>
    <w:p w14:paraId="6505E84C" w14:textId="39A78A24" w:rsidR="0093054B" w:rsidRDefault="0093054B" w:rsidP="0042475C">
      <w:pPr>
        <w:pStyle w:val="ListParagraph"/>
        <w:spacing w:after="180"/>
        <w:ind w:left="993"/>
        <w:contextualSpacing w:val="0"/>
      </w:pPr>
      <w:r w:rsidRPr="0093054B">
        <w:rPr>
          <w:b/>
        </w:rPr>
        <w:t xml:space="preserve">B </w:t>
      </w:r>
      <w:r>
        <w:t xml:space="preserve">  Some potassium nitrate cannot dissolve.</w:t>
      </w:r>
    </w:p>
    <w:p w14:paraId="3742DF9C" w14:textId="65C2C8EE" w:rsidR="0042475C" w:rsidRPr="0042475C" w:rsidRDefault="0093054B" w:rsidP="0042475C">
      <w:pPr>
        <w:pStyle w:val="ListParagraph"/>
        <w:spacing w:after="180"/>
        <w:ind w:left="993"/>
        <w:contextualSpacing w:val="0"/>
      </w:pPr>
      <w:r w:rsidRPr="0042475C">
        <w:rPr>
          <w:noProof/>
        </w:rPr>
        <w:drawing>
          <wp:anchor distT="0" distB="0" distL="114300" distR="114300" simplePos="0" relativeHeight="251659264" behindDoc="0" locked="0" layoutInCell="1" allowOverlap="1" wp14:anchorId="20815E5A" wp14:editId="4E294730">
            <wp:simplePos x="0" y="0"/>
            <wp:positionH relativeFrom="column">
              <wp:posOffset>1533525</wp:posOffset>
            </wp:positionH>
            <wp:positionV relativeFrom="paragraph">
              <wp:posOffset>137160</wp:posOffset>
            </wp:positionV>
            <wp:extent cx="648335" cy="758825"/>
            <wp:effectExtent l="0" t="0" r="0" b="3175"/>
            <wp:wrapSquare wrapText="bothSides"/>
            <wp:docPr id="7" name="Picture 6">
              <a:extLst xmlns:a="http://schemas.openxmlformats.org/drawingml/2006/main">
                <a:ext uri="{FF2B5EF4-FFF2-40B4-BE49-F238E27FC236}">
                  <a16:creationId xmlns:a16="http://schemas.microsoft.com/office/drawing/2014/main" id="{AE756647-C0A3-47AB-BEA6-F87F70B6765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AE756647-C0A3-47AB-BEA6-F87F70B67656}"/>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648335" cy="758825"/>
                    </a:xfrm>
                    <a:prstGeom prst="rect">
                      <a:avLst/>
                    </a:prstGeom>
                  </pic:spPr>
                </pic:pic>
              </a:graphicData>
            </a:graphic>
            <wp14:sizeRelH relativeFrom="margin">
              <wp14:pctWidth>0</wp14:pctWidth>
            </wp14:sizeRelH>
            <wp14:sizeRelV relativeFrom="margin">
              <wp14:pctHeight>0</wp14:pctHeight>
            </wp14:sizeRelV>
          </wp:anchor>
        </w:drawing>
      </w:r>
      <w:r>
        <w:t xml:space="preserve"> </w:t>
      </w:r>
      <w:r w:rsidR="0042475C">
        <w:tab/>
      </w:r>
      <w:r w:rsidR="0042475C">
        <w:tab/>
      </w:r>
      <w:r>
        <w:t xml:space="preserve">  </w:t>
      </w:r>
      <w:r>
        <w:tab/>
      </w:r>
    </w:p>
    <w:p w14:paraId="6EFDF315" w14:textId="21C38B46" w:rsidR="00201AC2" w:rsidRPr="00201AC2" w:rsidRDefault="00201AC2" w:rsidP="006F3279">
      <w:pPr>
        <w:spacing w:after="240"/>
        <w:rPr>
          <w:szCs w:val="18"/>
        </w:rPr>
      </w:pPr>
    </w:p>
    <w:p w14:paraId="1F636D35" w14:textId="77777777"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14:paraId="44615867" w14:textId="002B33D0"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42475C">
        <w:rPr>
          <w:i/>
          <w:sz w:val="18"/>
          <w:szCs w:val="18"/>
        </w:rPr>
        <w:t>CSU: Substance</w:t>
      </w:r>
      <w:r w:rsidR="0007651D">
        <w:rPr>
          <w:i/>
          <w:sz w:val="18"/>
          <w:szCs w:val="18"/>
        </w:rPr>
        <w:t xml:space="preserve"> &gt; Topic </w:t>
      </w:r>
      <w:r w:rsidR="0042475C">
        <w:rPr>
          <w:i/>
          <w:sz w:val="18"/>
          <w:szCs w:val="18"/>
        </w:rPr>
        <w:t>CSU2: Solubility</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42475C">
        <w:rPr>
          <w:i/>
          <w:sz w:val="18"/>
          <w:szCs w:val="18"/>
        </w:rPr>
        <w:t>CSU2.1: Comparing solubility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603154C6" w14:textId="77777777" w:rsidTr="00323334">
        <w:tc>
          <w:tcPr>
            <w:tcW w:w="12021" w:type="dxa"/>
            <w:shd w:val="clear" w:color="auto" w:fill="FABF8F" w:themeFill="accent6" w:themeFillTint="99"/>
          </w:tcPr>
          <w:p w14:paraId="65895290"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681970BA" w14:textId="77777777" w:rsidTr="00323334">
        <w:tc>
          <w:tcPr>
            <w:tcW w:w="12021" w:type="dxa"/>
            <w:shd w:val="clear" w:color="auto" w:fill="FBD4B4" w:themeFill="accent6" w:themeFillTint="66"/>
          </w:tcPr>
          <w:p w14:paraId="5F8E1070" w14:textId="431FA729" w:rsidR="006F3279" w:rsidRPr="00CA4B46" w:rsidRDefault="0042475C" w:rsidP="006F3279">
            <w:pPr>
              <w:spacing w:after="60"/>
              <w:ind w:left="1304"/>
              <w:rPr>
                <w:b/>
                <w:sz w:val="40"/>
                <w:szCs w:val="40"/>
              </w:rPr>
            </w:pPr>
            <w:r>
              <w:rPr>
                <w:b/>
                <w:sz w:val="40"/>
                <w:szCs w:val="40"/>
              </w:rPr>
              <w:t>Solubility graph</w:t>
            </w:r>
          </w:p>
        </w:tc>
      </w:tr>
    </w:tbl>
    <w:p w14:paraId="330679D2" w14:textId="77777777" w:rsidR="006F3279" w:rsidRDefault="006F3279" w:rsidP="00E172C6">
      <w:pPr>
        <w:spacing w:after="180"/>
        <w:rPr>
          <w:b/>
        </w:rPr>
      </w:pPr>
    </w:p>
    <w:p w14:paraId="1A7C367F"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4231DA3B" w14:textId="77777777" w:rsidTr="003F16F9">
        <w:trPr>
          <w:trHeight w:val="340"/>
        </w:trPr>
        <w:tc>
          <w:tcPr>
            <w:tcW w:w="2196" w:type="dxa"/>
          </w:tcPr>
          <w:p w14:paraId="2A436B5F" w14:textId="77777777" w:rsidR="00FA5B3A" w:rsidRDefault="00FA5B3A" w:rsidP="00FA5B3A">
            <w:pPr>
              <w:spacing w:before="60" w:after="60"/>
            </w:pPr>
            <w:r>
              <w:t>Learning focus:</w:t>
            </w:r>
          </w:p>
        </w:tc>
        <w:tc>
          <w:tcPr>
            <w:tcW w:w="6820" w:type="dxa"/>
          </w:tcPr>
          <w:p w14:paraId="777AEF0E" w14:textId="64F22209" w:rsidR="00FA5B3A" w:rsidRDefault="0042475C" w:rsidP="00FA5B3A">
            <w:pPr>
              <w:spacing w:before="60" w:after="60"/>
            </w:pPr>
            <w:r>
              <w:t>Solubility is a property of a substance that varies with temperature.</w:t>
            </w:r>
          </w:p>
        </w:tc>
      </w:tr>
      <w:tr w:rsidR="00FA5B3A" w14:paraId="1C73FBF6" w14:textId="77777777" w:rsidTr="003F16F9">
        <w:trPr>
          <w:trHeight w:val="340"/>
        </w:trPr>
        <w:tc>
          <w:tcPr>
            <w:tcW w:w="2196" w:type="dxa"/>
          </w:tcPr>
          <w:p w14:paraId="0D8DE3E0" w14:textId="77777777" w:rsidR="00FA5B3A" w:rsidRDefault="00FA5B3A" w:rsidP="00FA5B3A">
            <w:pPr>
              <w:spacing w:before="60" w:after="60"/>
            </w:pPr>
            <w:r>
              <w:t>Observable learning outcome:</w:t>
            </w:r>
          </w:p>
        </w:tc>
        <w:tc>
          <w:tcPr>
            <w:tcW w:w="6820" w:type="dxa"/>
          </w:tcPr>
          <w:p w14:paraId="176BC512" w14:textId="451C33EC" w:rsidR="00FA5B3A" w:rsidRPr="00A50C9C" w:rsidRDefault="0042475C" w:rsidP="00FA5B3A">
            <w:pPr>
              <w:spacing w:before="60" w:after="60"/>
              <w:rPr>
                <w:b/>
              </w:rPr>
            </w:pPr>
            <w:r>
              <w:t xml:space="preserve">Link </w:t>
            </w:r>
            <w:r w:rsidR="00A8773E">
              <w:t>points on a solubility graph</w:t>
            </w:r>
            <w:r>
              <w:t xml:space="preserve"> to macroscopic observations.</w:t>
            </w:r>
          </w:p>
        </w:tc>
      </w:tr>
      <w:tr w:rsidR="00FA5B3A" w14:paraId="1F64DC10" w14:textId="77777777" w:rsidTr="003F16F9">
        <w:trPr>
          <w:trHeight w:val="340"/>
        </w:trPr>
        <w:tc>
          <w:tcPr>
            <w:tcW w:w="2196" w:type="dxa"/>
          </w:tcPr>
          <w:p w14:paraId="2895DD97" w14:textId="77777777" w:rsidR="00FA5B3A" w:rsidRDefault="007F5D5D" w:rsidP="00FA5B3A">
            <w:pPr>
              <w:spacing w:before="60" w:after="60"/>
            </w:pPr>
            <w:r>
              <w:t>Question</w:t>
            </w:r>
            <w:r w:rsidR="00FA5B3A">
              <w:t xml:space="preserve"> type:</w:t>
            </w:r>
          </w:p>
        </w:tc>
        <w:tc>
          <w:tcPr>
            <w:tcW w:w="6820" w:type="dxa"/>
          </w:tcPr>
          <w:p w14:paraId="1862BFCD" w14:textId="03E76385" w:rsidR="00FA5B3A" w:rsidRDefault="007549E6" w:rsidP="00FA5B3A">
            <w:pPr>
              <w:spacing w:before="60" w:after="60"/>
            </w:pPr>
            <w:r>
              <w:t xml:space="preserve">Diagnostic, </w:t>
            </w:r>
            <w:r w:rsidR="0042475C">
              <w:t>simple multiple choice</w:t>
            </w:r>
          </w:p>
        </w:tc>
      </w:tr>
      <w:tr w:rsidR="00FA5B3A" w14:paraId="6C46F1D4" w14:textId="77777777" w:rsidTr="003F16F9">
        <w:trPr>
          <w:trHeight w:val="340"/>
        </w:trPr>
        <w:tc>
          <w:tcPr>
            <w:tcW w:w="2196" w:type="dxa"/>
          </w:tcPr>
          <w:p w14:paraId="7B5B1B50" w14:textId="77777777" w:rsidR="00FA5B3A" w:rsidRDefault="00FA5B3A" w:rsidP="00FA5B3A">
            <w:pPr>
              <w:spacing w:before="60" w:after="60"/>
            </w:pPr>
            <w:r>
              <w:t>Key words:</w:t>
            </w:r>
          </w:p>
        </w:tc>
        <w:tc>
          <w:tcPr>
            <w:tcW w:w="6820" w:type="dxa"/>
            <w:tcBorders>
              <w:bottom w:val="dotted" w:sz="4" w:space="0" w:color="auto"/>
            </w:tcBorders>
          </w:tcPr>
          <w:p w14:paraId="7133D388" w14:textId="66C6189C" w:rsidR="00FA5B3A" w:rsidRDefault="0042475C" w:rsidP="00FA5B3A">
            <w:pPr>
              <w:spacing w:before="60" w:after="60"/>
            </w:pPr>
            <w:r>
              <w:t>solubility, solution</w:t>
            </w:r>
          </w:p>
        </w:tc>
      </w:tr>
    </w:tbl>
    <w:p w14:paraId="70668641" w14:textId="77777777" w:rsidR="0042475C" w:rsidRDefault="0042475C" w:rsidP="00026DEC">
      <w:pPr>
        <w:spacing w:after="180"/>
        <w:rPr>
          <w:b/>
          <w:color w:val="E36C0A" w:themeColor="accent6" w:themeShade="BF"/>
          <w:sz w:val="24"/>
        </w:rPr>
      </w:pPr>
    </w:p>
    <w:p w14:paraId="609D85B2" w14:textId="305CBA5E"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619E50BA" w14:textId="6F9005B3" w:rsidR="007549E6" w:rsidRDefault="007549E6" w:rsidP="007549E6">
      <w:pPr>
        <w:spacing w:after="180"/>
      </w:pPr>
      <w:bookmarkStart w:id="1" w:name="_Hlk536096745"/>
      <w:r>
        <w:t xml:space="preserve">A research paper </w:t>
      </w:r>
      <w:r>
        <w:fldChar w:fldCharType="begin"/>
      </w:r>
      <w:r>
        <w:instrText xml:space="preserve"> ADDIN EN.CITE &lt;EndNote&gt;&lt;Cite&gt;&lt;Author&gt;Gültepe&lt;/Author&gt;&lt;Year&gt;2016&lt;/Year&gt;&lt;IDText&gt;Reflections on high school students&amp;apos; graphing skills and their conceptual understanding of drawing chemistry graphs&lt;/IDText&gt;&lt;DisplayText&gt;(Gültepe, 2016)&lt;/DisplayText&gt;&lt;record&gt;&lt;titles&gt;&lt;title&gt;Reflections on high school students&amp;apos; graphing skills and their conceptual understanding of drawing chemistry graphs&lt;/title&gt;&lt;secondary-title&gt;Educational sciences: Theory and practice&lt;/secondary-title&gt;&lt;/titles&gt;&lt;pages&gt;53-81&lt;/pages&gt;&lt;contributors&gt;&lt;authors&gt;&lt;author&gt;Gültepe, Nejla&lt;/author&gt;&lt;/authors&gt;&lt;/contributors&gt;&lt;added-date format="utc"&gt;1548241865&lt;/added-date&gt;&lt;ref-type name="Journal Article"&gt;17&lt;/ref-type&gt;&lt;dates&gt;&lt;year&gt;2016&lt;/year&gt;&lt;/dates&gt;&lt;rec-number&gt;40&lt;/rec-number&gt;&lt;last-updated-date format="utc"&gt;1548242156&lt;/last-updated-date&gt;&lt;volume&gt;16&lt;/volume&gt;&lt;/record&gt;&lt;/Cite&gt;&lt;/EndNote&gt;</w:instrText>
      </w:r>
      <w:r>
        <w:fldChar w:fldCharType="separate"/>
      </w:r>
      <w:r>
        <w:rPr>
          <w:noProof/>
        </w:rPr>
        <w:t>(Gültepe, 2016)</w:t>
      </w:r>
      <w:r>
        <w:fldChar w:fldCharType="end"/>
      </w:r>
      <w:r>
        <w:t xml:space="preserve"> reports the finding of an investigation into students’ ability to interpret graphs in chemistry. Clearly a mathematical understanding was essential for the correct interpretation of graphs however this was not found to be sufficient. A conceptual understanding of the chemistry being represented was also needed.</w:t>
      </w:r>
    </w:p>
    <w:p w14:paraId="118BDC38" w14:textId="77777777" w:rsidR="007549E6" w:rsidRDefault="007549E6" w:rsidP="007549E6">
      <w:pPr>
        <w:spacing w:after="180"/>
      </w:pPr>
      <w:r>
        <w:t xml:space="preserve">Johnstone’s triangle </w:t>
      </w:r>
      <w:r>
        <w:fldChar w:fldCharType="begin"/>
      </w:r>
      <w:r>
        <w:instrText xml:space="preserve"> ADDIN EN.CITE &lt;EndNote&gt;&lt;Cite&gt;&lt;Author&gt;Johnstone&lt;/Author&gt;&lt;Year&gt;1991&lt;/Year&gt;&lt;IDText&gt;Why is chemistry difficult to learn? Things are seldom what they seem.&lt;/IDText&gt;&lt;DisplayText&gt;(Johnstone, 1991)&lt;/DisplayText&gt;&lt;record&gt;&lt;titles&gt;&lt;title&gt;Why is chemistry difficult to learn? Things are seldom what they seem.&lt;/title&gt;&lt;secondary-title&gt;Journal of Computer Assisted Learning&lt;/secondary-title&gt;&lt;/titles&gt;&lt;pages&gt;75-83&lt;/pages&gt;&lt;contributors&gt;&lt;authors&gt;&lt;author&gt;Johnstone, A.H.&lt;/author&gt;&lt;/authors&gt;&lt;/contributors&gt;&lt;added-date format="utc"&gt;1532360293&lt;/added-date&gt;&lt;ref-type name="Journal Article"&gt;17&lt;/ref-type&gt;&lt;dates&gt;&lt;year&gt;1991&lt;/year&gt;&lt;/dates&gt;&lt;rec-number&gt;10&lt;/rec-number&gt;&lt;last-updated-date format="utc"&gt;1532360360&lt;/last-updated-date&gt;&lt;volume&gt;7&lt;/volume&gt;&lt;/record&gt;&lt;/Cite&gt;&lt;/EndNote&gt;</w:instrText>
      </w:r>
      <w:r>
        <w:fldChar w:fldCharType="separate"/>
      </w:r>
      <w:r>
        <w:rPr>
          <w:noProof/>
        </w:rPr>
        <w:t>(Johnstone, 1991)</w:t>
      </w:r>
      <w:r>
        <w:fldChar w:fldCharType="end"/>
      </w:r>
      <w:r>
        <w:t xml:space="preserve"> illustrates the need in chemistry to move between three different representational levels.  </w:t>
      </w:r>
    </w:p>
    <w:p w14:paraId="3D8C125B" w14:textId="77777777" w:rsidR="007549E6" w:rsidRDefault="007549E6" w:rsidP="007549E6">
      <w:pPr>
        <w:spacing w:after="180"/>
      </w:pPr>
      <w:r>
        <w:rPr>
          <w:noProof/>
        </w:rPr>
        <w:drawing>
          <wp:anchor distT="0" distB="0" distL="114300" distR="114300" simplePos="0" relativeHeight="251661312" behindDoc="0" locked="0" layoutInCell="1" allowOverlap="1" wp14:anchorId="0206D07B" wp14:editId="5A78ADF6">
            <wp:simplePos x="0" y="0"/>
            <wp:positionH relativeFrom="column">
              <wp:posOffset>209550</wp:posOffset>
            </wp:positionH>
            <wp:positionV relativeFrom="paragraph">
              <wp:posOffset>6985</wp:posOffset>
            </wp:positionV>
            <wp:extent cx="1640840" cy="113792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Ohnstone's traingl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40840" cy="1137920"/>
                    </a:xfrm>
                    <a:prstGeom prst="rect">
                      <a:avLst/>
                    </a:prstGeom>
                  </pic:spPr>
                </pic:pic>
              </a:graphicData>
            </a:graphic>
          </wp:anchor>
        </w:drawing>
      </w:r>
    </w:p>
    <w:p w14:paraId="41A907DF" w14:textId="77777777" w:rsidR="007549E6" w:rsidRDefault="007549E6" w:rsidP="007549E6">
      <w:pPr>
        <w:spacing w:after="180"/>
      </w:pPr>
    </w:p>
    <w:p w14:paraId="0C9FD58C" w14:textId="77777777" w:rsidR="007549E6" w:rsidRDefault="007549E6" w:rsidP="007549E6">
      <w:pPr>
        <w:spacing w:after="180"/>
      </w:pPr>
    </w:p>
    <w:p w14:paraId="6AD02609" w14:textId="77777777" w:rsidR="007549E6" w:rsidRDefault="007549E6" w:rsidP="007549E6">
      <w:pPr>
        <w:spacing w:after="180"/>
      </w:pPr>
    </w:p>
    <w:p w14:paraId="4E5020BA" w14:textId="77777777" w:rsidR="007549E6" w:rsidRDefault="007549E6" w:rsidP="007549E6">
      <w:pPr>
        <w:spacing w:after="180"/>
      </w:pPr>
    </w:p>
    <w:p w14:paraId="73046A57" w14:textId="77777777" w:rsidR="007549E6" w:rsidRPr="004F6641" w:rsidRDefault="007549E6" w:rsidP="007549E6">
      <w:pPr>
        <w:spacing w:after="180"/>
        <w:rPr>
          <w:i/>
        </w:rPr>
      </w:pPr>
      <w:r w:rsidRPr="004F6641">
        <w:rPr>
          <w:i/>
        </w:rPr>
        <w:t>Fig. 1 Johnstone’s triangle</w:t>
      </w:r>
    </w:p>
    <w:p w14:paraId="0B708598" w14:textId="77777777" w:rsidR="007549E6" w:rsidRDefault="007549E6" w:rsidP="007549E6">
      <w:pPr>
        <w:spacing w:after="180"/>
      </w:pPr>
      <w:r>
        <w:t xml:space="preserve">Adadan and Savasci </w:t>
      </w:r>
      <w:r>
        <w:fldChar w:fldCharType="begin"/>
      </w:r>
      <w:r>
        <w:instrText xml:space="preserve"> ADDIN EN.CITE &lt;EndNote&gt;&lt;Cite ExcludeAuth="1"&gt;&lt;Author&gt;Adadan&lt;/Author&gt;&lt;Year&gt;2012&lt;/Year&gt;&lt;IDText&gt;An analysis of 16 to 17 year old students&amp;apos; understanding of solution chemistry concepts using a two-tier diagnostic instrument&lt;/IDText&gt;&lt;DisplayText&gt;(2012)&lt;/DisplayText&gt;&lt;record&gt;&lt;titles&gt;&lt;title&gt;An analysis of 16 to 17 year old students&amp;apos; understanding of solution chemistry concepts using a two-tier diagnostic instrument&lt;/title&gt;&lt;secondary-title&gt;International Journal of Science Education&lt;/secondary-title&gt;&lt;/titles&gt;&lt;pages&gt;513 to 544&lt;/pages&gt;&lt;number&gt;4&lt;/number&gt;&lt;contributors&gt;&lt;authors&gt;&lt;author&gt;Adadan, Emine&lt;/author&gt;&lt;author&gt;Savasci, F&lt;/author&gt;&lt;/authors&gt;&lt;/contributors&gt;&lt;added-date format="utc"&gt;1547816494&lt;/added-date&gt;&lt;ref-type name="Journal Article"&gt;17&lt;/ref-type&gt;&lt;dates&gt;&lt;year&gt;2012&lt;/year&gt;&lt;/dates&gt;&lt;rec-number&gt;38&lt;/rec-number&gt;&lt;last-updated-date format="utc"&gt;1548174240&lt;/last-updated-date&gt;&lt;volume&gt;34&lt;/volume&gt;&lt;/record&gt;&lt;/Cite&gt;&lt;/EndNote&gt;</w:instrText>
      </w:r>
      <w:r>
        <w:fldChar w:fldCharType="separate"/>
      </w:r>
      <w:r>
        <w:rPr>
          <w:noProof/>
        </w:rPr>
        <w:t>(2012)</w:t>
      </w:r>
      <w:r>
        <w:fldChar w:fldCharType="end"/>
      </w:r>
      <w:r>
        <w:t xml:space="preserve"> describe a graph as a symbolic representation and highlight difficulties students may have in moving between this and other levels of representation.</w:t>
      </w:r>
    </w:p>
    <w:p w14:paraId="5F94FF5B" w14:textId="1FDB176E" w:rsidR="007549E6" w:rsidRDefault="007549E6" w:rsidP="00052942">
      <w:pPr>
        <w:spacing w:after="180"/>
      </w:pPr>
      <w:r>
        <w:t xml:space="preserve">This question aims to find out whether students can move between </w:t>
      </w:r>
      <w:r>
        <w:t>graphical</w:t>
      </w:r>
      <w:r>
        <w:t xml:space="preserve"> information about the solubility of a solute and a macroscopic understanding of what would be observed. </w:t>
      </w:r>
    </w:p>
    <w:bookmarkEnd w:id="1"/>
    <w:p w14:paraId="3D06D5E8"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51BBDB13" w14:textId="77777777" w:rsidR="00052942" w:rsidRPr="00B36B69" w:rsidRDefault="00052942" w:rsidP="00052942">
      <w:pPr>
        <w:spacing w:after="180"/>
      </w:pPr>
      <w:bookmarkStart w:id="2" w:name="_Hlk516052368"/>
      <w:r w:rsidRPr="00B36B69">
        <w:t xml:space="preserve">Students should complete the question individually.  This could be a pencil and paper exercise, or you could use an electronic ‘voting system’ or mini white boards and the PowerPoint presentation.  </w:t>
      </w:r>
    </w:p>
    <w:p w14:paraId="04BF1B7C" w14:textId="0E631CAD" w:rsidR="00052942" w:rsidRPr="00816065" w:rsidRDefault="00052942" w:rsidP="00052942">
      <w:pPr>
        <w:spacing w:after="180"/>
        <w:rPr>
          <w:rFonts w:cstheme="minorHAnsi"/>
        </w:rPr>
      </w:pPr>
      <w:r w:rsidRPr="00816065">
        <w:rPr>
          <w:rFonts w:cstheme="minorHAnsi"/>
        </w:rPr>
        <w:t xml:space="preserve">If there </w:t>
      </w:r>
      <w:r>
        <w:rPr>
          <w:rFonts w:cstheme="minorHAnsi"/>
        </w:rPr>
        <w:t>is disagreement on which beaker goes with which point</w:t>
      </w:r>
      <w:r w:rsidRPr="00816065">
        <w:rPr>
          <w:rFonts w:cstheme="minorHAnsi"/>
        </w:rPr>
        <w:t xml:space="preserve">,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bookmarkEnd w:id="2"/>
    <w:p w14:paraId="328E27C8" w14:textId="77777777" w:rsidR="00052942" w:rsidRDefault="00052942" w:rsidP="00052942">
      <w:pPr>
        <w:spacing w:after="180"/>
        <w:rPr>
          <w:rFonts w:cstheme="minorHAnsi"/>
          <w:i/>
        </w:rPr>
      </w:pPr>
      <w:r w:rsidRPr="00AE7928">
        <w:rPr>
          <w:rFonts w:cstheme="minorHAnsi"/>
          <w:i/>
        </w:rPr>
        <w:t>Differentiation</w:t>
      </w:r>
    </w:p>
    <w:p w14:paraId="1299054A" w14:textId="501B47EB" w:rsidR="00052942" w:rsidRPr="00AE7928" w:rsidRDefault="00052942" w:rsidP="00052942">
      <w:pPr>
        <w:spacing w:after="180"/>
        <w:rPr>
          <w:rFonts w:cstheme="minorHAnsi"/>
        </w:rPr>
      </w:pPr>
      <w:r>
        <w:rPr>
          <w:rFonts w:cstheme="minorHAnsi"/>
        </w:rPr>
        <w:t>It may help some students to show the</w:t>
      </w:r>
      <w:r w:rsidR="007549E6">
        <w:rPr>
          <w:rFonts w:cstheme="minorHAnsi"/>
        </w:rPr>
        <w:t>m</w:t>
      </w:r>
      <w:r>
        <w:rPr>
          <w:rFonts w:cstheme="minorHAnsi"/>
        </w:rPr>
        <w:t xml:space="preserve"> a fully dissolved solution and one with undissolved solid remaining</w:t>
      </w:r>
      <w:r w:rsidR="0093054B">
        <w:rPr>
          <w:rFonts w:cstheme="minorHAnsi"/>
        </w:rPr>
        <w:t xml:space="preserve"> in order to make sure they are correctly interpreting the diagrams</w:t>
      </w:r>
      <w:r w:rsidR="007549E6">
        <w:rPr>
          <w:rFonts w:cstheme="minorHAnsi"/>
        </w:rPr>
        <w:t xml:space="preserve"> in the question.</w:t>
      </w:r>
    </w:p>
    <w:p w14:paraId="55AB8411"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2FF66EFF" w14:textId="47A62416" w:rsidR="00BF6C8A" w:rsidRDefault="0093054B" w:rsidP="00BF6C8A">
      <w:pPr>
        <w:spacing w:after="180"/>
      </w:pPr>
      <w:r>
        <w:t>1A, 2A, 3B</w:t>
      </w:r>
    </w:p>
    <w:p w14:paraId="1C0CF8EB"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38B5FF67" w14:textId="0F7CCF5B" w:rsidR="004F039C" w:rsidRPr="009D18B3" w:rsidRDefault="007267FF" w:rsidP="006A4440">
      <w:pPr>
        <w:spacing w:after="180"/>
      </w:pPr>
      <w:r w:rsidRPr="009D18B3">
        <w:t xml:space="preserve">First it is important to establish that students understand the graph mathematically. You may wish to check </w:t>
      </w:r>
      <w:r w:rsidR="009D18B3" w:rsidRPr="009D18B3">
        <w:t>that they understand what each of the points represent in terms of mass of solute and temperature of solution.</w:t>
      </w:r>
    </w:p>
    <w:p w14:paraId="2463AAF4" w14:textId="7E03E8DC" w:rsidR="007267FF" w:rsidRPr="009D18B3" w:rsidRDefault="007267FF" w:rsidP="006A4440">
      <w:pPr>
        <w:spacing w:after="180"/>
      </w:pPr>
      <w:r w:rsidRPr="009D18B3">
        <w:t>It may then help to establish whether students</w:t>
      </w:r>
      <w:r w:rsidR="009D18B3" w:rsidRPr="009D18B3">
        <w:t xml:space="preserve"> have sufficient chemistry understanding to interpret the meaning of the solubility curve. </w:t>
      </w:r>
      <w:r w:rsidR="007549E6">
        <w:t>For example,</w:t>
      </w:r>
      <w:r w:rsidR="009D18B3" w:rsidRPr="009D18B3">
        <w:t xml:space="preserve"> you may wish to check whether </w:t>
      </w:r>
      <w:r w:rsidR="007549E6">
        <w:t xml:space="preserve">students </w:t>
      </w:r>
      <w:r w:rsidR="009D18B3" w:rsidRPr="009D18B3">
        <w:t>understand</w:t>
      </w:r>
      <w:r w:rsidRPr="009D18B3">
        <w:t xml:space="preserve"> </w:t>
      </w:r>
      <w:r w:rsidR="007549E6">
        <w:t>the significance of a point being plotted in the area</w:t>
      </w:r>
      <w:r w:rsidR="009D18B3" w:rsidRPr="009D18B3">
        <w:t xml:space="preserve"> below the curve</w:t>
      </w:r>
      <w:r w:rsidR="007549E6">
        <w:t>. It may benefit students to understand that points plotted below the curve</w:t>
      </w:r>
      <w:r w:rsidR="009D18B3" w:rsidRPr="009D18B3">
        <w:t xml:space="preserve"> represent solutions containing less than the maximum mass of solute that can dissolve</w:t>
      </w:r>
      <w:r w:rsidR="007549E6">
        <w:t xml:space="preserve"> so no undissolved solid will be observed. Points plotted in the</w:t>
      </w:r>
      <w:r w:rsidR="009D18B3" w:rsidRPr="009D18B3">
        <w:t xml:space="preserve"> area above the curve </w:t>
      </w:r>
      <w:r w:rsidR="007E523A">
        <w:t>represent</w:t>
      </w:r>
      <w:r w:rsidR="007549E6">
        <w:t xml:space="preserve"> </w:t>
      </w:r>
      <w:r w:rsidR="009D18B3" w:rsidRPr="009D18B3">
        <w:t>solutions</w:t>
      </w:r>
      <w:r w:rsidR="007549E6">
        <w:t xml:space="preserve"> that</w:t>
      </w:r>
      <w:r w:rsidR="009D18B3" w:rsidRPr="009D18B3">
        <w:t xml:space="preserve"> contain more than the maximum mass of solute that will dissolve</w:t>
      </w:r>
      <w:r w:rsidR="007549E6">
        <w:t xml:space="preserve"> therefore undissolved solids will be observed. Any point on the actual curve represents a solution containing the maximum mass of solute that can dissolve</w:t>
      </w:r>
      <w:r w:rsidR="007E523A">
        <w:t xml:space="preserve"> so no undissolved solid should be present.</w:t>
      </w:r>
    </w:p>
    <w:p w14:paraId="1F7364E0" w14:textId="47EAF47E" w:rsidR="009D18B3" w:rsidRPr="009D18B3" w:rsidRDefault="004F039C" w:rsidP="006A4440">
      <w:pPr>
        <w:spacing w:after="180"/>
      </w:pPr>
      <w:r w:rsidRPr="009D18B3">
        <w:t xml:space="preserve">If students </w:t>
      </w:r>
      <w:r w:rsidR="009D18B3" w:rsidRPr="009D18B3">
        <w:t xml:space="preserve">still </w:t>
      </w:r>
      <w:r w:rsidRPr="009D18B3">
        <w:t xml:space="preserve">have </w:t>
      </w:r>
      <w:r w:rsidR="001E4950" w:rsidRPr="009D18B3">
        <w:t>misunderstanding</w:t>
      </w:r>
      <w:r w:rsidRPr="009D18B3">
        <w:t xml:space="preserve">s about </w:t>
      </w:r>
      <w:r w:rsidR="009D18B3" w:rsidRPr="009D18B3">
        <w:t>how the graph links to macroscopic observations</w:t>
      </w:r>
      <w:r w:rsidR="007549E6">
        <w:t>,</w:t>
      </w:r>
      <w:r w:rsidR="009D18B3" w:rsidRPr="009D18B3">
        <w:t xml:space="preserve"> you may need to show them real life examples of solutions where all the solute can dissolve as well as a solution where more solute was added than could dissolve. </w:t>
      </w:r>
    </w:p>
    <w:p w14:paraId="3913D674" w14:textId="3A5DCCD2" w:rsidR="005F1A7B" w:rsidRDefault="004F039C" w:rsidP="006A4440">
      <w:pPr>
        <w:spacing w:after="180"/>
      </w:pPr>
      <w:r w:rsidRPr="009D18B3">
        <w:t xml:space="preserve"> The following </w:t>
      </w:r>
      <w:r w:rsidR="005F1A7B" w:rsidRPr="009D18B3">
        <w:t xml:space="preserve">BEST </w:t>
      </w:r>
      <w:r w:rsidR="004C5D20" w:rsidRPr="009D18B3">
        <w:t xml:space="preserve">‘response </w:t>
      </w:r>
      <w:r w:rsidR="00C1460B" w:rsidRPr="009D18B3">
        <w:t>activit</w:t>
      </w:r>
      <w:r w:rsidR="007E523A">
        <w:t>y</w:t>
      </w:r>
      <w:r w:rsidR="004C5D20" w:rsidRPr="009D18B3">
        <w:t>’</w:t>
      </w:r>
      <w:r w:rsidR="005F1A7B" w:rsidRPr="009D18B3">
        <w:t xml:space="preserve"> </w:t>
      </w:r>
      <w:r w:rsidR="004C5D20" w:rsidRPr="009D18B3">
        <w:t>c</w:t>
      </w:r>
      <w:r w:rsidR="005F1A7B" w:rsidRPr="009D18B3">
        <w:t xml:space="preserve">ould </w:t>
      </w:r>
      <w:r w:rsidR="004C5D20" w:rsidRPr="009D18B3">
        <w:t>be used in follow-up to this diagnostic question</w:t>
      </w:r>
      <w:r w:rsidRPr="009D18B3">
        <w:t>:</w:t>
      </w:r>
    </w:p>
    <w:p w14:paraId="4916F748" w14:textId="12C554B9" w:rsidR="00A6111E" w:rsidRPr="00A6111E" w:rsidRDefault="0093054B" w:rsidP="00402E34">
      <w:pPr>
        <w:pStyle w:val="ListParagraph"/>
        <w:numPr>
          <w:ilvl w:val="0"/>
          <w:numId w:val="1"/>
        </w:numPr>
        <w:spacing w:after="180"/>
      </w:pPr>
      <w:r>
        <w:t>Solubility curve</w:t>
      </w:r>
    </w:p>
    <w:p w14:paraId="11196884"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16CB3DE3" w14:textId="440208EE" w:rsidR="00D278E8" w:rsidRDefault="00D278E8" w:rsidP="00E172C6">
      <w:pPr>
        <w:spacing w:after="180"/>
      </w:pPr>
      <w:r>
        <w:t xml:space="preserve">Developed </w:t>
      </w:r>
      <w:r w:rsidR="0015356E">
        <w:t>by</w:t>
      </w:r>
      <w:r w:rsidR="00052942">
        <w:t xml:space="preserve"> Helen Harden</w:t>
      </w:r>
      <w:r w:rsidR="0015356E">
        <w:t xml:space="preserve"> (UYSEG)</w:t>
      </w:r>
    </w:p>
    <w:p w14:paraId="0E11EE35" w14:textId="71893442" w:rsidR="00CC78A5" w:rsidRDefault="00D278E8" w:rsidP="00E172C6">
      <w:pPr>
        <w:spacing w:after="180"/>
      </w:pPr>
      <w:r w:rsidRPr="0045323E">
        <w:t xml:space="preserve">Images: </w:t>
      </w:r>
      <w:r w:rsidR="00052942">
        <w:t>Helen Harden</w:t>
      </w:r>
      <w:r w:rsidR="007549E6">
        <w:t>,</w:t>
      </w:r>
      <w:r w:rsidR="00052942">
        <w:t xml:space="preserve"> Alistair Moore</w:t>
      </w:r>
      <w:r w:rsidR="007549E6">
        <w:t xml:space="preserve"> and A.H. Johnstone</w:t>
      </w:r>
    </w:p>
    <w:p w14:paraId="737E9E32" w14:textId="4A389415" w:rsidR="00052942" w:rsidRPr="00052942" w:rsidRDefault="003117F6" w:rsidP="00E24309">
      <w:pPr>
        <w:spacing w:after="180"/>
        <w:rPr>
          <w:b/>
          <w:color w:val="E36C0A" w:themeColor="accent6" w:themeShade="BF"/>
          <w:sz w:val="24"/>
        </w:rPr>
      </w:pPr>
      <w:r w:rsidRPr="00323334">
        <w:rPr>
          <w:b/>
          <w:color w:val="E36C0A" w:themeColor="accent6" w:themeShade="BF"/>
          <w:sz w:val="24"/>
        </w:rPr>
        <w:t>References</w:t>
      </w:r>
    </w:p>
    <w:p w14:paraId="1D5B562F" w14:textId="77777777" w:rsidR="00052942" w:rsidRPr="00052942" w:rsidRDefault="00052942" w:rsidP="00052942">
      <w:pPr>
        <w:pStyle w:val="EndNoteBibliography"/>
      </w:pPr>
      <w:r>
        <w:fldChar w:fldCharType="begin"/>
      </w:r>
      <w:r>
        <w:instrText xml:space="preserve"> ADDIN EN.REFLIST </w:instrText>
      </w:r>
      <w:r>
        <w:fldChar w:fldCharType="separate"/>
      </w:r>
      <w:r w:rsidRPr="00052942">
        <w:t xml:space="preserve">Adadan, E. and Savasci, F. (2012). An analysis of 16 to 17 year old students' understanding of solution chemistry concepts using a two-tier diagnostic instrument. </w:t>
      </w:r>
      <w:r w:rsidRPr="00052942">
        <w:rPr>
          <w:i/>
        </w:rPr>
        <w:t>International Journal of Science Education,</w:t>
      </w:r>
      <w:r w:rsidRPr="00052942">
        <w:t xml:space="preserve"> 34(4)</w:t>
      </w:r>
      <w:r w:rsidRPr="00052942">
        <w:rPr>
          <w:b/>
        </w:rPr>
        <w:t>,</w:t>
      </w:r>
      <w:r w:rsidRPr="00052942">
        <w:t xml:space="preserve"> 513 to 544.</w:t>
      </w:r>
    </w:p>
    <w:p w14:paraId="7008BB0C" w14:textId="77777777" w:rsidR="00052942" w:rsidRPr="00052942" w:rsidRDefault="00052942" w:rsidP="00052942">
      <w:pPr>
        <w:pStyle w:val="EndNoteBibliography"/>
      </w:pPr>
      <w:r w:rsidRPr="00052942">
        <w:t xml:space="preserve">Gültepe, N. (2016). Reflections on high school students' graphing skills and their conceptual understanding of drawing chemistry graphs. </w:t>
      </w:r>
      <w:r w:rsidRPr="00052942">
        <w:rPr>
          <w:i/>
        </w:rPr>
        <w:t>Educational sciences: Theory and practice,</w:t>
      </w:r>
      <w:r w:rsidRPr="00052942">
        <w:t xml:space="preserve"> 16</w:t>
      </w:r>
      <w:r w:rsidRPr="00052942">
        <w:rPr>
          <w:b/>
        </w:rPr>
        <w:t>,</w:t>
      </w:r>
      <w:r w:rsidRPr="00052942">
        <w:t xml:space="preserve"> 53-81.</w:t>
      </w:r>
    </w:p>
    <w:p w14:paraId="76D1B7F8" w14:textId="77777777" w:rsidR="00052942" w:rsidRPr="00052942" w:rsidRDefault="00052942" w:rsidP="00052942">
      <w:pPr>
        <w:pStyle w:val="EndNoteBibliography"/>
      </w:pPr>
      <w:r w:rsidRPr="00052942">
        <w:t xml:space="preserve">Johnstone, A. H. (1991). Why is chemistry difficult to learn? Things are seldom what they seem. </w:t>
      </w:r>
      <w:r w:rsidRPr="00052942">
        <w:rPr>
          <w:i/>
        </w:rPr>
        <w:t>Journal of Computer Assisted Learning,</w:t>
      </w:r>
      <w:r w:rsidRPr="00052942">
        <w:t xml:space="preserve"> 7</w:t>
      </w:r>
      <w:r w:rsidRPr="00052942">
        <w:rPr>
          <w:b/>
        </w:rPr>
        <w:t>,</w:t>
      </w:r>
      <w:r w:rsidRPr="00052942">
        <w:t xml:space="preserve"> 75-83.</w:t>
      </w:r>
    </w:p>
    <w:p w14:paraId="5C6E4DBE" w14:textId="0EC00021" w:rsidR="0067031A" w:rsidRPr="0067031A" w:rsidRDefault="00052942" w:rsidP="00E24309">
      <w:pPr>
        <w:spacing w:after="180"/>
      </w:pPr>
      <w:r>
        <w:fldChar w:fldCharType="end"/>
      </w:r>
    </w:p>
    <w:sectPr w:rsidR="0067031A" w:rsidRPr="0067031A"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40EB0C" w14:textId="77777777" w:rsidR="00870C7F" w:rsidRDefault="00870C7F" w:rsidP="000B473B">
      <w:r>
        <w:separator/>
      </w:r>
    </w:p>
  </w:endnote>
  <w:endnote w:type="continuationSeparator" w:id="0">
    <w:p w14:paraId="53932F67" w14:textId="77777777" w:rsidR="00870C7F" w:rsidRDefault="00870C7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4CE9A"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B97656" wp14:editId="7EFDAB1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B31C8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7031A">
      <w:rPr>
        <w:noProof/>
      </w:rPr>
      <w:t>1</w:t>
    </w:r>
    <w:r>
      <w:rPr>
        <w:noProof/>
      </w:rPr>
      <w:fldChar w:fldCharType="end"/>
    </w:r>
  </w:p>
  <w:p w14:paraId="02C6C0DE"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67031A">
      <w:rPr>
        <w:sz w:val="16"/>
        <w:szCs w:val="16"/>
      </w:rPr>
      <w:t>document</w:t>
    </w:r>
    <w:r>
      <w:rPr>
        <w:sz w:val="16"/>
        <w:szCs w:val="16"/>
      </w:rPr>
      <w:t xml:space="preserve"> may have been edited. Download the original from </w:t>
    </w:r>
    <w:r w:rsidRPr="00ED4562">
      <w:rPr>
        <w:b/>
        <w:sz w:val="16"/>
        <w:szCs w:val="16"/>
      </w:rPr>
      <w:t>www.BestEvidenceScienceTeaching.org</w:t>
    </w:r>
  </w:p>
  <w:p w14:paraId="1DE1ACBD"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w:t>
    </w:r>
    <w:bookmarkStart w:id="0" w:name="_GoBack"/>
    <w:bookmarkEnd w:id="0"/>
    <w:r w:rsidRPr="001E4950">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877865" w14:textId="77777777" w:rsidR="00870C7F" w:rsidRDefault="00870C7F" w:rsidP="000B473B">
      <w:r>
        <w:separator/>
      </w:r>
    </w:p>
  </w:footnote>
  <w:footnote w:type="continuationSeparator" w:id="0">
    <w:p w14:paraId="2BF1D8E8" w14:textId="77777777" w:rsidR="00870C7F" w:rsidRDefault="00870C7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6A27D"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081A3EF9" wp14:editId="71EE9C10">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69E60832" wp14:editId="38D5661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87C85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0EF59E"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649A6AB3" wp14:editId="12FC35EA">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70AD0029" wp14:editId="37EC20E7">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32DEB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3055F"/>
    <w:rsid w:val="00015578"/>
    <w:rsid w:val="00024731"/>
    <w:rsid w:val="00026DEC"/>
    <w:rsid w:val="000505CA"/>
    <w:rsid w:val="00052942"/>
    <w:rsid w:val="0007651D"/>
    <w:rsid w:val="0009089A"/>
    <w:rsid w:val="000947E2"/>
    <w:rsid w:val="00095E04"/>
    <w:rsid w:val="000B45C3"/>
    <w:rsid w:val="000B473B"/>
    <w:rsid w:val="000D0E89"/>
    <w:rsid w:val="000E2689"/>
    <w:rsid w:val="00142613"/>
    <w:rsid w:val="00144DA7"/>
    <w:rsid w:val="0015356E"/>
    <w:rsid w:val="00161D3F"/>
    <w:rsid w:val="001915D4"/>
    <w:rsid w:val="001A1FED"/>
    <w:rsid w:val="001A40E2"/>
    <w:rsid w:val="001C4805"/>
    <w:rsid w:val="001E4950"/>
    <w:rsid w:val="00201AC2"/>
    <w:rsid w:val="00214608"/>
    <w:rsid w:val="0021607B"/>
    <w:rsid w:val="002178AC"/>
    <w:rsid w:val="0022547C"/>
    <w:rsid w:val="00242736"/>
    <w:rsid w:val="0025410A"/>
    <w:rsid w:val="0027553E"/>
    <w:rsid w:val="0028012F"/>
    <w:rsid w:val="002828DF"/>
    <w:rsid w:val="00287876"/>
    <w:rsid w:val="00292C53"/>
    <w:rsid w:val="00294E22"/>
    <w:rsid w:val="002C22EA"/>
    <w:rsid w:val="002C59BA"/>
    <w:rsid w:val="00301AA9"/>
    <w:rsid w:val="003117F6"/>
    <w:rsid w:val="00323334"/>
    <w:rsid w:val="003533B8"/>
    <w:rsid w:val="003752BE"/>
    <w:rsid w:val="003A346A"/>
    <w:rsid w:val="003B2917"/>
    <w:rsid w:val="003B541B"/>
    <w:rsid w:val="003E2B2F"/>
    <w:rsid w:val="003E6046"/>
    <w:rsid w:val="003F16F9"/>
    <w:rsid w:val="00402E34"/>
    <w:rsid w:val="0042475C"/>
    <w:rsid w:val="00430C1F"/>
    <w:rsid w:val="00442595"/>
    <w:rsid w:val="0045323E"/>
    <w:rsid w:val="004B0EE1"/>
    <w:rsid w:val="004C5D20"/>
    <w:rsid w:val="004D0D83"/>
    <w:rsid w:val="004E1DF1"/>
    <w:rsid w:val="004E5592"/>
    <w:rsid w:val="004F039C"/>
    <w:rsid w:val="0050055B"/>
    <w:rsid w:val="00524710"/>
    <w:rsid w:val="00555342"/>
    <w:rsid w:val="005560E2"/>
    <w:rsid w:val="005A452E"/>
    <w:rsid w:val="005A6EE7"/>
    <w:rsid w:val="005F1A7B"/>
    <w:rsid w:val="006355D8"/>
    <w:rsid w:val="00642ECD"/>
    <w:rsid w:val="006502A0"/>
    <w:rsid w:val="00653FDD"/>
    <w:rsid w:val="0067031A"/>
    <w:rsid w:val="006772F5"/>
    <w:rsid w:val="00695159"/>
    <w:rsid w:val="006A4440"/>
    <w:rsid w:val="006B0615"/>
    <w:rsid w:val="006D166B"/>
    <w:rsid w:val="006F3279"/>
    <w:rsid w:val="006F6C6B"/>
    <w:rsid w:val="00704AEE"/>
    <w:rsid w:val="00722F9A"/>
    <w:rsid w:val="007267FF"/>
    <w:rsid w:val="00754539"/>
    <w:rsid w:val="007549E6"/>
    <w:rsid w:val="00781BC6"/>
    <w:rsid w:val="007A3C86"/>
    <w:rsid w:val="007A683E"/>
    <w:rsid w:val="007A748B"/>
    <w:rsid w:val="007C26E1"/>
    <w:rsid w:val="007D1D65"/>
    <w:rsid w:val="007E0A9E"/>
    <w:rsid w:val="007E523A"/>
    <w:rsid w:val="007E5309"/>
    <w:rsid w:val="007F5D5D"/>
    <w:rsid w:val="00800DE1"/>
    <w:rsid w:val="00813F47"/>
    <w:rsid w:val="008450D6"/>
    <w:rsid w:val="00856FCA"/>
    <w:rsid w:val="00870C7F"/>
    <w:rsid w:val="00873B8C"/>
    <w:rsid w:val="00880E3B"/>
    <w:rsid w:val="008A405F"/>
    <w:rsid w:val="008C7F34"/>
    <w:rsid w:val="008E580C"/>
    <w:rsid w:val="0090047A"/>
    <w:rsid w:val="00925026"/>
    <w:rsid w:val="0093054B"/>
    <w:rsid w:val="00931264"/>
    <w:rsid w:val="00942A4B"/>
    <w:rsid w:val="00961D59"/>
    <w:rsid w:val="009B2CE4"/>
    <w:rsid w:val="009B2D55"/>
    <w:rsid w:val="009C0343"/>
    <w:rsid w:val="009D18B3"/>
    <w:rsid w:val="009E0D11"/>
    <w:rsid w:val="00A24A16"/>
    <w:rsid w:val="00A37D14"/>
    <w:rsid w:val="00A42C0B"/>
    <w:rsid w:val="00A6111E"/>
    <w:rsid w:val="00A6168B"/>
    <w:rsid w:val="00A62028"/>
    <w:rsid w:val="00A8773E"/>
    <w:rsid w:val="00AA6236"/>
    <w:rsid w:val="00AB6AE7"/>
    <w:rsid w:val="00AD21F5"/>
    <w:rsid w:val="00B06225"/>
    <w:rsid w:val="00B23C7A"/>
    <w:rsid w:val="00B3055F"/>
    <w:rsid w:val="00B305F5"/>
    <w:rsid w:val="00B46FF9"/>
    <w:rsid w:val="00B47E1D"/>
    <w:rsid w:val="00B75483"/>
    <w:rsid w:val="00BA7952"/>
    <w:rsid w:val="00BB44B4"/>
    <w:rsid w:val="00BF0BBF"/>
    <w:rsid w:val="00BF6C8A"/>
    <w:rsid w:val="00C05571"/>
    <w:rsid w:val="00C1460B"/>
    <w:rsid w:val="00C246CE"/>
    <w:rsid w:val="00C54711"/>
    <w:rsid w:val="00C57FA2"/>
    <w:rsid w:val="00CC2E4D"/>
    <w:rsid w:val="00CC78A5"/>
    <w:rsid w:val="00CC7B16"/>
    <w:rsid w:val="00CE15FE"/>
    <w:rsid w:val="00D02E15"/>
    <w:rsid w:val="00D14F44"/>
    <w:rsid w:val="00D178DC"/>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26884"/>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E3D880"/>
  <w15:docId w15:val="{5085BD3B-C08B-4D55-8D6C-7E30D57C9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05294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52942"/>
    <w:rPr>
      <w:rFonts w:ascii="Calibri" w:hAnsi="Calibri" w:cs="Calibri"/>
      <w:noProof/>
      <w:lang w:val="en-US"/>
    </w:rPr>
  </w:style>
  <w:style w:type="paragraph" w:customStyle="1" w:styleId="EndNoteBibliography">
    <w:name w:val="EndNote Bibliography"/>
    <w:basedOn w:val="Normal"/>
    <w:link w:val="EndNoteBibliographyChar"/>
    <w:rsid w:val="00052942"/>
    <w:rPr>
      <w:rFonts w:ascii="Calibri" w:hAnsi="Calibri" w:cs="Calibri"/>
      <w:noProof/>
      <w:lang w:val="en-US"/>
    </w:rPr>
  </w:style>
  <w:style w:type="character" w:customStyle="1" w:styleId="EndNoteBibliographyChar">
    <w:name w:val="EndNote Bibliography Char"/>
    <w:basedOn w:val="DefaultParagraphFont"/>
    <w:link w:val="EndNoteBibliography"/>
    <w:rsid w:val="0005294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Template>
  <TotalTime>80</TotalTime>
  <Pages>3</Pages>
  <Words>1065</Words>
  <Characters>6075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6</cp:revision>
  <cp:lastPrinted>2017-02-24T16:20:00Z</cp:lastPrinted>
  <dcterms:created xsi:type="dcterms:W3CDTF">2019-01-24T09:54:00Z</dcterms:created>
  <dcterms:modified xsi:type="dcterms:W3CDTF">2019-01-28T12:44:00Z</dcterms:modified>
</cp:coreProperties>
</file>