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A6192" w14:textId="5F70A026" w:rsidR="00201AC2" w:rsidRPr="00A56179" w:rsidRDefault="005E46AE" w:rsidP="00201AC2">
      <w:pPr>
        <w:spacing w:after="180"/>
        <w:rPr>
          <w:b/>
          <w:sz w:val="44"/>
          <w:szCs w:val="44"/>
        </w:rPr>
      </w:pPr>
      <w:r w:rsidRPr="00A56179">
        <w:rPr>
          <w:b/>
          <w:sz w:val="44"/>
          <w:szCs w:val="44"/>
        </w:rPr>
        <w:t>Predicting mass</w:t>
      </w:r>
    </w:p>
    <w:p w14:paraId="55FDE299" w14:textId="77777777" w:rsidR="00201AC2" w:rsidRPr="00A56179" w:rsidRDefault="00201AC2" w:rsidP="00201AC2">
      <w:pPr>
        <w:spacing w:after="180"/>
      </w:pPr>
    </w:p>
    <w:p w14:paraId="3032B94B" w14:textId="77777777" w:rsidR="00A56179" w:rsidRPr="00A56179" w:rsidRDefault="00A56179" w:rsidP="00A56179">
      <w:pPr>
        <w:spacing w:after="180"/>
      </w:pPr>
      <w:r w:rsidRPr="00A56179">
        <w:rPr>
          <w:lang w:val="en-US"/>
        </w:rPr>
        <w:t>Some students investigated how mass changes during a chemical reaction.</w:t>
      </w:r>
    </w:p>
    <w:p w14:paraId="24FB4A4A" w14:textId="77777777" w:rsidR="00A56179" w:rsidRPr="00A56179" w:rsidRDefault="00A56179" w:rsidP="00A56179">
      <w:pPr>
        <w:spacing w:after="180"/>
      </w:pPr>
      <w:r w:rsidRPr="00A56179">
        <w:rPr>
          <w:lang w:val="en-US"/>
        </w:rPr>
        <w:t>They used a balance to find the mass before the reaction.</w:t>
      </w:r>
    </w:p>
    <w:p w14:paraId="59FED096" w14:textId="34FF6C1B" w:rsidR="00B23B31" w:rsidRPr="00A56179" w:rsidRDefault="00A56179" w:rsidP="00201AC2">
      <w:pPr>
        <w:spacing w:after="180"/>
      </w:pPr>
      <w:r w:rsidRPr="00A56179">
        <w:rPr>
          <w:noProof/>
        </w:rPr>
        <w:drawing>
          <wp:inline distT="0" distB="0" distL="0" distR="0" wp14:anchorId="45E30506" wp14:editId="249F7675">
            <wp:extent cx="5731510" cy="1759585"/>
            <wp:effectExtent l="0" t="0" r="0" b="0"/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1CB65DA2-7728-4E1F-B70B-641D4E2F606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1CB65DA2-7728-4E1F-B70B-641D4E2F606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1F997" w14:textId="77777777" w:rsidR="00A56179" w:rsidRPr="00A56179" w:rsidRDefault="00A56179" w:rsidP="00A56179">
      <w:pPr>
        <w:spacing w:after="180"/>
        <w:rPr>
          <w:lang w:val="en-US"/>
        </w:rPr>
      </w:pPr>
      <w:r w:rsidRPr="00A56179">
        <w:rPr>
          <w:lang w:val="en-US"/>
        </w:rPr>
        <w:t>The small tube was lowered. This allowed the sodium sulfate solution and barium chloride solution to react.</w:t>
      </w:r>
    </w:p>
    <w:p w14:paraId="3980CB26" w14:textId="5F30E4FA" w:rsidR="00A56179" w:rsidRPr="00A56179" w:rsidRDefault="00A56179" w:rsidP="00A56179">
      <w:pPr>
        <w:spacing w:after="180"/>
        <w:rPr>
          <w:lang w:val="en-US"/>
        </w:rPr>
      </w:pPr>
      <w:r w:rsidRPr="00A56179">
        <w:rPr>
          <w:lang w:val="en-US"/>
        </w:rPr>
        <w:t>The students measured the mass again.</w:t>
      </w:r>
    </w:p>
    <w:p w14:paraId="31139259" w14:textId="02BE2646" w:rsidR="00201AC2" w:rsidRPr="00A56179" w:rsidRDefault="00A56179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A56179">
        <w:t>How do you predict the mass changed?</w:t>
      </w:r>
    </w:p>
    <w:p w14:paraId="53CF0606" w14:textId="42FB0E5C" w:rsidR="00A56179" w:rsidRDefault="00A56179" w:rsidP="00A56179">
      <w:pPr>
        <w:pStyle w:val="ListParagraph"/>
        <w:spacing w:after="180"/>
        <w:ind w:left="567"/>
        <w:contextualSpacing w:val="0"/>
      </w:pPr>
      <w:r>
        <w:t>A</w:t>
      </w:r>
      <w:r>
        <w:tab/>
      </w:r>
      <w:r>
        <w:tab/>
        <w:t>The mass increased.</w:t>
      </w:r>
    </w:p>
    <w:p w14:paraId="3462AD0C" w14:textId="080CF9C6" w:rsidR="00A56179" w:rsidRDefault="00A56179" w:rsidP="00A56179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  <w:t>The mass stayed the same.</w:t>
      </w:r>
    </w:p>
    <w:p w14:paraId="74D6DE4B" w14:textId="6EEC86BF" w:rsidR="00A56179" w:rsidRDefault="00A56179" w:rsidP="00A56179">
      <w:pPr>
        <w:pStyle w:val="ListParagraph"/>
        <w:spacing w:after="180"/>
        <w:ind w:left="567"/>
        <w:contextualSpacing w:val="0"/>
      </w:pPr>
      <w:r>
        <w:t>C</w:t>
      </w:r>
      <w:r>
        <w:tab/>
      </w:r>
      <w:r>
        <w:tab/>
        <w:t>The mass decreased.</w:t>
      </w:r>
    </w:p>
    <w:p w14:paraId="02FA3CF6" w14:textId="77777777" w:rsidR="008E203A" w:rsidRDefault="008E203A" w:rsidP="00A56179">
      <w:pPr>
        <w:pStyle w:val="ListParagraph"/>
        <w:spacing w:after="180"/>
        <w:ind w:left="567"/>
        <w:contextualSpacing w:val="0"/>
      </w:pPr>
    </w:p>
    <w:p w14:paraId="4158D5C0" w14:textId="77777777" w:rsidR="00A56179" w:rsidRDefault="00A56179" w:rsidP="00A56179">
      <w:pPr>
        <w:pStyle w:val="ListParagraph"/>
        <w:spacing w:after="180"/>
        <w:ind w:left="567"/>
        <w:contextualSpacing w:val="0"/>
      </w:pPr>
    </w:p>
    <w:p w14:paraId="08B7E8D5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126BF22C" w14:textId="0559A0FC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D101D4">
        <w:rPr>
          <w:i/>
          <w:sz w:val="18"/>
          <w:szCs w:val="18"/>
        </w:rPr>
        <w:t>CCR: Chemical reactions</w:t>
      </w:r>
      <w:r>
        <w:rPr>
          <w:i/>
          <w:sz w:val="18"/>
          <w:szCs w:val="18"/>
        </w:rPr>
        <w:t xml:space="preserve"> &gt; Topic </w:t>
      </w:r>
      <w:r w:rsidR="00D101D4">
        <w:rPr>
          <w:i/>
          <w:sz w:val="18"/>
          <w:szCs w:val="18"/>
        </w:rPr>
        <w:t>CCR2:Understanding reactions</w:t>
      </w:r>
      <w:r w:rsidRPr="00CA4B46">
        <w:rPr>
          <w:i/>
          <w:sz w:val="18"/>
          <w:szCs w:val="18"/>
        </w:rPr>
        <w:t xml:space="preserve">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D101D4">
        <w:rPr>
          <w:i/>
          <w:sz w:val="18"/>
          <w:szCs w:val="18"/>
        </w:rPr>
        <w:t>CCR2.1: Reactions in solution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5E9F351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52363DB4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4E0CED35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7B28247E" w14:textId="5179F050" w:rsidR="006F3279" w:rsidRPr="00CA4B46" w:rsidRDefault="00D101D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Predicting mass</w:t>
            </w:r>
          </w:p>
        </w:tc>
      </w:tr>
    </w:tbl>
    <w:p w14:paraId="60F4F8C5" w14:textId="77777777" w:rsidR="006F3279" w:rsidRDefault="006F3279" w:rsidP="00E172C6">
      <w:pPr>
        <w:spacing w:after="180"/>
        <w:rPr>
          <w:b/>
        </w:rPr>
      </w:pPr>
    </w:p>
    <w:p w14:paraId="30F89AB3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D101D4" w14:paraId="44706022" w14:textId="77777777" w:rsidTr="00D101D4">
        <w:trPr>
          <w:trHeight w:val="340"/>
        </w:trPr>
        <w:tc>
          <w:tcPr>
            <w:tcW w:w="2196" w:type="dxa"/>
          </w:tcPr>
          <w:p w14:paraId="4C53858A" w14:textId="77777777" w:rsidR="00D101D4" w:rsidRDefault="00D101D4" w:rsidP="00D101D4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  <w:vAlign w:val="center"/>
          </w:tcPr>
          <w:p w14:paraId="4DC3240E" w14:textId="699629ED" w:rsidR="00D101D4" w:rsidRPr="00B75483" w:rsidRDefault="00D101D4" w:rsidP="00D101D4">
            <w:pPr>
              <w:spacing w:before="60" w:after="60"/>
              <w:rPr>
                <w:highlight w:val="yellow"/>
              </w:rPr>
            </w:pPr>
            <w:r w:rsidRPr="00C92746">
              <w:t>When two solutions react, a product may be insoluble, resulting in the formation of a precipitate.</w:t>
            </w:r>
          </w:p>
        </w:tc>
      </w:tr>
      <w:tr w:rsidR="00D101D4" w14:paraId="3150BA27" w14:textId="77777777" w:rsidTr="00D101D4">
        <w:trPr>
          <w:trHeight w:val="340"/>
        </w:trPr>
        <w:tc>
          <w:tcPr>
            <w:tcW w:w="2196" w:type="dxa"/>
          </w:tcPr>
          <w:p w14:paraId="2624E167" w14:textId="77777777" w:rsidR="00D101D4" w:rsidRDefault="00D101D4" w:rsidP="00D101D4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24F37126" w14:textId="644960E8" w:rsidR="00D101D4" w:rsidRPr="00B75483" w:rsidRDefault="00D101D4" w:rsidP="00D101D4">
            <w:pPr>
              <w:spacing w:before="60" w:after="60"/>
              <w:rPr>
                <w:highlight w:val="yellow"/>
              </w:rPr>
            </w:pPr>
            <w:r w:rsidRPr="00C92746">
              <w:t xml:space="preserve">Predict the conservation of mass during a displacement </w:t>
            </w:r>
            <w:r w:rsidR="00171FE3">
              <w:t xml:space="preserve">or precipitation </w:t>
            </w:r>
            <w:r w:rsidRPr="00C92746">
              <w:t>reaction.</w:t>
            </w:r>
          </w:p>
        </w:tc>
      </w:tr>
      <w:tr w:rsidR="00D101D4" w14:paraId="6F339660" w14:textId="77777777" w:rsidTr="00D101D4">
        <w:trPr>
          <w:trHeight w:val="340"/>
        </w:trPr>
        <w:tc>
          <w:tcPr>
            <w:tcW w:w="2196" w:type="dxa"/>
          </w:tcPr>
          <w:p w14:paraId="010237B9" w14:textId="77777777" w:rsidR="00D101D4" w:rsidRDefault="00D101D4" w:rsidP="00D101D4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14:paraId="3B51A36E" w14:textId="72782108" w:rsidR="00D101D4" w:rsidRPr="001915D4" w:rsidRDefault="00BF3DD0" w:rsidP="00D101D4">
            <w:pPr>
              <w:spacing w:before="60" w:after="60"/>
              <w:rPr>
                <w:highlight w:val="yellow"/>
              </w:rPr>
            </w:pPr>
            <w:r>
              <w:t>a</w:t>
            </w:r>
            <w:r w:rsidR="00D101D4">
              <w:t>pplication and practice</w:t>
            </w:r>
          </w:p>
        </w:tc>
      </w:tr>
      <w:tr w:rsidR="00D101D4" w14:paraId="3857AF58" w14:textId="77777777" w:rsidTr="00D101D4">
        <w:trPr>
          <w:trHeight w:val="340"/>
        </w:trPr>
        <w:tc>
          <w:tcPr>
            <w:tcW w:w="2196" w:type="dxa"/>
          </w:tcPr>
          <w:p w14:paraId="291CC9DA" w14:textId="77777777" w:rsidR="00D101D4" w:rsidRDefault="00D101D4" w:rsidP="00D101D4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14:paraId="41830CF1" w14:textId="19932E27" w:rsidR="00D101D4" w:rsidRPr="001C4805" w:rsidRDefault="00D101D4" w:rsidP="00D101D4">
            <w:pPr>
              <w:spacing w:before="60" w:after="60"/>
              <w:rPr>
                <w:highlight w:val="yellow"/>
              </w:rPr>
            </w:pPr>
            <w:r w:rsidRPr="00C92746">
              <w:t>solution, mass</w:t>
            </w:r>
          </w:p>
        </w:tc>
      </w:tr>
    </w:tbl>
    <w:p w14:paraId="16EE8C07" w14:textId="77777777" w:rsidR="00E172C6" w:rsidRDefault="00E172C6" w:rsidP="00E172C6">
      <w:pPr>
        <w:spacing w:after="180"/>
      </w:pPr>
    </w:p>
    <w:p w14:paraId="587E9FD7" w14:textId="74FEC9A8" w:rsidR="006A320F" w:rsidRPr="00D101D4" w:rsidRDefault="006A320F" w:rsidP="006A320F">
      <w:pPr>
        <w:spacing w:after="180"/>
      </w:pPr>
      <w:r>
        <w:t xml:space="preserve">This activity can help develop students’ understanding by addressing the </w:t>
      </w:r>
      <w:r w:rsidR="009D363C">
        <w:t>misunderstandings</w:t>
      </w:r>
      <w:r>
        <w:t xml:space="preserve"> revealed by the following diagnostic </w:t>
      </w:r>
      <w:r w:rsidRPr="00D101D4">
        <w:t>question</w:t>
      </w:r>
      <w:r w:rsidR="00D101D4" w:rsidRPr="00D101D4">
        <w:t>:</w:t>
      </w:r>
    </w:p>
    <w:p w14:paraId="0CC6D6E5" w14:textId="19F4A281" w:rsidR="00456227" w:rsidRPr="00D101D4" w:rsidRDefault="00D101D4" w:rsidP="00456227">
      <w:pPr>
        <w:pStyle w:val="ListParagraph"/>
        <w:numPr>
          <w:ilvl w:val="0"/>
          <w:numId w:val="1"/>
        </w:numPr>
        <w:spacing w:after="180"/>
      </w:pPr>
      <w:r w:rsidRPr="00D101D4">
        <w:t>Mass change?</w:t>
      </w:r>
    </w:p>
    <w:p w14:paraId="207CD2B5" w14:textId="77777777" w:rsidR="00F72ECC" w:rsidRDefault="00F72ECC" w:rsidP="00F72ECC"/>
    <w:p w14:paraId="6FAC26BE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12FC69EA" w14:textId="77777777" w:rsidR="00D101D4" w:rsidRPr="00C234EF" w:rsidRDefault="00D101D4" w:rsidP="00D101D4">
      <w:pPr>
        <w:spacing w:after="180"/>
      </w:pPr>
      <w:r w:rsidRPr="00C234EF">
        <w:t xml:space="preserve">Research </w:t>
      </w:r>
      <w:r w:rsidRPr="00C234EF">
        <w:fldChar w:fldCharType="begin"/>
      </w:r>
      <w:r w:rsidRPr="00C234EF">
        <w:instrText xml:space="preserve"> ADDIN EN.CITE &lt;EndNote&gt;&lt;Cite&gt;&lt;Author&gt;Andersson&lt;/Author&gt;&lt;Year&gt;1990&lt;/Year&gt;&lt;IDText&gt;Pupils&amp;apos; conceptions of matter and its transformations (age 12-16)&lt;/IDText&gt;&lt;DisplayText&gt;(Andersson, 1990)&lt;/DisplayText&gt;&lt;record&gt;&lt;titles&gt;&lt;title&gt;Pupils&amp;apos; conceptions of matter and its transformations (age 12-16)&lt;/title&gt;&lt;secondary-title&gt;Studies in Science Education&lt;/secondary-title&gt;&lt;/titles&gt;&lt;pages&gt;53-85&lt;/pages&gt;&lt;contributors&gt;&lt;authors&gt;&lt;author&gt;Andersson, Björn&lt;/author&gt;&lt;/authors&gt;&lt;/contributors&gt;&lt;added-date format="utc"&gt;1536935305&lt;/added-date&gt;&lt;ref-type name="Journal Article"&gt;17&lt;/ref-type&gt;&lt;dates&gt;&lt;year&gt;1990&lt;/year&gt;&lt;/dates&gt;&lt;rec-number&gt;22&lt;/rec-number&gt;&lt;last-updated-date format="utc"&gt;1537268574&lt;/last-updated-date&gt;&lt;volume&gt;18&lt;/volume&gt;&lt;/record&gt;&lt;/Cite&gt;&lt;/EndNote&gt;</w:instrText>
      </w:r>
      <w:r w:rsidRPr="00C234EF">
        <w:fldChar w:fldCharType="separate"/>
      </w:r>
      <w:r w:rsidRPr="00C234EF">
        <w:rPr>
          <w:noProof/>
        </w:rPr>
        <w:t>(Andersson, 1990)</w:t>
      </w:r>
      <w:r w:rsidRPr="00C234EF">
        <w:fldChar w:fldCharType="end"/>
      </w:r>
      <w:r w:rsidRPr="00C234EF">
        <w:t xml:space="preserve"> suggests that student answers to a research question asking students to predict the mass after a chemical reaction is influenced by their conceptions of chemical change.</w:t>
      </w:r>
    </w:p>
    <w:p w14:paraId="7877E882" w14:textId="3A40E926" w:rsidR="00D101D4" w:rsidRPr="00C234EF" w:rsidRDefault="00D101D4" w:rsidP="00D101D4">
      <w:pPr>
        <w:spacing w:after="180"/>
      </w:pPr>
      <w:r w:rsidRPr="00C234EF">
        <w:t xml:space="preserve">For example, if a student observes that a substance ‘disappears’ they may consider that the mass will decrease. If the appearance of a product is explained as </w:t>
      </w:r>
      <w:r w:rsidR="008E203A">
        <w:t xml:space="preserve">it having been present all along but </w:t>
      </w:r>
      <w:r w:rsidR="009D363C">
        <w:t xml:space="preserve">having moved so that it becomes visible, </w:t>
      </w:r>
      <w:r w:rsidRPr="00C234EF">
        <w:t>then students might correctly predict conservation of mass (although for incorrect reasons).</w:t>
      </w:r>
    </w:p>
    <w:p w14:paraId="2B1FAD67" w14:textId="673D342A" w:rsidR="00D101D4" w:rsidRPr="00C234EF" w:rsidRDefault="00D101D4" w:rsidP="00D101D4">
      <w:pPr>
        <w:spacing w:after="180"/>
      </w:pPr>
      <w:r w:rsidRPr="00C234EF">
        <w:t>Answers to the question were also affected by student understanding of mass and weight. Some student claimed that smoke did not weigh anything. Other students thought that a gas had no mass which suggests that they may not recognise a gas as a substance.</w:t>
      </w:r>
    </w:p>
    <w:p w14:paraId="407F9763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79940BCC" w14:textId="1E6694FA" w:rsidR="00D101D4" w:rsidRDefault="00D101D4" w:rsidP="00D101D4">
      <w:pPr>
        <w:spacing w:after="180"/>
      </w:pPr>
      <w:r>
        <w:t>This activity gives students the opportunity to practise applying their understanding</w:t>
      </w:r>
      <w:r w:rsidR="008E203A">
        <w:t xml:space="preserve"> to a different type of reaction (precipitation). It can be used to help students</w:t>
      </w:r>
      <w:r>
        <w:t xml:space="preserve"> to clarify their thinking through discussion</w:t>
      </w:r>
      <w:r w:rsidRPr="009D363C">
        <w:t>.  To support this</w:t>
      </w:r>
      <w:r w:rsidR="00155F29">
        <w:t>,</w:t>
      </w:r>
      <w:r w:rsidRPr="009D363C">
        <w:t xml:space="preserve"> students should</w:t>
      </w:r>
      <w:r w:rsidR="00BD2CBE">
        <w:t>,</w:t>
      </w:r>
      <w:bookmarkStart w:id="0" w:name="_GoBack"/>
      <w:bookmarkEnd w:id="0"/>
      <w:r w:rsidRPr="009D363C">
        <w:t xml:space="preserve"> if </w:t>
      </w:r>
      <w:r w:rsidR="00155F29" w:rsidRPr="009D363C">
        <w:t>possible,</w:t>
      </w:r>
      <w:r w:rsidRPr="009D363C">
        <w:t xml:space="preserve"> watch a demonstration or video of the reaction.</w:t>
      </w:r>
      <w:r w:rsidR="00644551" w:rsidRPr="009D363C">
        <w:t xml:space="preserve"> Alternatively</w:t>
      </w:r>
      <w:r w:rsidR="009D363C">
        <w:t>,</w:t>
      </w:r>
      <w:r w:rsidR="00644551" w:rsidRPr="009D363C">
        <w:t xml:space="preserve"> the question could be carried out using the</w:t>
      </w:r>
      <w:r w:rsidR="009D363C" w:rsidRPr="009D363C">
        <w:t xml:space="preserve"> diagram</w:t>
      </w:r>
      <w:r w:rsidR="00644551" w:rsidRPr="009D363C">
        <w:t xml:space="preserve"> </w:t>
      </w:r>
      <w:r w:rsidR="00644551" w:rsidRPr="00155F29">
        <w:t>provided.</w:t>
      </w:r>
    </w:p>
    <w:p w14:paraId="777020E6" w14:textId="404C781C" w:rsidR="00F137E0" w:rsidRDefault="00AC1B3C" w:rsidP="00D101D4">
      <w:pPr>
        <w:spacing w:after="180"/>
      </w:pPr>
      <w:r>
        <w:t>It may help students to be provided with the chemical equation for the reaction.</w:t>
      </w:r>
      <w:r w:rsidR="00F137E0">
        <w:t xml:space="preserve"> The state symbols may be used to explain the appearance of a precipitate</w:t>
      </w:r>
      <w:r>
        <w:t xml:space="preserve"> and the equation as a whole used as a prompt that during a reaction</w:t>
      </w:r>
      <w:r w:rsidR="009D363C">
        <w:t>,</w:t>
      </w:r>
      <w:r>
        <w:t xml:space="preserve"> atoms are rearranged.</w:t>
      </w:r>
    </w:p>
    <w:p w14:paraId="01CD8B1E" w14:textId="4A2E19BB" w:rsidR="00F137E0" w:rsidRPr="00F137E0" w:rsidRDefault="00F137E0" w:rsidP="00D101D4">
      <w:pPr>
        <w:spacing w:after="180"/>
      </w:pPr>
      <w:r>
        <w:t>BaCl</w:t>
      </w:r>
      <w:r>
        <w:rPr>
          <w:vertAlign w:val="subscript"/>
        </w:rPr>
        <w:t>2</w:t>
      </w:r>
      <w:r>
        <w:t xml:space="preserve"> (aq) +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(aq) </w:t>
      </w:r>
      <w:r>
        <w:rPr>
          <w:rFonts w:ascii="Calibri Light" w:hAnsi="Calibri Light" w:cs="Calibri Light"/>
        </w:rPr>
        <w:t>→</w:t>
      </w:r>
      <w:r>
        <w:t>BaSO</w:t>
      </w:r>
      <w:r>
        <w:rPr>
          <w:vertAlign w:val="subscript"/>
        </w:rPr>
        <w:t>4</w:t>
      </w:r>
      <w:r>
        <w:t xml:space="preserve"> (s) + </w:t>
      </w:r>
      <w:r w:rsidR="00AC1B3C">
        <w:t>2</w:t>
      </w:r>
      <w:r>
        <w:t>NaCl (aq)</w:t>
      </w:r>
    </w:p>
    <w:p w14:paraId="1E63E137" w14:textId="33450F55" w:rsidR="00F137E0" w:rsidRDefault="00F137E0" w:rsidP="00D101D4">
      <w:pPr>
        <w:spacing w:after="180"/>
      </w:pPr>
      <w:r>
        <w:t>Students should be asked to predict the final mass after having observed the reaction</w:t>
      </w:r>
      <w:r w:rsidR="00A56179">
        <w:t>.</w:t>
      </w:r>
    </w:p>
    <w:p w14:paraId="5CC58CE7" w14:textId="77777777" w:rsidR="00D101D4" w:rsidRPr="00095A98" w:rsidRDefault="00D101D4" w:rsidP="00D101D4">
      <w:pPr>
        <w:spacing w:after="180"/>
        <w:rPr>
          <w:i/>
        </w:rPr>
      </w:pPr>
      <w:r w:rsidRPr="00095A98">
        <w:rPr>
          <w:i/>
        </w:rPr>
        <w:t>Differentiation</w:t>
      </w:r>
    </w:p>
    <w:p w14:paraId="16F3AB8B" w14:textId="18E61A02" w:rsidR="00F137E0" w:rsidRPr="00DA3B6C" w:rsidRDefault="00D101D4" w:rsidP="00BF3DD0">
      <w:pPr>
        <w:spacing w:after="180"/>
      </w:pPr>
      <w:r>
        <w:t>Providing suitable recording sheets c</w:t>
      </w:r>
      <w:r w:rsidR="00F137E0">
        <w:t xml:space="preserve">ould </w:t>
      </w:r>
      <w:r>
        <w:t xml:space="preserve">help some students organise </w:t>
      </w:r>
      <w:r w:rsidR="00F137E0">
        <w:t xml:space="preserve">their understanding of what is being weighed at each stage. </w:t>
      </w:r>
    </w:p>
    <w:p w14:paraId="108C2A9F" w14:textId="105CB5C8" w:rsidR="00BB44B4" w:rsidRPr="006A320F" w:rsidRDefault="00456227" w:rsidP="00BB44B4">
      <w:pPr>
        <w:spacing w:after="180"/>
      </w:pPr>
      <w:r w:rsidRPr="006A320F">
        <w:rPr>
          <w:b/>
          <w:color w:val="E36C0A" w:themeColor="accent6" w:themeShade="BF"/>
        </w:rPr>
        <w:t>Equipment</w:t>
      </w:r>
    </w:p>
    <w:p w14:paraId="24073E6E" w14:textId="60860545" w:rsidR="00456227" w:rsidRDefault="00456227" w:rsidP="00456227">
      <w:pPr>
        <w:spacing w:after="180"/>
      </w:pPr>
      <w:r w:rsidRPr="005B1739">
        <w:t xml:space="preserve">For </w:t>
      </w:r>
      <w:r w:rsidR="00F137E0">
        <w:t>the demonstration:</w:t>
      </w:r>
    </w:p>
    <w:p w14:paraId="44F2BEF4" w14:textId="27A1BF34" w:rsidR="00456227" w:rsidRPr="00A56179" w:rsidRDefault="00F137E0" w:rsidP="00456227">
      <w:pPr>
        <w:pStyle w:val="ListParagraph"/>
        <w:numPr>
          <w:ilvl w:val="0"/>
          <w:numId w:val="1"/>
        </w:numPr>
        <w:spacing w:after="180"/>
      </w:pPr>
      <w:r w:rsidRPr="00A56179">
        <w:t>conical flask and bung</w:t>
      </w:r>
    </w:p>
    <w:p w14:paraId="4B680EF4" w14:textId="0698B56F" w:rsidR="00F137E0" w:rsidRDefault="00F137E0" w:rsidP="00456227">
      <w:pPr>
        <w:pStyle w:val="ListParagraph"/>
        <w:numPr>
          <w:ilvl w:val="0"/>
          <w:numId w:val="1"/>
        </w:numPr>
        <w:spacing w:after="180"/>
      </w:pPr>
      <w:r>
        <w:t>ignition tube</w:t>
      </w:r>
    </w:p>
    <w:p w14:paraId="59811C22" w14:textId="1EF1D1CD" w:rsidR="00F137E0" w:rsidRDefault="00F137E0" w:rsidP="00456227">
      <w:pPr>
        <w:pStyle w:val="ListParagraph"/>
        <w:numPr>
          <w:ilvl w:val="0"/>
          <w:numId w:val="1"/>
        </w:numPr>
        <w:spacing w:after="180"/>
      </w:pPr>
      <w:r>
        <w:t>cotton thread</w:t>
      </w:r>
    </w:p>
    <w:p w14:paraId="7BA4A02A" w14:textId="2F67A3EA" w:rsidR="00F137E0" w:rsidRDefault="00F137E0" w:rsidP="00F137E0">
      <w:pPr>
        <w:pStyle w:val="ListParagraph"/>
        <w:numPr>
          <w:ilvl w:val="0"/>
          <w:numId w:val="1"/>
        </w:numPr>
        <w:spacing w:after="180"/>
      </w:pPr>
      <w:r>
        <w:t>digital balance</w:t>
      </w:r>
    </w:p>
    <w:p w14:paraId="1902E4E6" w14:textId="602AB8B7" w:rsidR="00F137E0" w:rsidRDefault="00F137E0" w:rsidP="00F137E0">
      <w:pPr>
        <w:pStyle w:val="ListParagraph"/>
        <w:numPr>
          <w:ilvl w:val="0"/>
          <w:numId w:val="1"/>
        </w:numPr>
        <w:spacing w:after="180"/>
      </w:pPr>
      <w:r>
        <w:t>barium chloride solution (Harmful</w:t>
      </w:r>
      <w:r w:rsidR="00AC1B3C">
        <w:t xml:space="preserve"> – ingestion)</w:t>
      </w:r>
    </w:p>
    <w:p w14:paraId="1B516555" w14:textId="54ED99EA" w:rsidR="00F137E0" w:rsidRDefault="00F137E0" w:rsidP="00F137E0">
      <w:pPr>
        <w:pStyle w:val="ListParagraph"/>
        <w:numPr>
          <w:ilvl w:val="0"/>
          <w:numId w:val="1"/>
        </w:numPr>
        <w:spacing w:after="180"/>
      </w:pPr>
      <w:r>
        <w:t>sodium sulfate solution</w:t>
      </w:r>
    </w:p>
    <w:p w14:paraId="6199F615" w14:textId="77777777" w:rsidR="00F137E0" w:rsidRPr="0010427F" w:rsidRDefault="00F137E0" w:rsidP="00F137E0">
      <w:pPr>
        <w:spacing w:after="180"/>
        <w:rPr>
          <w:b/>
          <w:color w:val="E36C0A" w:themeColor="accent6" w:themeShade="BF"/>
          <w:sz w:val="24"/>
        </w:rPr>
      </w:pPr>
      <w:r w:rsidRPr="0010427F">
        <w:rPr>
          <w:b/>
          <w:color w:val="E36C0A" w:themeColor="accent6" w:themeShade="BF"/>
          <w:sz w:val="24"/>
        </w:rPr>
        <w:t>Technician notes</w:t>
      </w:r>
    </w:p>
    <w:p w14:paraId="6A826A5A" w14:textId="1D9AC6CC" w:rsidR="00F137E0" w:rsidRDefault="00F137E0" w:rsidP="00F137E0">
      <w:pPr>
        <w:spacing w:after="180"/>
      </w:pPr>
      <w:r w:rsidRPr="009D363C">
        <w:t xml:space="preserve">Consult Hazcards </w:t>
      </w:r>
      <w:r w:rsidR="009D363C">
        <w:t xml:space="preserve">from </w:t>
      </w:r>
      <w:hyperlink r:id="rId10" w:history="1">
        <w:r w:rsidR="009D363C" w:rsidRPr="00FB3B53">
          <w:rPr>
            <w:rStyle w:val="Hyperlink"/>
          </w:rPr>
          <w:t>http://www.cleapss.org.uk/</w:t>
        </w:r>
      </w:hyperlink>
      <w:r w:rsidR="009D363C">
        <w:t xml:space="preserve"> </w:t>
      </w:r>
      <w:r w:rsidRPr="009D363C">
        <w:t>for details of preparation of solutions</w:t>
      </w:r>
      <w:r w:rsidR="00AC1B3C" w:rsidRPr="009D363C">
        <w:t xml:space="preserve"> and suitable concentrations.</w:t>
      </w:r>
    </w:p>
    <w:p w14:paraId="6FF017A6" w14:textId="77777777" w:rsidR="00F137E0" w:rsidRDefault="00F137E0" w:rsidP="00F137E0">
      <w:pPr>
        <w:spacing w:after="180"/>
      </w:pPr>
      <w:r>
        <w:t>Strict hygiene standards should be enforced rigorously. Ingestion is unlikely if eating and drinking is banned in laboratories and prep rooms.</w:t>
      </w:r>
    </w:p>
    <w:p w14:paraId="28370006" w14:textId="77777777" w:rsidR="00F137E0" w:rsidRPr="0010427F" w:rsidRDefault="00F137E0" w:rsidP="00F137E0">
      <w:pPr>
        <w:spacing w:after="180"/>
        <w:rPr>
          <w:b/>
          <w:color w:val="E36C0A" w:themeColor="accent6" w:themeShade="BF"/>
          <w:sz w:val="24"/>
        </w:rPr>
      </w:pPr>
      <w:r w:rsidRPr="0010427F">
        <w:rPr>
          <w:b/>
          <w:color w:val="E36C0A" w:themeColor="accent6" w:themeShade="BF"/>
          <w:sz w:val="24"/>
        </w:rPr>
        <w:t>Health and safety</w:t>
      </w:r>
    </w:p>
    <w:p w14:paraId="6108AD49" w14:textId="4E807ABE" w:rsidR="00F137E0" w:rsidRPr="00AC1B3C" w:rsidRDefault="00F137E0" w:rsidP="00F137E0">
      <w:pPr>
        <w:spacing w:after="180"/>
      </w:pPr>
      <w:r w:rsidRPr="00AC1B3C">
        <w:t>Eye protection should be worn and hands should be washed thoroughly after</w:t>
      </w:r>
      <w:r w:rsidR="00AC1B3C" w:rsidRPr="00AC1B3C">
        <w:t>wards.</w:t>
      </w:r>
    </w:p>
    <w:p w14:paraId="5BF503A7" w14:textId="6A48CA8F" w:rsidR="00F137E0" w:rsidRPr="00AC1B3C" w:rsidRDefault="00F137E0" w:rsidP="00F137E0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14:paraId="2F946AF0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6BD739EC" w14:textId="743F775F" w:rsidR="00BF6C8A" w:rsidRDefault="00AC1B3C" w:rsidP="00BF6C8A">
      <w:pPr>
        <w:spacing w:after="180"/>
      </w:pPr>
      <w:r w:rsidRPr="00AC1B3C">
        <w:t>The mass is unchanged.</w:t>
      </w:r>
    </w:p>
    <w:p w14:paraId="3AD6108A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41455713" w14:textId="43DD65D7" w:rsidR="00D278E8" w:rsidRPr="00AC1B3C" w:rsidRDefault="00D278E8" w:rsidP="00E172C6">
      <w:pPr>
        <w:spacing w:after="180"/>
      </w:pPr>
      <w:r w:rsidRPr="00AC1B3C">
        <w:t xml:space="preserve">Developed </w:t>
      </w:r>
      <w:r w:rsidR="0015356E" w:rsidRPr="00AC1B3C">
        <w:t>by</w:t>
      </w:r>
      <w:r w:rsidR="00AC1B3C" w:rsidRPr="00AC1B3C">
        <w:t xml:space="preserve"> Helen Harden</w:t>
      </w:r>
      <w:r w:rsidR="0015356E" w:rsidRPr="00AC1B3C">
        <w:t xml:space="preserve"> (UYSEG)</w:t>
      </w:r>
      <w:r w:rsidR="00AC1B3C" w:rsidRPr="00AC1B3C">
        <w:t>.</w:t>
      </w:r>
    </w:p>
    <w:p w14:paraId="1C2A3EAF" w14:textId="1A411D44" w:rsidR="00CC78A5" w:rsidRPr="00AC1B3C" w:rsidRDefault="00D278E8" w:rsidP="00E172C6">
      <w:pPr>
        <w:spacing w:after="180"/>
      </w:pPr>
      <w:r w:rsidRPr="00AC1B3C">
        <w:t xml:space="preserve">Images: </w:t>
      </w:r>
      <w:r w:rsidR="00AC1B3C" w:rsidRPr="00AC1B3C">
        <w:t>Helen Harden</w:t>
      </w:r>
    </w:p>
    <w:p w14:paraId="1BB37DB1" w14:textId="77777777" w:rsidR="003117F6" w:rsidRPr="001C2E59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AC1B3C">
        <w:rPr>
          <w:b/>
          <w:color w:val="E36C0A" w:themeColor="accent6" w:themeShade="BF"/>
          <w:sz w:val="24"/>
        </w:rPr>
        <w:t>References</w:t>
      </w:r>
    </w:p>
    <w:p w14:paraId="2589CBAA" w14:textId="77777777" w:rsidR="00AC1B3C" w:rsidRPr="00AC1B3C" w:rsidRDefault="00AC1B3C" w:rsidP="00AC1B3C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AC1B3C">
        <w:t xml:space="preserve">Andersson, B. (1990). Pupils' conceptions of matter and its transformations (age 12-16). </w:t>
      </w:r>
      <w:r w:rsidRPr="00AC1B3C">
        <w:rPr>
          <w:i/>
        </w:rPr>
        <w:t>Studies in Science Education,</w:t>
      </w:r>
      <w:r w:rsidRPr="00AC1B3C">
        <w:t xml:space="preserve"> 18</w:t>
      </w:r>
      <w:r w:rsidRPr="00AC1B3C">
        <w:rPr>
          <w:b/>
        </w:rPr>
        <w:t>,</w:t>
      </w:r>
      <w:r w:rsidRPr="00AC1B3C">
        <w:t xml:space="preserve"> 53-85.</w:t>
      </w:r>
    </w:p>
    <w:p w14:paraId="4FE9B908" w14:textId="328EA62D" w:rsidR="00B46FF9" w:rsidRDefault="00AC1B3C" w:rsidP="00E24309">
      <w:pPr>
        <w:spacing w:after="180"/>
      </w:pPr>
      <w: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14F9B" w14:textId="77777777" w:rsidR="00974A50" w:rsidRDefault="00974A50" w:rsidP="000B473B">
      <w:r>
        <w:separator/>
      </w:r>
    </w:p>
  </w:endnote>
  <w:endnote w:type="continuationSeparator" w:id="0">
    <w:p w14:paraId="0E867C94" w14:textId="77777777" w:rsidR="00974A50" w:rsidRDefault="00974A50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98953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428DDF2" wp14:editId="5ED772F7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194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F6578">
      <w:rPr>
        <w:noProof/>
      </w:rPr>
      <w:t>2</w:t>
    </w:r>
    <w:r>
      <w:rPr>
        <w:noProof/>
      </w:rPr>
      <w:fldChar w:fldCharType="end"/>
    </w:r>
  </w:p>
  <w:p w14:paraId="6E15FDD5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5CB7B58F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51275" w14:textId="77777777" w:rsidR="00974A50" w:rsidRDefault="00974A50" w:rsidP="000B473B">
      <w:r>
        <w:separator/>
      </w:r>
    </w:p>
  </w:footnote>
  <w:footnote w:type="continuationSeparator" w:id="0">
    <w:p w14:paraId="18CDD9A2" w14:textId="77777777" w:rsidR="00974A50" w:rsidRDefault="00974A50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2813E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772FD30C" wp14:editId="00C05DC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ED9B29E" wp14:editId="30A63AC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4CCF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B1801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0A6256DC" wp14:editId="79AAE35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BDFEA34" wp14:editId="48289A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1F97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E46AE"/>
    <w:rsid w:val="00015578"/>
    <w:rsid w:val="00024731"/>
    <w:rsid w:val="00026DEC"/>
    <w:rsid w:val="000505CA"/>
    <w:rsid w:val="0007651D"/>
    <w:rsid w:val="0009089A"/>
    <w:rsid w:val="000945C5"/>
    <w:rsid w:val="000947E2"/>
    <w:rsid w:val="00095E04"/>
    <w:rsid w:val="000B473B"/>
    <w:rsid w:val="000D0E89"/>
    <w:rsid w:val="000E2689"/>
    <w:rsid w:val="00122F0A"/>
    <w:rsid w:val="00142613"/>
    <w:rsid w:val="00144DA7"/>
    <w:rsid w:val="0015356E"/>
    <w:rsid w:val="00155F29"/>
    <w:rsid w:val="00161D3F"/>
    <w:rsid w:val="00171FE3"/>
    <w:rsid w:val="001915D4"/>
    <w:rsid w:val="00194675"/>
    <w:rsid w:val="001A1FED"/>
    <w:rsid w:val="001A40E2"/>
    <w:rsid w:val="001A410F"/>
    <w:rsid w:val="001C2E59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E46AE"/>
    <w:rsid w:val="005F1A7B"/>
    <w:rsid w:val="006355D8"/>
    <w:rsid w:val="00642ECD"/>
    <w:rsid w:val="00644551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E203A"/>
    <w:rsid w:val="008E580C"/>
    <w:rsid w:val="0090047A"/>
    <w:rsid w:val="009158ED"/>
    <w:rsid w:val="00925026"/>
    <w:rsid w:val="00931264"/>
    <w:rsid w:val="00942A4B"/>
    <w:rsid w:val="00952D04"/>
    <w:rsid w:val="00961D59"/>
    <w:rsid w:val="00974A50"/>
    <w:rsid w:val="009B2D55"/>
    <w:rsid w:val="009C0343"/>
    <w:rsid w:val="009D363C"/>
    <w:rsid w:val="009E0D11"/>
    <w:rsid w:val="00A24A16"/>
    <w:rsid w:val="00A37D14"/>
    <w:rsid w:val="00A56179"/>
    <w:rsid w:val="00A6111E"/>
    <w:rsid w:val="00A6168B"/>
    <w:rsid w:val="00A62028"/>
    <w:rsid w:val="00AA6236"/>
    <w:rsid w:val="00AB6AE7"/>
    <w:rsid w:val="00AC1B3C"/>
    <w:rsid w:val="00AD21F5"/>
    <w:rsid w:val="00AD68F9"/>
    <w:rsid w:val="00AE1666"/>
    <w:rsid w:val="00B06225"/>
    <w:rsid w:val="00B23B31"/>
    <w:rsid w:val="00B23C7A"/>
    <w:rsid w:val="00B305F5"/>
    <w:rsid w:val="00B46FF9"/>
    <w:rsid w:val="00B75483"/>
    <w:rsid w:val="00BA7952"/>
    <w:rsid w:val="00BB44B4"/>
    <w:rsid w:val="00BD2CBE"/>
    <w:rsid w:val="00BF0BBF"/>
    <w:rsid w:val="00BF3DD0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01D4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D5E28"/>
    <w:rsid w:val="00EE6B97"/>
    <w:rsid w:val="00F12C3B"/>
    <w:rsid w:val="00F137E0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729F8"/>
  <w15:docId w15:val="{4A7EE9F4-CD81-4440-B2C4-D07D010A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AC1B3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C1B3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C1B3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C1B3C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9D36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www.cleapss.org.uk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58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10</cp:revision>
  <cp:lastPrinted>2017-02-24T16:20:00Z</cp:lastPrinted>
  <dcterms:created xsi:type="dcterms:W3CDTF">2018-10-19T11:36:00Z</dcterms:created>
  <dcterms:modified xsi:type="dcterms:W3CDTF">2018-12-03T12:54:00Z</dcterms:modified>
</cp:coreProperties>
</file>