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D7C83" w14:textId="18260DE8" w:rsidR="00201AC2" w:rsidRPr="00A6178A" w:rsidRDefault="001951EC" w:rsidP="00201AC2">
      <w:pPr>
        <w:spacing w:after="180"/>
        <w:rPr>
          <w:b/>
          <w:sz w:val="44"/>
          <w:szCs w:val="44"/>
        </w:rPr>
      </w:pPr>
      <w:r w:rsidRPr="00A6178A">
        <w:rPr>
          <w:b/>
          <w:sz w:val="44"/>
          <w:szCs w:val="44"/>
        </w:rPr>
        <w:t>Making silver?</w:t>
      </w:r>
    </w:p>
    <w:p w14:paraId="2070A9E3" w14:textId="77777777" w:rsidR="007C26E1" w:rsidRPr="00A6178A" w:rsidRDefault="007C26E1" w:rsidP="00201AC2">
      <w:pPr>
        <w:spacing w:after="180"/>
      </w:pPr>
    </w:p>
    <w:p w14:paraId="258FE556" w14:textId="77777777" w:rsidR="00A6178A" w:rsidRPr="00A6178A" w:rsidRDefault="00A6178A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A6178A">
        <w:t xml:space="preserve">A coil of copper wire is placed into a solution of silver nitrate. </w:t>
      </w:r>
    </w:p>
    <w:p w14:paraId="58F99F04" w14:textId="77777777" w:rsidR="00A6178A" w:rsidRDefault="00A6178A" w:rsidP="00A6178A">
      <w:pPr>
        <w:pStyle w:val="ListParagraph"/>
        <w:spacing w:after="180"/>
        <w:ind w:left="567"/>
        <w:contextualSpacing w:val="0"/>
      </w:pPr>
    </w:p>
    <w:p w14:paraId="1D323405" w14:textId="1C5DE3D2" w:rsidR="00201AC2" w:rsidRPr="00A6178A" w:rsidRDefault="00A6178A" w:rsidP="00A6178A">
      <w:pPr>
        <w:pStyle w:val="ListParagraph"/>
        <w:spacing w:after="180"/>
        <w:ind w:left="567"/>
        <w:contextualSpacing w:val="0"/>
      </w:pPr>
      <w:r w:rsidRPr="00A6178A">
        <w:rPr>
          <w:noProof/>
          <w:highlight w:val="yellow"/>
        </w:rPr>
        <w:drawing>
          <wp:inline distT="0" distB="0" distL="0" distR="0" wp14:anchorId="76E8C6E0" wp14:editId="5B2268A6">
            <wp:extent cx="2810312" cy="1873541"/>
            <wp:effectExtent l="0" t="0" r="9525" b="0"/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847934EF-9F96-41C7-8247-59F8241E85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847934EF-9F96-41C7-8247-59F8241E85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12" cy="1873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49069" w14:textId="06884E92" w:rsidR="00A6178A" w:rsidRDefault="00A6178A" w:rsidP="00A6178A">
      <w:pPr>
        <w:pStyle w:val="ListParagraph"/>
        <w:spacing w:after="180"/>
        <w:ind w:left="567"/>
        <w:contextualSpacing w:val="0"/>
      </w:pPr>
      <w:r>
        <w:t>Choose the statement that best explains the appearance of solid silver.</w:t>
      </w:r>
    </w:p>
    <w:p w14:paraId="6AFC70E3" w14:textId="77777777" w:rsidR="00A6178A" w:rsidRPr="00A6178A" w:rsidRDefault="00A6178A" w:rsidP="00A6178A">
      <w:pPr>
        <w:pStyle w:val="ListParagraph"/>
        <w:spacing w:after="180"/>
        <w:ind w:left="567"/>
      </w:pPr>
      <w:r>
        <w:t>A</w:t>
      </w:r>
      <w:r>
        <w:tab/>
      </w:r>
      <w:r>
        <w:tab/>
      </w:r>
      <w:r w:rsidRPr="00A6178A">
        <w:t>Silver dissolved out of the copper when it was placed in the solution.</w:t>
      </w:r>
    </w:p>
    <w:p w14:paraId="793BE238" w14:textId="77777777" w:rsidR="00A6178A" w:rsidRPr="00A6178A" w:rsidRDefault="00A6178A" w:rsidP="00A6178A">
      <w:pPr>
        <w:pStyle w:val="ListParagraph"/>
        <w:spacing w:after="180"/>
        <w:ind w:left="567"/>
      </w:pPr>
      <w:r>
        <w:t>B</w:t>
      </w:r>
      <w:r>
        <w:tab/>
      </w:r>
      <w:r>
        <w:tab/>
      </w:r>
      <w:r w:rsidRPr="00A6178A">
        <w:t>Adding the copper wire made the silver in the solution insoluble.</w:t>
      </w:r>
    </w:p>
    <w:p w14:paraId="2D024CED" w14:textId="77777777" w:rsidR="00A6178A" w:rsidRPr="00A6178A" w:rsidRDefault="00A6178A" w:rsidP="00A6178A">
      <w:pPr>
        <w:pStyle w:val="ListParagraph"/>
        <w:spacing w:after="180"/>
        <w:ind w:left="1437" w:hanging="870"/>
      </w:pPr>
      <w:r>
        <w:t>C</w:t>
      </w:r>
      <w:r>
        <w:tab/>
      </w:r>
      <w:r>
        <w:tab/>
      </w:r>
      <w:r w:rsidRPr="00A6178A">
        <w:t>The product of the reaction between copper and silver nitrate is silver, which is insoluble.</w:t>
      </w:r>
    </w:p>
    <w:p w14:paraId="363AF6F4" w14:textId="035BEFED" w:rsidR="00A6178A" w:rsidRDefault="00A6178A" w:rsidP="00A6178A">
      <w:pPr>
        <w:pStyle w:val="ListParagraph"/>
        <w:spacing w:after="180"/>
        <w:ind w:left="567"/>
        <w:contextualSpacing w:val="0"/>
      </w:pPr>
    </w:p>
    <w:p w14:paraId="29D83B4E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6767DB5A" w14:textId="4153198F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3A78F9">
        <w:rPr>
          <w:i/>
          <w:sz w:val="18"/>
          <w:szCs w:val="18"/>
        </w:rPr>
        <w:t>CCR: Chemical reactions</w:t>
      </w:r>
      <w:r w:rsidR="0007651D">
        <w:rPr>
          <w:i/>
          <w:sz w:val="18"/>
          <w:szCs w:val="18"/>
        </w:rPr>
        <w:t xml:space="preserve"> &gt; Topic </w:t>
      </w:r>
      <w:r w:rsidR="003A78F9">
        <w:rPr>
          <w:i/>
          <w:sz w:val="18"/>
          <w:szCs w:val="18"/>
        </w:rPr>
        <w:t>CCR2: Understanding reactions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3A78F9">
        <w:rPr>
          <w:i/>
          <w:sz w:val="18"/>
          <w:szCs w:val="18"/>
        </w:rPr>
        <w:t>CCR2.1: Reactions in solution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2187C9B9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1656F87E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07890294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715290C6" w14:textId="6A10CD28" w:rsidR="006F3279" w:rsidRPr="00CA4B46" w:rsidRDefault="003A78F9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BD3C84">
              <w:rPr>
                <w:b/>
                <w:sz w:val="40"/>
                <w:szCs w:val="40"/>
              </w:rPr>
              <w:t>Making silver?</w:t>
            </w:r>
          </w:p>
        </w:tc>
      </w:tr>
    </w:tbl>
    <w:p w14:paraId="2E34AAFA" w14:textId="77777777" w:rsidR="006F3279" w:rsidRDefault="006F3279" w:rsidP="00E172C6">
      <w:pPr>
        <w:spacing w:after="180"/>
        <w:rPr>
          <w:b/>
        </w:rPr>
      </w:pPr>
    </w:p>
    <w:p w14:paraId="3590100A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4A6DA9F4" w14:textId="77777777" w:rsidTr="003F16F9">
        <w:trPr>
          <w:trHeight w:val="340"/>
        </w:trPr>
        <w:tc>
          <w:tcPr>
            <w:tcW w:w="2196" w:type="dxa"/>
          </w:tcPr>
          <w:p w14:paraId="72C41397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67307E64" w14:textId="083CF089" w:rsidR="00FA5B3A" w:rsidRDefault="003A78F9" w:rsidP="00FA5B3A">
            <w:pPr>
              <w:spacing w:before="60" w:after="60"/>
            </w:pPr>
            <w:r w:rsidRPr="00603BB8">
              <w:t>When two solutions react, a product may be insoluble, resulting in the formation of a precipitate.</w:t>
            </w:r>
          </w:p>
        </w:tc>
      </w:tr>
      <w:tr w:rsidR="00FA5B3A" w14:paraId="069D85D4" w14:textId="77777777" w:rsidTr="003F16F9">
        <w:trPr>
          <w:trHeight w:val="340"/>
        </w:trPr>
        <w:tc>
          <w:tcPr>
            <w:tcW w:w="2196" w:type="dxa"/>
          </w:tcPr>
          <w:p w14:paraId="6C1DD77F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4FE10584" w14:textId="6CB1DCF3" w:rsidR="00FA5B3A" w:rsidRPr="00603BB8" w:rsidRDefault="003A78F9" w:rsidP="00FA5B3A">
            <w:pPr>
              <w:spacing w:before="60" w:after="60"/>
            </w:pPr>
            <w:r w:rsidRPr="00603BB8">
              <w:t>Explain the appearance of a different metal during a displacement reaction.</w:t>
            </w:r>
          </w:p>
        </w:tc>
      </w:tr>
      <w:tr w:rsidR="00FA5B3A" w14:paraId="5FF7A511" w14:textId="77777777" w:rsidTr="003F16F9">
        <w:trPr>
          <w:trHeight w:val="340"/>
        </w:trPr>
        <w:tc>
          <w:tcPr>
            <w:tcW w:w="2196" w:type="dxa"/>
          </w:tcPr>
          <w:p w14:paraId="6423C691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4B859D7D" w14:textId="02FEB5AD" w:rsidR="00FA5B3A" w:rsidRPr="00603BB8" w:rsidRDefault="00F83EA4" w:rsidP="00FA5B3A">
            <w:pPr>
              <w:spacing w:before="60" w:after="60"/>
            </w:pPr>
            <w:r>
              <w:t>s</w:t>
            </w:r>
            <w:r w:rsidR="003A78F9" w:rsidRPr="00603BB8">
              <w:t>imple multiple choice</w:t>
            </w:r>
          </w:p>
        </w:tc>
      </w:tr>
      <w:tr w:rsidR="00FA5B3A" w14:paraId="4485D54D" w14:textId="77777777" w:rsidTr="003F16F9">
        <w:trPr>
          <w:trHeight w:val="340"/>
        </w:trPr>
        <w:tc>
          <w:tcPr>
            <w:tcW w:w="2196" w:type="dxa"/>
          </w:tcPr>
          <w:p w14:paraId="3A846327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3DCB12E" w14:textId="2B7A4683" w:rsidR="00FA5B3A" w:rsidRPr="00603BB8" w:rsidRDefault="003A78F9" w:rsidP="00FA5B3A">
            <w:pPr>
              <w:spacing w:before="60" w:after="60"/>
            </w:pPr>
            <w:r w:rsidRPr="00603BB8">
              <w:t>soluble, insoluble, solution, product, reaction</w:t>
            </w:r>
          </w:p>
        </w:tc>
      </w:tr>
    </w:tbl>
    <w:p w14:paraId="136DE1C9" w14:textId="77777777" w:rsidR="00F72ECC" w:rsidRDefault="00F72ECC" w:rsidP="00F72ECC"/>
    <w:p w14:paraId="797B9C4E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55EF5F0D" w14:textId="7B890E97" w:rsidR="00603BB8" w:rsidRPr="004B3CB8" w:rsidRDefault="00603BB8" w:rsidP="00603BB8">
      <w:pPr>
        <w:spacing w:after="180"/>
      </w:pPr>
      <w:bookmarkStart w:id="0" w:name="_Hlk527631854"/>
      <w:r w:rsidRPr="004B3CB8">
        <w:t xml:space="preserve">A summary of research into students’ conceptions of matter </w:t>
      </w:r>
      <w:r>
        <w:fldChar w:fldCharType="begin"/>
      </w:r>
      <w:r>
        <w:instrText xml:space="preserve"> ADDIN EN.CITE &lt;EndNote&gt;&lt;Cite&gt;&lt;Author&gt;Andersson&lt;/Author&gt;&lt;Year&gt;1990&lt;/Year&gt;&lt;IDText&gt;Pupils&amp;apos; conceptions of matter and its transformations (age 12-16)&lt;/IDText&gt;&lt;DisplayText&gt;(Andersson, 1990)&lt;/DisplayText&gt;&lt;record&gt;&lt;titles&gt;&lt;title&gt;Pupils&amp;apos; conceptions of matter and its transformations (age 12-16)&lt;/title&gt;&lt;secondary-title&gt;Studies in Science Education&lt;/secondary-title&gt;&lt;/titles&gt;&lt;pages&gt;53-85&lt;/pages&gt;&lt;contributors&gt;&lt;authors&gt;&lt;author&gt;Andersson, Björn&lt;/author&gt;&lt;/authors&gt;&lt;/contributors&gt;&lt;added-date format="utc"&gt;1536935305&lt;/added-date&gt;&lt;ref-type name="Journal Article"&gt;17&lt;/ref-type&gt;&lt;dates&gt;&lt;year&gt;1990&lt;/year&gt;&lt;/dates&gt;&lt;rec-number&gt;22&lt;/rec-number&gt;&lt;last-updated-date format="utc"&gt;1537268574&lt;/last-updated-date&gt;&lt;volume&gt;18&lt;/volume&gt;&lt;/record&gt;&lt;/Cite&gt;&lt;/EndNote&gt;</w:instrText>
      </w:r>
      <w:r>
        <w:fldChar w:fldCharType="separate"/>
      </w:r>
      <w:r>
        <w:rPr>
          <w:noProof/>
        </w:rPr>
        <w:t>(Andersson, 1990)</w:t>
      </w:r>
      <w:r>
        <w:fldChar w:fldCharType="end"/>
      </w:r>
      <w:r>
        <w:t xml:space="preserve"> </w:t>
      </w:r>
      <w:r w:rsidRPr="004B3CB8">
        <w:t xml:space="preserve">developed five categories of the types of answers students gave when explaining chemical reactions, only the last is scientifically correct. </w:t>
      </w:r>
      <w:r w:rsidR="00E311D6">
        <w:t xml:space="preserve">The distractors in this question are derived from the categories </w:t>
      </w:r>
      <w:r w:rsidR="00F83EA4">
        <w:t>‘</w:t>
      </w:r>
      <w:r w:rsidR="00E311D6">
        <w:t>displacement</w:t>
      </w:r>
      <w:r w:rsidR="00F83EA4">
        <w:t>’</w:t>
      </w:r>
      <w:r w:rsidR="00E311D6">
        <w:t xml:space="preserve"> and </w:t>
      </w:r>
      <w:r w:rsidR="00F83EA4">
        <w:t>‘</w:t>
      </w:r>
      <w:r w:rsidR="00E311D6">
        <w:t>modification</w:t>
      </w:r>
      <w:r w:rsidR="00F83EA4">
        <w:t>’</w:t>
      </w:r>
      <w:r w:rsidR="00E311D6">
        <w:t>.</w:t>
      </w:r>
      <w:r w:rsidR="00645396">
        <w:t xml:space="preserve"> The use of the word displacement in this research refers movement from one position to another.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0"/>
        <w:gridCol w:w="4055"/>
        <w:gridCol w:w="3441"/>
      </w:tblGrid>
      <w:tr w:rsidR="00603BB8" w14:paraId="3547D25B" w14:textId="77777777" w:rsidTr="00CD59DE">
        <w:tc>
          <w:tcPr>
            <w:tcW w:w="1520" w:type="dxa"/>
          </w:tcPr>
          <w:p w14:paraId="5B1E58C7" w14:textId="77777777" w:rsidR="00603BB8" w:rsidRPr="00AD7E96" w:rsidRDefault="00603BB8" w:rsidP="00CD59DE">
            <w:pPr>
              <w:spacing w:after="180"/>
              <w:rPr>
                <w:b/>
              </w:rPr>
            </w:pPr>
            <w:r w:rsidRPr="00AD7E96">
              <w:rPr>
                <w:b/>
              </w:rPr>
              <w:t>Category of explanation</w:t>
            </w:r>
          </w:p>
        </w:tc>
        <w:tc>
          <w:tcPr>
            <w:tcW w:w="4055" w:type="dxa"/>
          </w:tcPr>
          <w:p w14:paraId="3640A914" w14:textId="77777777" w:rsidR="00603BB8" w:rsidRPr="00AD7E96" w:rsidRDefault="00603BB8" w:rsidP="00CD59DE">
            <w:pPr>
              <w:spacing w:after="18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441" w:type="dxa"/>
          </w:tcPr>
          <w:p w14:paraId="69A3357C" w14:textId="77777777" w:rsidR="00603BB8" w:rsidRPr="00AD7E96" w:rsidRDefault="00603BB8" w:rsidP="00CD59DE">
            <w:pPr>
              <w:spacing w:after="180"/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603BB8" w14:paraId="168239C3" w14:textId="77777777" w:rsidTr="00CD59DE">
        <w:tc>
          <w:tcPr>
            <w:tcW w:w="1520" w:type="dxa"/>
          </w:tcPr>
          <w:p w14:paraId="1F5DADA6" w14:textId="77777777" w:rsidR="00603BB8" w:rsidRPr="00AD7E96" w:rsidRDefault="00603BB8" w:rsidP="00CD59DE">
            <w:pPr>
              <w:spacing w:after="180"/>
            </w:pPr>
            <w:r>
              <w:t>d</w:t>
            </w:r>
            <w:r w:rsidRPr="00AD7E96">
              <w:t>isappearance</w:t>
            </w:r>
          </w:p>
        </w:tc>
        <w:tc>
          <w:tcPr>
            <w:tcW w:w="4055" w:type="dxa"/>
          </w:tcPr>
          <w:p w14:paraId="67DB82CF" w14:textId="547B7C2F" w:rsidR="00603BB8" w:rsidRPr="00AD7E96" w:rsidRDefault="00603BB8" w:rsidP="00CD59DE">
            <w:pPr>
              <w:spacing w:after="180"/>
            </w:pPr>
            <w:r w:rsidRPr="00AD7E96">
              <w:t>The substance has simpl</w:t>
            </w:r>
            <w:r>
              <w:t>y</w:t>
            </w:r>
            <w:r w:rsidRPr="00AD7E96">
              <w:t xml:space="preserve"> gone</w:t>
            </w:r>
            <w:r w:rsidR="00127EAB">
              <w:t>.</w:t>
            </w:r>
            <w:bookmarkStart w:id="1" w:name="_GoBack"/>
            <w:bookmarkEnd w:id="1"/>
          </w:p>
        </w:tc>
        <w:tc>
          <w:tcPr>
            <w:tcW w:w="3441" w:type="dxa"/>
          </w:tcPr>
          <w:p w14:paraId="6B36204E" w14:textId="77777777" w:rsidR="00603BB8" w:rsidRPr="00AD7E96" w:rsidRDefault="00603BB8" w:rsidP="00CD59DE">
            <w:pPr>
              <w:spacing w:after="180"/>
            </w:pPr>
            <w:r>
              <w:t>P</w:t>
            </w:r>
            <w:r w:rsidRPr="00AD7E96">
              <w:t>etrol is ‘used up’.</w:t>
            </w:r>
          </w:p>
        </w:tc>
      </w:tr>
      <w:tr w:rsidR="00603BB8" w14:paraId="3C234093" w14:textId="77777777" w:rsidTr="00CD59DE">
        <w:tc>
          <w:tcPr>
            <w:tcW w:w="1520" w:type="dxa"/>
          </w:tcPr>
          <w:p w14:paraId="108662CD" w14:textId="3C792D23" w:rsidR="00603BB8" w:rsidRDefault="00645396" w:rsidP="00CD59DE">
            <w:pPr>
              <w:spacing w:after="180"/>
            </w:pPr>
            <w:r>
              <w:t>D</w:t>
            </w:r>
            <w:r w:rsidR="00603BB8" w:rsidRPr="00AD7E96">
              <w:t>isplacement</w:t>
            </w:r>
          </w:p>
          <w:p w14:paraId="1CEEB732" w14:textId="6CD2CCEC" w:rsidR="00645396" w:rsidRPr="00AD7E96" w:rsidRDefault="00645396" w:rsidP="00CD59DE">
            <w:pPr>
              <w:spacing w:after="180"/>
            </w:pPr>
            <w:r>
              <w:t>(movement)</w:t>
            </w:r>
          </w:p>
        </w:tc>
        <w:tc>
          <w:tcPr>
            <w:tcW w:w="4055" w:type="dxa"/>
          </w:tcPr>
          <w:p w14:paraId="0CF6CC57" w14:textId="77777777" w:rsidR="00603BB8" w:rsidRPr="00AD7E96" w:rsidRDefault="00603BB8" w:rsidP="00CD59DE">
            <w:pPr>
              <w:spacing w:after="180"/>
            </w:pPr>
            <w:r w:rsidRPr="00AD7E96">
              <w:t>The new product has moved from somewhere else.</w:t>
            </w:r>
          </w:p>
          <w:p w14:paraId="7309CA8B" w14:textId="77777777" w:rsidR="00603BB8" w:rsidRPr="00AD7E96" w:rsidRDefault="00603BB8" w:rsidP="00CD59DE">
            <w:pPr>
              <w:spacing w:after="180"/>
            </w:pPr>
          </w:p>
        </w:tc>
        <w:tc>
          <w:tcPr>
            <w:tcW w:w="3441" w:type="dxa"/>
          </w:tcPr>
          <w:p w14:paraId="59AC2564" w14:textId="77777777" w:rsidR="00603BB8" w:rsidRPr="00AD7E96" w:rsidRDefault="00603BB8" w:rsidP="00CD59DE">
            <w:pPr>
              <w:spacing w:after="180"/>
            </w:pPr>
            <w:r w:rsidRPr="00AD7E96">
              <w:t>When solid lead nitrate and potassium iodide are mixed the yellow colour (lead iodide) comes out of the white grains of powder.</w:t>
            </w:r>
          </w:p>
        </w:tc>
      </w:tr>
      <w:tr w:rsidR="00603BB8" w14:paraId="2659AD55" w14:textId="77777777" w:rsidTr="00CD59DE">
        <w:tc>
          <w:tcPr>
            <w:tcW w:w="1520" w:type="dxa"/>
          </w:tcPr>
          <w:p w14:paraId="2F7119AD" w14:textId="77777777" w:rsidR="00603BB8" w:rsidRPr="00AD7E96" w:rsidRDefault="00603BB8" w:rsidP="00CD59DE">
            <w:pPr>
              <w:spacing w:after="180"/>
            </w:pPr>
            <w:r>
              <w:t>m</w:t>
            </w:r>
            <w:r w:rsidRPr="00AD7E96">
              <w:t>odification</w:t>
            </w:r>
          </w:p>
        </w:tc>
        <w:tc>
          <w:tcPr>
            <w:tcW w:w="4055" w:type="dxa"/>
          </w:tcPr>
          <w:p w14:paraId="20F2C642" w14:textId="77777777" w:rsidR="00603BB8" w:rsidRPr="00AD7E96" w:rsidRDefault="00603BB8" w:rsidP="00CD59DE">
            <w:pPr>
              <w:spacing w:after="180"/>
            </w:pPr>
            <w:r w:rsidRPr="00AD7E96">
              <w:t>The original substance keeps its identity</w:t>
            </w:r>
            <w:r>
              <w:t>,</w:t>
            </w:r>
            <w:r w:rsidRPr="00AD7E96">
              <w:t xml:space="preserve"> but its properties change.</w:t>
            </w:r>
          </w:p>
        </w:tc>
        <w:tc>
          <w:tcPr>
            <w:tcW w:w="3441" w:type="dxa"/>
          </w:tcPr>
          <w:p w14:paraId="1CACA599" w14:textId="77777777" w:rsidR="00603BB8" w:rsidRPr="00AD7E96" w:rsidRDefault="00603BB8" w:rsidP="00CD59DE">
            <w:pPr>
              <w:spacing w:after="180"/>
            </w:pPr>
            <w:r w:rsidRPr="00AD7E96">
              <w:t>When alcohol burns it turns into alcohol vapour.</w:t>
            </w:r>
          </w:p>
        </w:tc>
      </w:tr>
      <w:tr w:rsidR="00603BB8" w14:paraId="174AD043" w14:textId="77777777" w:rsidTr="00CD59DE">
        <w:tc>
          <w:tcPr>
            <w:tcW w:w="1520" w:type="dxa"/>
          </w:tcPr>
          <w:p w14:paraId="595B6C0C" w14:textId="77777777" w:rsidR="00603BB8" w:rsidRPr="00AD7E96" w:rsidRDefault="00603BB8" w:rsidP="00CD59DE">
            <w:pPr>
              <w:spacing w:after="180"/>
            </w:pPr>
            <w:r>
              <w:t>t</w:t>
            </w:r>
            <w:r w:rsidRPr="00AD7E96">
              <w:t>ransmutation</w:t>
            </w:r>
          </w:p>
        </w:tc>
        <w:tc>
          <w:tcPr>
            <w:tcW w:w="4055" w:type="dxa"/>
          </w:tcPr>
          <w:p w14:paraId="234CDDDB" w14:textId="77777777" w:rsidR="00603BB8" w:rsidRPr="00AD7E96" w:rsidRDefault="00603BB8" w:rsidP="00CD59DE">
            <w:pPr>
              <w:spacing w:after="180"/>
            </w:pPr>
            <w:r>
              <w:t>A substance changes into another substance or a substance is changed (partly) into energy.</w:t>
            </w:r>
          </w:p>
        </w:tc>
        <w:tc>
          <w:tcPr>
            <w:tcW w:w="3441" w:type="dxa"/>
          </w:tcPr>
          <w:p w14:paraId="56E7D7B3" w14:textId="77777777" w:rsidR="00603BB8" w:rsidRDefault="00603BB8" w:rsidP="00CD59DE">
            <w:pPr>
              <w:spacing w:after="180"/>
            </w:pPr>
            <w:r>
              <w:t>When magnesium burns it turns into energy.</w:t>
            </w:r>
          </w:p>
        </w:tc>
      </w:tr>
      <w:tr w:rsidR="00603BB8" w14:paraId="5BEA0644" w14:textId="77777777" w:rsidTr="00CD59DE">
        <w:tc>
          <w:tcPr>
            <w:tcW w:w="1520" w:type="dxa"/>
          </w:tcPr>
          <w:p w14:paraId="2C2452D6" w14:textId="77777777" w:rsidR="00603BB8" w:rsidRDefault="00603BB8" w:rsidP="00CD59DE">
            <w:pPr>
              <w:spacing w:after="180"/>
            </w:pPr>
            <w:r>
              <w:t>chemical interactions</w:t>
            </w:r>
          </w:p>
        </w:tc>
        <w:tc>
          <w:tcPr>
            <w:tcW w:w="4055" w:type="dxa"/>
          </w:tcPr>
          <w:p w14:paraId="088AB3F0" w14:textId="77777777" w:rsidR="00603BB8" w:rsidRDefault="00603BB8" w:rsidP="00CD59DE">
            <w:pPr>
              <w:spacing w:after="180"/>
            </w:pPr>
            <w:r>
              <w:t>Substances combine to form a new substance (or split up to create two or more substances).</w:t>
            </w:r>
          </w:p>
        </w:tc>
        <w:tc>
          <w:tcPr>
            <w:tcW w:w="3441" w:type="dxa"/>
          </w:tcPr>
          <w:p w14:paraId="4C25A9A5" w14:textId="77777777" w:rsidR="00603BB8" w:rsidRDefault="00603BB8" w:rsidP="00CD59DE">
            <w:pPr>
              <w:spacing w:after="180"/>
            </w:pPr>
            <w:r>
              <w:t>Magnesium reacts with oxygen forming magnesium oxide.</w:t>
            </w:r>
          </w:p>
        </w:tc>
      </w:tr>
      <w:bookmarkEnd w:id="0"/>
    </w:tbl>
    <w:p w14:paraId="32587BEA" w14:textId="77777777" w:rsidR="00BD3C84" w:rsidRDefault="00BD3C84" w:rsidP="00026DEC">
      <w:pPr>
        <w:spacing w:after="180"/>
        <w:rPr>
          <w:b/>
          <w:color w:val="E36C0A" w:themeColor="accent6" w:themeShade="BF"/>
          <w:sz w:val="24"/>
        </w:rPr>
      </w:pPr>
    </w:p>
    <w:p w14:paraId="2492B5F8" w14:textId="71750BF4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2B5BB3A0" w14:textId="75BC61F7" w:rsidR="00402E34" w:rsidRPr="00BD3C84" w:rsidRDefault="00742F14" w:rsidP="00402E34">
      <w:pPr>
        <w:spacing w:after="180"/>
      </w:pPr>
      <w:r w:rsidRPr="00BD3C84">
        <w:t>This question could be carried out as a pencil and paper</w:t>
      </w:r>
      <w:r w:rsidR="00BD3C84">
        <w:t xml:space="preserve"> e</w:t>
      </w:r>
      <w:r w:rsidRPr="00BD3C84">
        <w:t>xercise, however students may also benefit from being able to observe the reaction.</w:t>
      </w:r>
    </w:p>
    <w:p w14:paraId="4CC4D63A" w14:textId="55B36FDE" w:rsidR="00742F14" w:rsidRDefault="00742F14" w:rsidP="00402E34">
      <w:pPr>
        <w:spacing w:after="180"/>
      </w:pPr>
      <w:r w:rsidRPr="00BD3C84">
        <w:t xml:space="preserve">The experiment </w:t>
      </w:r>
      <w:r w:rsidR="00F83EA4">
        <w:t>may</w:t>
      </w:r>
      <w:r w:rsidRPr="00BD3C84">
        <w:t xml:space="preserve"> be carried out using a coil of copper wire as shown in the question or it may be carried out </w:t>
      </w:r>
      <w:r w:rsidR="00F83EA4">
        <w:t>in</w:t>
      </w:r>
      <w:r w:rsidRPr="00BD3C84">
        <w:t xml:space="preserve"> microscale</w:t>
      </w:r>
      <w:r w:rsidR="00F83EA4">
        <w:t>,</w:t>
      </w:r>
      <w:r w:rsidRPr="00BD3C84">
        <w:t xml:space="preserve"> with copper wire being placed in a drop of silver nitrate solution.</w:t>
      </w:r>
    </w:p>
    <w:p w14:paraId="202D67BE" w14:textId="4AA7D95D" w:rsidR="0002087C" w:rsidRPr="00BD3C84" w:rsidRDefault="0002087C" w:rsidP="00402E34">
      <w:pPr>
        <w:spacing w:after="180"/>
      </w:pPr>
      <w:r>
        <w:t>At this stage the focus is on explaining macroscopic observations in terms of chemical change rather than the idea of chemical reactivity</w:t>
      </w:r>
      <w:r w:rsidR="00645396">
        <w:t xml:space="preserve"> which forms a later key concept.</w:t>
      </w:r>
    </w:p>
    <w:p w14:paraId="1808B4BB" w14:textId="740CFC2A" w:rsidR="0002087C" w:rsidRPr="0002087C" w:rsidRDefault="00BD3C84" w:rsidP="00BD3C84">
      <w:pPr>
        <w:spacing w:after="180"/>
      </w:pPr>
      <w:bookmarkStart w:id="2" w:name="_Hlk527632747"/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bookmarkEnd w:id="2"/>
    <w:p w14:paraId="32DB7021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27696F3E" w14:textId="3EBA9AD5" w:rsidR="00BF6C8A" w:rsidRPr="00742F14" w:rsidRDefault="00742F14" w:rsidP="00BF6C8A">
      <w:pPr>
        <w:spacing w:after="180"/>
      </w:pPr>
      <w:r w:rsidRPr="00742F14">
        <w:t>C</w:t>
      </w:r>
    </w:p>
    <w:p w14:paraId="12DD5B6B" w14:textId="77777777" w:rsidR="006A4440" w:rsidRPr="00742F1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742F14">
        <w:rPr>
          <w:b/>
          <w:color w:val="E36C0A" w:themeColor="accent6" w:themeShade="BF"/>
          <w:sz w:val="24"/>
        </w:rPr>
        <w:t>How to respond - w</w:t>
      </w:r>
      <w:r w:rsidR="006A4440" w:rsidRPr="00742F14">
        <w:rPr>
          <w:b/>
          <w:color w:val="E36C0A" w:themeColor="accent6" w:themeShade="BF"/>
          <w:sz w:val="24"/>
        </w:rPr>
        <w:t>h</w:t>
      </w:r>
      <w:r w:rsidRPr="00742F14">
        <w:rPr>
          <w:b/>
          <w:color w:val="E36C0A" w:themeColor="accent6" w:themeShade="BF"/>
          <w:sz w:val="24"/>
        </w:rPr>
        <w:t>at</w:t>
      </w:r>
      <w:r w:rsidR="006A4440" w:rsidRPr="00742F14">
        <w:rPr>
          <w:b/>
          <w:color w:val="E36C0A" w:themeColor="accent6" w:themeShade="BF"/>
          <w:sz w:val="24"/>
        </w:rPr>
        <w:t xml:space="preserve"> next?</w:t>
      </w:r>
    </w:p>
    <w:p w14:paraId="3DB19D60" w14:textId="5FD775C2" w:rsidR="00742F14" w:rsidRPr="00742F14" w:rsidRDefault="00742F14" w:rsidP="006A4440">
      <w:pPr>
        <w:spacing w:after="180"/>
      </w:pPr>
      <w:r w:rsidRPr="00742F14">
        <w:t xml:space="preserve">Selection of option A suggests that a student may be using the ‘displacement’ category of explanation as this suggests that the silver </w:t>
      </w:r>
      <w:r w:rsidR="00F83EA4">
        <w:t>h</w:t>
      </w:r>
      <w:r w:rsidRPr="00742F14">
        <w:t>as ‘moved’ out of the copper.</w:t>
      </w:r>
    </w:p>
    <w:p w14:paraId="20311F28" w14:textId="2CBCC057" w:rsidR="00742F14" w:rsidRPr="00742F14" w:rsidRDefault="00742F14" w:rsidP="006A4440">
      <w:pPr>
        <w:spacing w:after="180"/>
      </w:pPr>
      <w:r w:rsidRPr="00742F14">
        <w:t>A student choosing option B appears to think that a substance can change its properties as this suggests that previously soluble silver becomes insoluble.</w:t>
      </w:r>
    </w:p>
    <w:p w14:paraId="26709AD8" w14:textId="24614F76" w:rsidR="00742F14" w:rsidRPr="00742F14" w:rsidRDefault="004F039C" w:rsidP="006A4440">
      <w:pPr>
        <w:spacing w:after="180"/>
      </w:pPr>
      <w:r w:rsidRPr="00742F14">
        <w:t xml:space="preserve">If students have </w:t>
      </w:r>
      <w:r w:rsidR="00742F14" w:rsidRPr="00742F14">
        <w:t xml:space="preserve">difficulties in explaining macroscopic observations of chemical reactions they may need to develop further their understanding of chemical change (see key concept CCR1: Chemical change). </w:t>
      </w:r>
      <w:r w:rsidR="00BD3C84">
        <w:t xml:space="preserve"> Students may also benefit from being made explicitly aware of the common alternative categories of</w:t>
      </w:r>
      <w:r w:rsidR="00645396">
        <w:t xml:space="preserve"> </w:t>
      </w:r>
      <w:r w:rsidR="00BD3C84">
        <w:t>explanation.</w:t>
      </w:r>
      <w:r w:rsidR="00645396">
        <w:t xml:space="preserve"> Research </w:t>
      </w:r>
      <w:r w:rsidR="00645396">
        <w:fldChar w:fldCharType="begin"/>
      </w:r>
      <w:r w:rsidR="00645396">
        <w:instrText xml:space="preserve"> ADDIN EN.CITE &lt;EndNote&gt;&lt;Cite&gt;&lt;Author&gt;Talanquer&lt;/Author&gt;&lt;Year&gt;2017&lt;/Year&gt;&lt;IDText&gt;Concept inventories: Predicting the wrong answer may boost performance&lt;/IDText&gt;&lt;DisplayText&gt;(Talanquer, 2017)&lt;/DisplayText&gt;&lt;record&gt;&lt;titles&gt;&lt;title&gt;Concept inventories: Predicting the wrong answer may boost performance&lt;/title&gt;&lt;secondary-title&gt;Journal of Chemical Education&lt;/secondary-title&gt;&lt;/titles&gt;&lt;pages&gt;1805-1810&lt;/pages&gt;&lt;contributors&gt;&lt;authors&gt;&lt;author&gt;Talanquer, Vincente&lt;/author&gt;&lt;/authors&gt;&lt;/contributors&gt;&lt;section&gt;1805&lt;/section&gt;&lt;added-date format="utc"&gt;1532545473&lt;/added-date&gt;&lt;ref-type name="Journal Article"&gt;17&lt;/ref-type&gt;&lt;dates&gt;&lt;year&gt;2017&lt;/year&gt;&lt;/dates&gt;&lt;rec-number&gt;14&lt;/rec-number&gt;&lt;last-updated-date format="utc"&gt;1532545473&lt;/last-updated-date&gt;&lt;volume&gt;94&lt;/volume&gt;&lt;/record&gt;&lt;/Cite&gt;&lt;/EndNote&gt;</w:instrText>
      </w:r>
      <w:r w:rsidR="00645396">
        <w:fldChar w:fldCharType="separate"/>
      </w:r>
      <w:r w:rsidR="00645396">
        <w:rPr>
          <w:noProof/>
        </w:rPr>
        <w:t>(Talanquer, 2017)</w:t>
      </w:r>
      <w:r w:rsidR="00645396">
        <w:fldChar w:fldCharType="end"/>
      </w:r>
      <w:r w:rsidR="00F83EA4">
        <w:t xml:space="preserve"> </w:t>
      </w:r>
      <w:r w:rsidR="00645396">
        <w:t>showed a positive effect o</w:t>
      </w:r>
      <w:r w:rsidR="00F83EA4">
        <w:t>n</w:t>
      </w:r>
      <w:r w:rsidR="00645396">
        <w:t xml:space="preserve"> student performance when prompts were added to questions asking student to consider what incorrect answer </w:t>
      </w:r>
      <w:r w:rsidR="00F83EA4">
        <w:t>another</w:t>
      </w:r>
      <w:r w:rsidR="00645396">
        <w:t xml:space="preserve"> student may give. It was thought that this reduced ‘intuitive’ responses by students.</w:t>
      </w:r>
    </w:p>
    <w:p w14:paraId="59A1A4AD" w14:textId="5471A26A" w:rsidR="005F1A7B" w:rsidRDefault="004F039C" w:rsidP="006A4440">
      <w:pPr>
        <w:spacing w:after="180"/>
      </w:pPr>
      <w:r w:rsidRPr="00742F14">
        <w:t xml:space="preserve">The following </w:t>
      </w:r>
      <w:r w:rsidR="005F1A7B" w:rsidRPr="00742F14">
        <w:t xml:space="preserve">BEST </w:t>
      </w:r>
      <w:r w:rsidR="004C5D20" w:rsidRPr="00742F14">
        <w:t xml:space="preserve">‘response </w:t>
      </w:r>
      <w:r w:rsidR="00C1460B" w:rsidRPr="00742F14">
        <w:t>activities</w:t>
      </w:r>
      <w:r w:rsidR="004C5D20" w:rsidRPr="00742F14">
        <w:t>’</w:t>
      </w:r>
      <w:r w:rsidR="005F1A7B" w:rsidRPr="00742F14">
        <w:t xml:space="preserve"> </w:t>
      </w:r>
      <w:r w:rsidR="004C5D20" w:rsidRPr="00742F14">
        <w:t>c</w:t>
      </w:r>
      <w:r w:rsidR="005F1A7B" w:rsidRPr="00742F14">
        <w:t xml:space="preserve">ould </w:t>
      </w:r>
      <w:r w:rsidR="004C5D20" w:rsidRPr="00742F14">
        <w:t>be used in follow-up to this diagnostic question</w:t>
      </w:r>
      <w:r w:rsidRPr="00742F14">
        <w:t>:</w:t>
      </w:r>
    </w:p>
    <w:p w14:paraId="29375CC9" w14:textId="080B6D09" w:rsidR="00A6111E" w:rsidRPr="0004242E" w:rsidRDefault="0004242E" w:rsidP="00402E34">
      <w:pPr>
        <w:pStyle w:val="ListParagraph"/>
        <w:numPr>
          <w:ilvl w:val="0"/>
          <w:numId w:val="1"/>
        </w:numPr>
        <w:spacing w:after="180"/>
      </w:pPr>
      <w:r w:rsidRPr="0004242E">
        <w:t>Copper discussion</w:t>
      </w:r>
    </w:p>
    <w:p w14:paraId="4BEF5FFD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39424600" w14:textId="7468A60B" w:rsidR="00D278E8" w:rsidRDefault="00D278E8" w:rsidP="00E172C6">
      <w:pPr>
        <w:spacing w:after="180"/>
      </w:pPr>
      <w:r w:rsidRPr="00603BB8">
        <w:t xml:space="preserve">Developed </w:t>
      </w:r>
      <w:r w:rsidR="0015356E" w:rsidRPr="00603BB8">
        <w:t xml:space="preserve">by </w:t>
      </w:r>
      <w:r w:rsidR="00603BB8" w:rsidRPr="00603BB8">
        <w:t>Helen Harden</w:t>
      </w:r>
      <w:r w:rsidR="0015356E" w:rsidRPr="00603BB8">
        <w:t xml:space="preserve"> (UYSEG)</w:t>
      </w:r>
      <w:r w:rsidR="00603BB8" w:rsidRPr="00603BB8">
        <w:t>.</w:t>
      </w:r>
    </w:p>
    <w:p w14:paraId="3E8446B7" w14:textId="50CFAE0C" w:rsidR="00CC78A5" w:rsidRDefault="00D278E8" w:rsidP="00E172C6">
      <w:pPr>
        <w:spacing w:after="180"/>
      </w:pPr>
      <w:r w:rsidRPr="0045323E">
        <w:t xml:space="preserve">Images: </w:t>
      </w:r>
      <w:r w:rsidR="001951EC" w:rsidRPr="001951EC">
        <w:t>Toby Hudson [CC BY-</w:t>
      </w:r>
      <w:r w:rsidR="001951EC" w:rsidRPr="00BD3C84">
        <w:t>SA 3.0 au (https://creativecommons.org/licenses/by-sa/3.0/au/deed.en)], from Wikimedia Commons</w:t>
      </w:r>
    </w:p>
    <w:p w14:paraId="06766263" w14:textId="434F3BB6" w:rsidR="00473AB8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1637CEFC" w14:textId="77777777" w:rsidR="00645396" w:rsidRPr="00645396" w:rsidRDefault="00473AB8" w:rsidP="00645396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="00645396" w:rsidRPr="00645396">
        <w:t xml:space="preserve">Andersson, B. (1990). Pupils' conceptions of matter and its transformations (age 12-16). </w:t>
      </w:r>
      <w:r w:rsidR="00645396" w:rsidRPr="00645396">
        <w:rPr>
          <w:i/>
        </w:rPr>
        <w:t>Studies in Science Education,</w:t>
      </w:r>
      <w:r w:rsidR="00645396" w:rsidRPr="00645396">
        <w:t xml:space="preserve"> 18</w:t>
      </w:r>
      <w:r w:rsidR="00645396" w:rsidRPr="00645396">
        <w:rPr>
          <w:b/>
        </w:rPr>
        <w:t>,</w:t>
      </w:r>
      <w:r w:rsidR="00645396" w:rsidRPr="00645396">
        <w:t xml:space="preserve"> 53-85.</w:t>
      </w:r>
    </w:p>
    <w:p w14:paraId="58FC4CFE" w14:textId="77777777" w:rsidR="00645396" w:rsidRPr="00645396" w:rsidRDefault="00645396" w:rsidP="00645396">
      <w:pPr>
        <w:pStyle w:val="EndNoteBibliography"/>
      </w:pPr>
      <w:r w:rsidRPr="00645396">
        <w:t xml:space="preserve">Talanquer, V. (2017). Concept inventories: Predicting the wrong answer may boost performance. </w:t>
      </w:r>
      <w:r w:rsidRPr="00645396">
        <w:rPr>
          <w:i/>
        </w:rPr>
        <w:t>Journal of Chemical Education,</w:t>
      </w:r>
      <w:r w:rsidRPr="00645396">
        <w:t xml:space="preserve"> 94</w:t>
      </w:r>
      <w:r w:rsidRPr="00645396">
        <w:rPr>
          <w:b/>
        </w:rPr>
        <w:t>,</w:t>
      </w:r>
      <w:r w:rsidRPr="00645396">
        <w:t xml:space="preserve"> 1805-1810.</w:t>
      </w:r>
    </w:p>
    <w:p w14:paraId="7399B6B7" w14:textId="52246324" w:rsidR="00B46FF9" w:rsidRPr="001E4950" w:rsidRDefault="00473AB8" w:rsidP="00E24309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B46FF9" w:rsidRPr="001E4950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AABEC" w14:textId="77777777" w:rsidR="00FC2938" w:rsidRDefault="00FC2938" w:rsidP="000B473B">
      <w:r>
        <w:separator/>
      </w:r>
    </w:p>
  </w:endnote>
  <w:endnote w:type="continuationSeparator" w:id="0">
    <w:p w14:paraId="3A49CA67" w14:textId="77777777" w:rsidR="00FC2938" w:rsidRDefault="00FC293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5B4EA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3714759" wp14:editId="2BCAD928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8A8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E4950">
      <w:rPr>
        <w:noProof/>
      </w:rPr>
      <w:t>3</w:t>
    </w:r>
    <w:r>
      <w:rPr>
        <w:noProof/>
      </w:rPr>
      <w:fldChar w:fldCharType="end"/>
    </w:r>
  </w:p>
  <w:p w14:paraId="4CAA5211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3D1B46F2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1364A" w14:textId="77777777" w:rsidR="00FC2938" w:rsidRDefault="00FC2938" w:rsidP="000B473B">
      <w:r>
        <w:separator/>
      </w:r>
    </w:p>
  </w:footnote>
  <w:footnote w:type="continuationSeparator" w:id="0">
    <w:p w14:paraId="398E8A86" w14:textId="77777777" w:rsidR="00FC2938" w:rsidRDefault="00FC293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E9D3D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7BE5228" wp14:editId="7B6287C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DFF7619" wp14:editId="1C62555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7F9F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6C68F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FF9935F" wp14:editId="4497740F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014C4768" wp14:editId="665C2018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7A66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951EC"/>
    <w:rsid w:val="00015578"/>
    <w:rsid w:val="0002087C"/>
    <w:rsid w:val="00024731"/>
    <w:rsid w:val="00026DEC"/>
    <w:rsid w:val="0004242E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27EAB"/>
    <w:rsid w:val="00142613"/>
    <w:rsid w:val="00144DA7"/>
    <w:rsid w:val="0015356E"/>
    <w:rsid w:val="00161D3F"/>
    <w:rsid w:val="001915D4"/>
    <w:rsid w:val="001951EC"/>
    <w:rsid w:val="001A1FED"/>
    <w:rsid w:val="001A40E2"/>
    <w:rsid w:val="001C4805"/>
    <w:rsid w:val="001E4950"/>
    <w:rsid w:val="00201AC2"/>
    <w:rsid w:val="00214608"/>
    <w:rsid w:val="0021607B"/>
    <w:rsid w:val="002178AC"/>
    <w:rsid w:val="0022547C"/>
    <w:rsid w:val="00242736"/>
    <w:rsid w:val="00243015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117F6"/>
    <w:rsid w:val="00323334"/>
    <w:rsid w:val="003533B8"/>
    <w:rsid w:val="003752BE"/>
    <w:rsid w:val="003A346A"/>
    <w:rsid w:val="003A78F9"/>
    <w:rsid w:val="003B2917"/>
    <w:rsid w:val="003B541B"/>
    <w:rsid w:val="003E2B2F"/>
    <w:rsid w:val="003E6046"/>
    <w:rsid w:val="003F16F9"/>
    <w:rsid w:val="00402E34"/>
    <w:rsid w:val="00430C1F"/>
    <w:rsid w:val="00442595"/>
    <w:rsid w:val="00447F69"/>
    <w:rsid w:val="0045323E"/>
    <w:rsid w:val="00473AB8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F1A7B"/>
    <w:rsid w:val="00603BB8"/>
    <w:rsid w:val="006355D8"/>
    <w:rsid w:val="00642ECD"/>
    <w:rsid w:val="00645396"/>
    <w:rsid w:val="006502A0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42F14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E0D11"/>
    <w:rsid w:val="009E2E3A"/>
    <w:rsid w:val="00A24A16"/>
    <w:rsid w:val="00A37D14"/>
    <w:rsid w:val="00A42C0B"/>
    <w:rsid w:val="00A6111E"/>
    <w:rsid w:val="00A6168B"/>
    <w:rsid w:val="00A6178A"/>
    <w:rsid w:val="00A62028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D3C84"/>
    <w:rsid w:val="00BF0BBF"/>
    <w:rsid w:val="00BF6C8A"/>
    <w:rsid w:val="00C05571"/>
    <w:rsid w:val="00C1460B"/>
    <w:rsid w:val="00C246CE"/>
    <w:rsid w:val="00C54711"/>
    <w:rsid w:val="00C57FA2"/>
    <w:rsid w:val="00CA6ED9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62F1B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311D6"/>
    <w:rsid w:val="00E53D82"/>
    <w:rsid w:val="00E9330A"/>
    <w:rsid w:val="00EE6B97"/>
    <w:rsid w:val="00F12C3B"/>
    <w:rsid w:val="00F26884"/>
    <w:rsid w:val="00F72ECC"/>
    <w:rsid w:val="00F8355F"/>
    <w:rsid w:val="00F83EA4"/>
    <w:rsid w:val="00FA3196"/>
    <w:rsid w:val="00FA5B3A"/>
    <w:rsid w:val="00FC2938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894E3"/>
  <w15:docId w15:val="{0705E75E-C0B8-4FEE-AA46-86E3C03F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617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473AB8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73AB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73AB8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73AB8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121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8</cp:revision>
  <cp:lastPrinted>2018-12-03T11:58:00Z</cp:lastPrinted>
  <dcterms:created xsi:type="dcterms:W3CDTF">2018-10-17T15:17:00Z</dcterms:created>
  <dcterms:modified xsi:type="dcterms:W3CDTF">2018-12-03T12:36:00Z</dcterms:modified>
</cp:coreProperties>
</file>