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E9870" w14:textId="5286AAAA"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5728E8">
        <w:rPr>
          <w:i/>
          <w:sz w:val="18"/>
          <w:szCs w:val="18"/>
        </w:rPr>
        <w:t>CCR: Chemical reactions</w:t>
      </w:r>
      <w:r w:rsidR="00F34FD0">
        <w:rPr>
          <w:i/>
          <w:sz w:val="18"/>
          <w:szCs w:val="18"/>
        </w:rPr>
        <w:t xml:space="preserve"> &gt; </w:t>
      </w:r>
      <w:r w:rsidR="001B2603">
        <w:rPr>
          <w:i/>
          <w:sz w:val="18"/>
          <w:szCs w:val="18"/>
        </w:rPr>
        <w:t xml:space="preserve">Topic </w:t>
      </w:r>
      <w:r w:rsidR="005728E8">
        <w:rPr>
          <w:i/>
          <w:sz w:val="18"/>
          <w:szCs w:val="18"/>
        </w:rPr>
        <w:t>CCR2: Understanding reactions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25BB32A6" w14:textId="77777777" w:rsidTr="00EF081E">
        <w:trPr>
          <w:trHeight w:val="321"/>
        </w:trPr>
        <w:tc>
          <w:tcPr>
            <w:tcW w:w="16831" w:type="dxa"/>
            <w:shd w:val="clear" w:color="auto" w:fill="FABF8F" w:themeFill="accent6" w:themeFillTint="99"/>
          </w:tcPr>
          <w:p w14:paraId="627B0D54"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2F507EC4" w14:textId="77777777" w:rsidTr="00EF081E">
        <w:trPr>
          <w:trHeight w:val="362"/>
        </w:trPr>
        <w:tc>
          <w:tcPr>
            <w:tcW w:w="16831" w:type="dxa"/>
            <w:shd w:val="clear" w:color="auto" w:fill="FBD4B4" w:themeFill="accent6" w:themeFillTint="66"/>
          </w:tcPr>
          <w:p w14:paraId="1992C9B2" w14:textId="40D55F28" w:rsidR="006F3279" w:rsidRPr="005728E8" w:rsidRDefault="005728E8" w:rsidP="00F34FD0">
            <w:pPr>
              <w:spacing w:after="60"/>
              <w:ind w:left="1304"/>
              <w:rPr>
                <w:b/>
                <w:color w:val="000000" w:themeColor="text1"/>
                <w:sz w:val="40"/>
                <w:szCs w:val="40"/>
              </w:rPr>
            </w:pPr>
            <w:r w:rsidRPr="005728E8">
              <w:rPr>
                <w:b/>
                <w:color w:val="000000" w:themeColor="text1"/>
                <w:sz w:val="40"/>
                <w:szCs w:val="40"/>
              </w:rPr>
              <w:t>CCR2.1 Reactions in solution</w:t>
            </w:r>
          </w:p>
        </w:tc>
      </w:tr>
    </w:tbl>
    <w:p w14:paraId="3E1BFB85" w14:textId="77777777" w:rsidR="003A07C6" w:rsidRDefault="003A07C6" w:rsidP="003A07C6">
      <w:pPr>
        <w:rPr>
          <w:b/>
          <w:color w:val="E36C0A" w:themeColor="accent6" w:themeShade="BF"/>
          <w:sz w:val="24"/>
        </w:rPr>
      </w:pPr>
    </w:p>
    <w:p w14:paraId="528D00BF"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06627AA7" w14:textId="6095874C" w:rsidR="003A07C6" w:rsidRPr="00A75548" w:rsidRDefault="00A75548" w:rsidP="003A07C6">
      <w:pPr>
        <w:spacing w:after="180"/>
      </w:pPr>
      <w:bookmarkStart w:id="0" w:name="_Hlk524420718"/>
      <w:r>
        <w:t>A big idea in chemistry</w:t>
      </w:r>
      <w:r w:rsidRPr="00DD4D20">
        <w:t xml:space="preserve"> </w:t>
      </w:r>
      <w:r w:rsidRPr="00EC0E76">
        <w:t>is that during a chemical reaction</w:t>
      </w:r>
      <w:r>
        <w:t>,</w:t>
      </w:r>
      <w:r w:rsidRPr="00EC0E76">
        <w:t xml:space="preserve"> atoms are rearranged </w:t>
      </w:r>
      <w:r>
        <w:t>resulting in the formation of a new substance or substances.</w:t>
      </w:r>
      <w:bookmarkEnd w:id="0"/>
    </w:p>
    <w:p w14:paraId="0B08154A"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29E6D01B" w14:textId="4EA7366F" w:rsidR="00A75548" w:rsidRDefault="003A07C6" w:rsidP="003A07C6">
      <w:pPr>
        <w:spacing w:after="180"/>
      </w:pPr>
      <w:r>
        <w:t>This key concept develops the big idea by</w:t>
      </w:r>
      <w:r w:rsidR="00A75548">
        <w:t xml:space="preserve"> introducing the reaction of substances </w:t>
      </w:r>
      <w:r w:rsidR="00D823FB">
        <w:t xml:space="preserve">that are </w:t>
      </w:r>
      <w:r w:rsidR="00A75548">
        <w:t>in solution.</w:t>
      </w:r>
    </w:p>
    <w:p w14:paraId="4646DD96" w14:textId="7D857AFC"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01EA4042" wp14:editId="12AFC28D">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8">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of </w:t>
      </w:r>
      <w:r w:rsidR="00D823FB">
        <w:t>solubility both macroscopically and in terms of the difference in properties between a compound and its constituent element</w:t>
      </w:r>
      <w:r w:rsidR="00D823FB" w:rsidRPr="00D823FB">
        <w:t xml:space="preserve">s. </w:t>
      </w:r>
      <w:r w:rsidR="003A07C6">
        <w:t xml:space="preserve"> It </w:t>
      </w:r>
      <w:r>
        <w:t xml:space="preserve">then </w:t>
      </w:r>
      <w:r w:rsidR="006F2CAB">
        <w:t>supports the development of</w:t>
      </w:r>
      <w:r w:rsidR="003A07C6">
        <w:t xml:space="preserve"> </w:t>
      </w:r>
      <w:r w:rsidR="00D823FB">
        <w:t>understanding of the appearance of a</w:t>
      </w:r>
      <w:r w:rsidR="00F749F5">
        <w:t>n insoluble</w:t>
      </w:r>
      <w:r w:rsidR="00D823FB">
        <w:t xml:space="preserve"> product</w:t>
      </w:r>
      <w:r w:rsidR="00A35F98">
        <w:t xml:space="preserve"> in order to enable </w:t>
      </w:r>
      <w:r w:rsidR="00D823FB">
        <w:t>explanation of the formation of a precipitate.</w:t>
      </w:r>
    </w:p>
    <w:p w14:paraId="27AF9910" w14:textId="5BE9A000"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168FBEED"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3C96DAB4" w14:textId="77777777" w:rsidR="00CE7273" w:rsidRDefault="00CE7273">
      <w:pPr>
        <w:spacing w:after="200" w:line="276" w:lineRule="auto"/>
        <w:rPr>
          <w:b/>
          <w:color w:val="5F497A" w:themeColor="accent4" w:themeShade="BF"/>
          <w:sz w:val="24"/>
        </w:rPr>
      </w:pPr>
    </w:p>
    <w:p w14:paraId="02510010"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787C2307"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4D58ACBF" w14:textId="0611FA4D"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402D9D" w:rsidRPr="00402D9D">
        <w:rPr>
          <w:b/>
          <w:color w:val="E36C0A" w:themeColor="accent6" w:themeShade="BF"/>
          <w:sz w:val="24"/>
        </w:rPr>
        <w:t>Reactions in solution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34767E68"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5DE7E6D7"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248F9C93" w14:textId="03CD21BF" w:rsidR="00F928E4" w:rsidRPr="006229D7" w:rsidRDefault="00D40647" w:rsidP="00E76774">
            <w:pPr>
              <w:jc w:val="center"/>
              <w:rPr>
                <w:rFonts w:ascii="Calibri" w:eastAsia="Calibri" w:hAnsi="Calibri" w:cs="Calibri"/>
                <w:sz w:val="24"/>
                <w:szCs w:val="20"/>
              </w:rPr>
            </w:pPr>
            <w:r>
              <w:rPr>
                <w:rFonts w:ascii="Calibri" w:eastAsia="Calibri" w:hAnsi="Calibri" w:cs="Calibri"/>
                <w:sz w:val="24"/>
                <w:szCs w:val="20"/>
              </w:rPr>
              <w:t>When two solutions react, a product may be insoluble, resulting in the formation of a precipitate.</w:t>
            </w:r>
          </w:p>
        </w:tc>
      </w:tr>
      <w:tr w:rsidR="00F928E4" w:rsidRPr="006229D7" w14:paraId="3C2026B8"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0DC2ECD"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9FC5233"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EA65AA"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E4AFD42"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DE27FEE"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55294B8" w14:textId="77777777" w:rsidR="00F928E4" w:rsidRPr="006229D7" w:rsidRDefault="00F928E4" w:rsidP="00E76774">
            <w:pPr>
              <w:jc w:val="center"/>
              <w:rPr>
                <w:rFonts w:ascii="Calibri" w:eastAsia="Calibri" w:hAnsi="Calibri" w:cs="Calibri"/>
                <w:sz w:val="2"/>
                <w:szCs w:val="2"/>
              </w:rPr>
            </w:pPr>
          </w:p>
        </w:tc>
      </w:tr>
      <w:tr w:rsidR="00F928E4" w:rsidRPr="006229D7" w14:paraId="466E3C0D"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387A2C72"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4207F5D1"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2C8F48A4" wp14:editId="0FE27DF8">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587B729B"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8F48A4"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587B729B"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39B258BB"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0E02927F"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13BAC876" w14:textId="452F4DB1" w:rsidR="00F928E4" w:rsidRDefault="005728E8" w:rsidP="00E76774">
            <w:pPr>
              <w:spacing w:after="120"/>
              <w:rPr>
                <w:rFonts w:cstheme="minorHAnsi"/>
                <w:sz w:val="20"/>
                <w:szCs w:val="20"/>
              </w:rPr>
            </w:pPr>
            <w:r w:rsidRPr="00D40647">
              <w:rPr>
                <w:rFonts w:cstheme="minorHAnsi"/>
                <w:sz w:val="20"/>
                <w:szCs w:val="20"/>
              </w:rPr>
              <w:t>Use observations to determine whether a substance is in solution.</w:t>
            </w:r>
          </w:p>
          <w:p w14:paraId="7FA924CA" w14:textId="77777777" w:rsidR="00F928E4" w:rsidRPr="00E675A8" w:rsidRDefault="00F928E4" w:rsidP="00E76774">
            <w:pPr>
              <w:rPr>
                <w:rFonts w:cstheme="minorHAnsi"/>
                <w:sz w:val="20"/>
                <w:szCs w:val="20"/>
              </w:rPr>
            </w:pPr>
            <w:r>
              <w:rPr>
                <w:noProof/>
                <w:sz w:val="20"/>
                <w:lang w:eastAsia="en-GB"/>
              </w:rPr>
              <mc:AlternateContent>
                <mc:Choice Requires="wps">
                  <w:drawing>
                    <wp:inline distT="0" distB="0" distL="0" distR="0" wp14:anchorId="7F074405" wp14:editId="54C9651B">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7FEC8EF4"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074405"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7FEC8EF4"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60AC48E7" w14:textId="77777777" w:rsidR="00F928E4" w:rsidRDefault="00D40647" w:rsidP="00E76774">
            <w:pPr>
              <w:spacing w:after="120"/>
              <w:rPr>
                <w:rFonts w:cstheme="minorHAnsi"/>
                <w:sz w:val="20"/>
                <w:szCs w:val="20"/>
              </w:rPr>
            </w:pPr>
            <w:r>
              <w:rPr>
                <w:rFonts w:cstheme="minorHAnsi"/>
                <w:sz w:val="20"/>
                <w:szCs w:val="20"/>
              </w:rPr>
              <w:t>Recognise that a compound has properties (including solubility) that are distinct from its constituent elements.</w:t>
            </w:r>
          </w:p>
          <w:p w14:paraId="16F555FE" w14:textId="5A89A41A" w:rsidR="00D40647" w:rsidRPr="00E675A8" w:rsidRDefault="00D40647" w:rsidP="00E76774">
            <w:pPr>
              <w:spacing w:after="120"/>
              <w:rPr>
                <w:rFonts w:cstheme="minorHAnsi"/>
                <w:sz w:val="20"/>
                <w:szCs w:val="20"/>
              </w:rPr>
            </w:pPr>
            <w:r>
              <w:rPr>
                <w:noProof/>
                <w:sz w:val="20"/>
                <w:lang w:eastAsia="en-GB"/>
              </w:rPr>
              <mc:AlternateContent>
                <mc:Choice Requires="wps">
                  <w:drawing>
                    <wp:inline distT="0" distB="0" distL="0" distR="0" wp14:anchorId="6D694E90" wp14:editId="7BF7D156">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4C75B410" w14:textId="77777777" w:rsidR="00D40647" w:rsidRPr="00620AFF" w:rsidRDefault="00D40647" w:rsidP="00D4064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694E90"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" fillcolor="#e36c0a [2409]" stroked="f" strokeweight=".5pt">
                      <v:textbox style="mso-fit-shape-to-text:t" inset="1mm,1mm,1mm,1mm">
                        <w:txbxContent>
                          <w:p w14:paraId="4C75B410" w14:textId="77777777" w:rsidR="00D40647" w:rsidRPr="00620AFF" w:rsidRDefault="00D40647" w:rsidP="00D4064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5CF0A772" w14:textId="16C271AE" w:rsidR="00F928E4" w:rsidRPr="00D40647" w:rsidRDefault="00402D9D" w:rsidP="00E76774">
            <w:pPr>
              <w:spacing w:after="120"/>
              <w:rPr>
                <w:rFonts w:cstheme="minorHAnsi"/>
                <w:sz w:val="20"/>
                <w:szCs w:val="20"/>
              </w:rPr>
            </w:pPr>
            <w:r w:rsidRPr="00D40647">
              <w:rPr>
                <w:rFonts w:cstheme="minorHAnsi"/>
                <w:sz w:val="20"/>
                <w:szCs w:val="20"/>
              </w:rPr>
              <w:t xml:space="preserve">Explain the </w:t>
            </w:r>
            <w:r w:rsidR="00D40647" w:rsidRPr="00D40647">
              <w:rPr>
                <w:rFonts w:cstheme="minorHAnsi"/>
                <w:sz w:val="20"/>
                <w:szCs w:val="20"/>
              </w:rPr>
              <w:t>appearance of a different metal during a displacement reaction.</w:t>
            </w:r>
          </w:p>
        </w:tc>
        <w:tc>
          <w:tcPr>
            <w:tcW w:w="2439" w:type="dxa"/>
            <w:tcBorders>
              <w:top w:val="nil"/>
              <w:left w:val="dashed" w:sz="4" w:space="0" w:color="E36C0A"/>
              <w:bottom w:val="single" w:sz="8" w:space="0" w:color="E36C0A"/>
              <w:right w:val="dashed" w:sz="4" w:space="0" w:color="E36C0A"/>
            </w:tcBorders>
          </w:tcPr>
          <w:p w14:paraId="1754A6C5" w14:textId="3456DAC1" w:rsidR="00F928E4" w:rsidRPr="00D40647" w:rsidRDefault="006F2B1B" w:rsidP="00E76774">
            <w:pPr>
              <w:spacing w:after="120"/>
              <w:rPr>
                <w:rFonts w:cstheme="minorHAnsi"/>
                <w:sz w:val="20"/>
                <w:szCs w:val="20"/>
              </w:rPr>
            </w:pPr>
            <w:r w:rsidRPr="00D40647">
              <w:rPr>
                <w:rFonts w:cstheme="minorHAnsi"/>
                <w:sz w:val="20"/>
                <w:szCs w:val="20"/>
              </w:rPr>
              <w:t>Explain the formation of a precipitate in terms of a difference in solubility of a product</w:t>
            </w:r>
            <w:r>
              <w:rPr>
                <w:rFonts w:cstheme="minorHAnsi"/>
                <w:sz w:val="20"/>
                <w:szCs w:val="20"/>
              </w:rPr>
              <w:t>.</w:t>
            </w:r>
          </w:p>
        </w:tc>
        <w:tc>
          <w:tcPr>
            <w:tcW w:w="2439" w:type="dxa"/>
            <w:tcBorders>
              <w:top w:val="nil"/>
              <w:left w:val="dashed" w:sz="4" w:space="0" w:color="E36C0A"/>
              <w:bottom w:val="single" w:sz="8" w:space="0" w:color="E36C0A"/>
              <w:right w:val="single" w:sz="8" w:space="0" w:color="E36C0A"/>
            </w:tcBorders>
          </w:tcPr>
          <w:p w14:paraId="6891BAA6" w14:textId="5D620DAC" w:rsidR="00F928E4" w:rsidRPr="00D40647" w:rsidRDefault="006F2B1B" w:rsidP="009E6888">
            <w:pPr>
              <w:spacing w:after="120"/>
              <w:rPr>
                <w:rFonts w:cstheme="minorHAnsi"/>
                <w:sz w:val="20"/>
                <w:szCs w:val="20"/>
              </w:rPr>
            </w:pPr>
            <w:bookmarkStart w:id="1" w:name="_GoBack"/>
            <w:r w:rsidRPr="00D40647">
              <w:rPr>
                <w:rFonts w:cstheme="minorHAnsi"/>
                <w:sz w:val="20"/>
                <w:szCs w:val="20"/>
              </w:rPr>
              <w:t>Predict the conservation of mass during a displacement reaction</w:t>
            </w:r>
            <w:bookmarkEnd w:id="1"/>
            <w:r w:rsidRPr="00D40647">
              <w:rPr>
                <w:rFonts w:cstheme="minorHAnsi"/>
                <w:sz w:val="20"/>
                <w:szCs w:val="20"/>
              </w:rPr>
              <w:t>.</w:t>
            </w:r>
          </w:p>
        </w:tc>
      </w:tr>
      <w:tr w:rsidR="00F928E4" w:rsidRPr="006229D7" w14:paraId="5CD95285"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A02E364"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BDA248F"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AB9426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034B1E5"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099878A"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CF1A1CE" w14:textId="77777777" w:rsidR="00F928E4" w:rsidRPr="006229D7" w:rsidRDefault="00F928E4" w:rsidP="00E76774">
            <w:pPr>
              <w:jc w:val="center"/>
              <w:rPr>
                <w:rFonts w:ascii="Calibri" w:eastAsia="Calibri" w:hAnsi="Calibri" w:cs="Calibri"/>
                <w:sz w:val="20"/>
                <w:szCs w:val="20"/>
              </w:rPr>
            </w:pPr>
          </w:p>
        </w:tc>
      </w:tr>
      <w:tr w:rsidR="00F928E4" w:rsidRPr="006229D7" w14:paraId="6D6506FD" w14:textId="77777777" w:rsidTr="00E76774">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183FADBB"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5DF8AA9C" w14:textId="7ADAA728" w:rsidR="00F928E4" w:rsidRPr="006229D7" w:rsidRDefault="005728E8" w:rsidP="00E76774">
            <w:pPr>
              <w:jc w:val="center"/>
              <w:rPr>
                <w:rFonts w:ascii="Calibri" w:eastAsia="Calibri" w:hAnsi="Calibri" w:cs="Calibri"/>
                <w:sz w:val="20"/>
                <w:szCs w:val="20"/>
              </w:rPr>
            </w:pPr>
            <w:r>
              <w:rPr>
                <w:rFonts w:ascii="Calibri" w:eastAsia="Calibri" w:hAnsi="Calibri" w:cs="Calibri"/>
                <w:sz w:val="20"/>
                <w:szCs w:val="20"/>
              </w:rPr>
              <w:t>Solution?</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27B60E0C" w14:textId="50D9524D" w:rsidR="00F928E4" w:rsidRPr="006229D7" w:rsidRDefault="00B10C54" w:rsidP="00E76774">
            <w:pPr>
              <w:jc w:val="center"/>
              <w:rPr>
                <w:rFonts w:ascii="Calibri" w:eastAsia="Calibri" w:hAnsi="Calibri" w:cs="Calibri"/>
                <w:sz w:val="20"/>
                <w:szCs w:val="20"/>
              </w:rPr>
            </w:pPr>
            <w:r>
              <w:rPr>
                <w:rFonts w:ascii="Calibri" w:eastAsia="Calibri" w:hAnsi="Calibri" w:cs="Calibri"/>
                <w:sz w:val="20"/>
                <w:szCs w:val="20"/>
              </w:rPr>
              <w:t>Is copper soluble</w:t>
            </w:r>
            <w:r w:rsidR="00402D9D">
              <w:rPr>
                <w:rFonts w:ascii="Calibri" w:eastAsia="Calibri" w:hAnsi="Calibri" w:cs="Calibri"/>
                <w:sz w:val="20"/>
                <w:szCs w:val="20"/>
              </w:rPr>
              <w:t>?</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0E45A101" w14:textId="427A0EA7" w:rsidR="00F928E4" w:rsidRPr="006229D7" w:rsidRDefault="0012442E" w:rsidP="00E76774">
            <w:pPr>
              <w:jc w:val="center"/>
              <w:rPr>
                <w:rFonts w:ascii="Calibri" w:eastAsia="Calibri" w:hAnsi="Calibri" w:cs="Calibri"/>
                <w:sz w:val="20"/>
                <w:szCs w:val="20"/>
              </w:rPr>
            </w:pPr>
            <w:r>
              <w:rPr>
                <w:rFonts w:ascii="Calibri" w:eastAsia="Calibri" w:hAnsi="Calibri" w:cs="Calibri"/>
                <w:sz w:val="20"/>
                <w:szCs w:val="20"/>
              </w:rPr>
              <w:t>Making silver?</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203E5126" w14:textId="4F04421A" w:rsidR="00F928E4" w:rsidRPr="006229D7" w:rsidRDefault="006F2B1B" w:rsidP="00E76774">
            <w:pPr>
              <w:jc w:val="center"/>
              <w:rPr>
                <w:rFonts w:ascii="Calibri" w:eastAsia="Calibri" w:hAnsi="Calibri" w:cs="Calibri"/>
                <w:sz w:val="20"/>
                <w:szCs w:val="20"/>
              </w:rPr>
            </w:pPr>
            <w:r>
              <w:rPr>
                <w:rFonts w:ascii="Calibri" w:eastAsia="Calibri" w:hAnsi="Calibri" w:cs="Calibri"/>
                <w:sz w:val="20"/>
                <w:szCs w:val="20"/>
              </w:rPr>
              <w:t>Precipitate</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11BBD19C" w14:textId="5C8D205C" w:rsidR="00F928E4" w:rsidRPr="006229D7" w:rsidRDefault="006F2B1B" w:rsidP="00E76774">
            <w:pPr>
              <w:jc w:val="center"/>
              <w:rPr>
                <w:rFonts w:ascii="Calibri" w:eastAsia="Calibri" w:hAnsi="Calibri" w:cs="Calibri"/>
                <w:sz w:val="20"/>
                <w:szCs w:val="20"/>
              </w:rPr>
            </w:pPr>
            <w:r>
              <w:rPr>
                <w:rFonts w:ascii="Calibri" w:eastAsia="Calibri" w:hAnsi="Calibri" w:cs="Calibri"/>
                <w:sz w:val="20"/>
                <w:szCs w:val="20"/>
              </w:rPr>
              <w:t>Mass change?</w:t>
            </w:r>
          </w:p>
        </w:tc>
      </w:tr>
      <w:tr w:rsidR="006F2B1B" w:rsidRPr="006229D7" w14:paraId="6E2D570D"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6B1E5AD" w14:textId="77777777" w:rsidR="006F2B1B" w:rsidRPr="006229D7" w:rsidRDefault="006F2B1B" w:rsidP="006F2B1B">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1C4FECE" w14:textId="77777777" w:rsidR="006F2B1B" w:rsidRPr="006229D7" w:rsidRDefault="006F2B1B" w:rsidP="006F2B1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D700052" w14:textId="77777777" w:rsidR="006F2B1B" w:rsidRPr="006229D7" w:rsidRDefault="006F2B1B" w:rsidP="006F2B1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CC941AD" w14:textId="77777777" w:rsidR="006F2B1B" w:rsidRPr="006229D7" w:rsidRDefault="006F2B1B" w:rsidP="006F2B1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E9554D" w14:textId="77777777" w:rsidR="006F2B1B" w:rsidRPr="006229D7" w:rsidRDefault="006F2B1B" w:rsidP="006F2B1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757A4170" w14:textId="77777777" w:rsidR="006F2B1B" w:rsidRPr="006229D7" w:rsidRDefault="006F2B1B" w:rsidP="006F2B1B">
            <w:pPr>
              <w:jc w:val="center"/>
              <w:rPr>
                <w:rFonts w:ascii="Calibri" w:eastAsia="Calibri" w:hAnsi="Calibri" w:cs="Calibri"/>
                <w:sz w:val="20"/>
                <w:szCs w:val="20"/>
              </w:rPr>
            </w:pPr>
          </w:p>
        </w:tc>
      </w:tr>
      <w:tr w:rsidR="00604E72" w:rsidRPr="006229D7" w14:paraId="02DD65CC" w14:textId="77777777" w:rsidTr="00E76774">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5F0BDFA7" w14:textId="77777777" w:rsidR="00604E72" w:rsidRPr="006229D7" w:rsidRDefault="00604E72" w:rsidP="00604E72">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1BFA056D" w14:textId="658FECB9" w:rsidR="00604E72" w:rsidRPr="006229D7" w:rsidRDefault="00604E72" w:rsidP="00604E72">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dashed" w:sz="4" w:space="0" w:color="E36C0A"/>
            </w:tcBorders>
            <w:shd w:val="clear" w:color="auto" w:fill="auto"/>
            <w:vAlign w:val="center"/>
          </w:tcPr>
          <w:p w14:paraId="2063D302" w14:textId="77777777" w:rsidR="00604E72" w:rsidRDefault="00604E72" w:rsidP="00604E72">
            <w:pPr>
              <w:jc w:val="center"/>
              <w:rPr>
                <w:rFonts w:ascii="Calibri" w:eastAsia="Calibri" w:hAnsi="Calibri" w:cs="Calibri"/>
                <w:sz w:val="20"/>
                <w:szCs w:val="20"/>
              </w:rPr>
            </w:pPr>
            <w:r>
              <w:rPr>
                <w:rFonts w:ascii="Calibri" w:eastAsia="Calibri" w:hAnsi="Calibri" w:cs="Calibri"/>
                <w:sz w:val="20"/>
                <w:szCs w:val="20"/>
              </w:rPr>
              <w:t>Dissolving discussion</w:t>
            </w:r>
          </w:p>
          <w:p w14:paraId="61AEFA11" w14:textId="30A2A99A" w:rsidR="00604E72" w:rsidRPr="006229D7" w:rsidRDefault="00604E72" w:rsidP="00604E72">
            <w:pPr>
              <w:jc w:val="center"/>
              <w:rPr>
                <w:rFonts w:ascii="Calibri" w:eastAsia="Calibri" w:hAnsi="Calibri" w:cs="Calibri"/>
                <w:sz w:val="20"/>
                <w:szCs w:val="20"/>
              </w:rPr>
            </w:pPr>
            <w:r>
              <w:rPr>
                <w:rFonts w:ascii="Calibri" w:eastAsia="Calibri" w:hAnsi="Calibri" w:cs="Calibri"/>
                <w:sz w:val="20"/>
                <w:szCs w:val="20"/>
              </w:rPr>
              <w:t xml:space="preserve"> (key concept CSU1.2 Solutions)</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10BC455B" w14:textId="6B51436C" w:rsidR="00604E72" w:rsidRPr="006229D7" w:rsidRDefault="00604E72" w:rsidP="00604E72">
            <w:pPr>
              <w:jc w:val="center"/>
              <w:rPr>
                <w:rFonts w:ascii="Calibri" w:eastAsia="Calibri" w:hAnsi="Calibri" w:cs="Calibri"/>
                <w:sz w:val="20"/>
                <w:szCs w:val="20"/>
              </w:rPr>
            </w:pPr>
            <w:r>
              <w:rPr>
                <w:rFonts w:ascii="Calibri" w:eastAsia="Calibri" w:hAnsi="Calibri" w:cs="Calibri"/>
                <w:sz w:val="20"/>
                <w:szCs w:val="20"/>
              </w:rPr>
              <w:t>Explaining differences</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21BD6C1B" w14:textId="27947534" w:rsidR="00604E72" w:rsidRPr="006229D7" w:rsidRDefault="00604E72" w:rsidP="00604E72">
            <w:pPr>
              <w:jc w:val="center"/>
              <w:rPr>
                <w:rFonts w:ascii="Calibri" w:eastAsia="Calibri" w:hAnsi="Calibri" w:cs="Calibri"/>
                <w:sz w:val="20"/>
                <w:szCs w:val="20"/>
              </w:rPr>
            </w:pPr>
            <w:r>
              <w:rPr>
                <w:rFonts w:ascii="Calibri" w:eastAsia="Calibri" w:hAnsi="Calibri" w:cs="Calibri"/>
                <w:sz w:val="20"/>
                <w:szCs w:val="20"/>
              </w:rPr>
              <w:t xml:space="preserve">Copper discussion </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7AE91C8D" w14:textId="0561262F" w:rsidR="00604E72" w:rsidRPr="006229D7" w:rsidRDefault="00604E72" w:rsidP="00604E72">
            <w:pPr>
              <w:jc w:val="center"/>
              <w:rPr>
                <w:rFonts w:ascii="Calibri" w:eastAsia="Calibri" w:hAnsi="Calibri" w:cs="Calibri"/>
                <w:sz w:val="20"/>
                <w:szCs w:val="20"/>
              </w:rPr>
            </w:pPr>
            <w:r>
              <w:rPr>
                <w:rFonts w:ascii="Calibri" w:eastAsia="Calibri" w:hAnsi="Calibri" w:cs="Calibri"/>
                <w:sz w:val="20"/>
                <w:szCs w:val="20"/>
              </w:rPr>
              <w:t>Solubility sentences</w:t>
            </w:r>
          </w:p>
        </w:tc>
        <w:tc>
          <w:tcPr>
            <w:tcW w:w="2439" w:type="dxa"/>
            <w:tcBorders>
              <w:top w:val="nil"/>
              <w:left w:val="dashed" w:sz="4" w:space="0" w:color="E36C0A"/>
              <w:bottom w:val="single" w:sz="8" w:space="0" w:color="E36C0A"/>
              <w:right w:val="single" w:sz="8" w:space="0" w:color="E36C0A"/>
            </w:tcBorders>
            <w:shd w:val="clear" w:color="auto" w:fill="auto"/>
            <w:vAlign w:val="center"/>
          </w:tcPr>
          <w:p w14:paraId="5BF937C5" w14:textId="7B0287D4" w:rsidR="00604E72" w:rsidRPr="006229D7" w:rsidRDefault="00604E72" w:rsidP="00604E72">
            <w:pPr>
              <w:jc w:val="center"/>
              <w:rPr>
                <w:rFonts w:ascii="Calibri" w:eastAsia="Calibri" w:hAnsi="Calibri" w:cs="Calibri"/>
                <w:sz w:val="20"/>
                <w:szCs w:val="20"/>
              </w:rPr>
            </w:pPr>
            <w:r w:rsidRPr="006D60E0">
              <w:rPr>
                <w:rFonts w:ascii="Calibri" w:eastAsia="Calibri" w:hAnsi="Calibri" w:cs="Calibri"/>
                <w:sz w:val="20"/>
                <w:szCs w:val="20"/>
              </w:rPr>
              <w:t>Predicting mass</w:t>
            </w:r>
            <w:r>
              <w:rPr>
                <w:rFonts w:ascii="Calibri" w:eastAsia="Calibri" w:hAnsi="Calibri" w:cs="Calibri"/>
                <w:sz w:val="20"/>
                <w:szCs w:val="20"/>
              </w:rPr>
              <w:t xml:space="preserve"> </w:t>
            </w:r>
          </w:p>
        </w:tc>
      </w:tr>
    </w:tbl>
    <w:p w14:paraId="029705CD"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2C28F574" w14:textId="77777777" w:rsidTr="00E76774">
        <w:tc>
          <w:tcPr>
            <w:tcW w:w="10361" w:type="dxa"/>
            <w:gridSpan w:val="4"/>
          </w:tcPr>
          <w:p w14:paraId="76C62FE9"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7057582E" w14:textId="77777777" w:rsidTr="00E76774">
        <w:tc>
          <w:tcPr>
            <w:tcW w:w="438" w:type="dxa"/>
            <w:vAlign w:val="center"/>
          </w:tcPr>
          <w:p w14:paraId="3A5D200F"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2C8D0F59" wp14:editId="3A929F5A">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513F7F28"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8D0F59"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513F7F28"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21A3ACC7"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1F281328"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25F80741" wp14:editId="373B0DFF">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9A41D0E"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F80741"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29A41D0E"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5F73963C"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4F0CA7E3" w14:textId="4343B32B" w:rsidR="00DF096A" w:rsidRPr="00F928E4" w:rsidRDefault="00DF096A" w:rsidP="00DF096A">
      <w:pPr>
        <w:spacing w:after="200" w:line="276" w:lineRule="auto"/>
      </w:pPr>
      <w:r>
        <w:br w:type="page"/>
      </w:r>
    </w:p>
    <w:p w14:paraId="33918722"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57ABE26E" w14:textId="6A372806" w:rsidR="00D12825" w:rsidRDefault="00D12825" w:rsidP="00D12825">
      <w:pPr>
        <w:spacing w:after="180"/>
      </w:pPr>
      <w:r>
        <w:t xml:space="preserve">Observed changes in reactions can be explained by </w:t>
      </w:r>
      <w:r w:rsidRPr="0002266F">
        <w:t>differences in the properties of the reactants and products. Chemical reactions can also take place in solution. A precipitate is formed when an insoluble product is</w:t>
      </w:r>
      <w:r>
        <w:t xml:space="preserve"> formed from soluble reactants.</w:t>
      </w:r>
    </w:p>
    <w:p w14:paraId="3EAFF24A"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4A152CC5" w14:textId="69714AA8" w:rsidR="006D1378" w:rsidRDefault="006D1378" w:rsidP="006D1378">
      <w:pPr>
        <w:spacing w:after="180"/>
      </w:pPr>
      <w:r>
        <w:t xml:space="preserve">Anderson </w:t>
      </w:r>
      <w:r>
        <w:fldChar w:fldCharType="begin"/>
      </w:r>
      <w:r>
        <w:instrText xml:space="preserve"> ADDIN EN.CITE &lt;EndNote&gt;&lt;Cite ExcludeAuth="1"&gt;&lt;Author&gt;Andersson&lt;/Author&gt;&lt;Year&gt;1990&lt;/Year&gt;&lt;IDText&gt;Pupils&amp;apos; conceptions of matter and its transformations (age 12-16)&lt;/IDText&gt;&lt;DisplayText&gt;(1990)&lt;/DisplayText&gt;&lt;record&gt;&lt;titles&gt;&lt;title&gt;Pupils&amp;apos;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(1990)</w:t>
      </w:r>
      <w:r>
        <w:fldChar w:fldCharType="end"/>
      </w:r>
      <w:r>
        <w:t xml:space="preserve"> found that student answers to a research question asking students to predict </w:t>
      </w:r>
      <w:r w:rsidR="00F749F5">
        <w:t xml:space="preserve">the </w:t>
      </w:r>
      <w:r>
        <w:t xml:space="preserve">mass after a chemical change was influenced by students’ understanding of chemical change. </w:t>
      </w:r>
      <w:r w:rsidR="005B6E5B">
        <w:t>A student who observes a substance to ‘disappear’ may predict that the mass will decrease. A student who correctly predicts that mass will remain the same</w:t>
      </w:r>
      <w:r w:rsidR="00F749F5">
        <w:t>,</w:t>
      </w:r>
      <w:r w:rsidR="005B6E5B">
        <w:t xml:space="preserve"> may do so for the incorrect reason if they explain an observation in terms of substance always being present but just becoming visible. </w:t>
      </w:r>
    </w:p>
    <w:p w14:paraId="7EEEC43D" w14:textId="16ED3AE3" w:rsidR="00FB1FF6" w:rsidRPr="006D1378" w:rsidRDefault="00B5258F" w:rsidP="00FB1FF6">
      <w:pPr>
        <w:spacing w:after="180"/>
      </w:pPr>
      <w:r w:rsidRPr="006D1378">
        <w:t xml:space="preserve">Research </w:t>
      </w:r>
      <w:r w:rsidR="00363604" w:rsidRPr="006D1378">
        <w:fldChar w:fldCharType="begin"/>
      </w:r>
      <w:r w:rsidR="00363604" w:rsidRPr="006D1378">
        <w:instrText xml:space="preserve"> ADDIN EN.CITE &lt;EndNote&gt;&lt;Cite&gt;&lt;Author&gt;Stavridou&lt;/Author&gt;&lt;Year&gt;1998&lt;/Year&gt;&lt;IDText&gt;Conceptual reorganization and the construction of the chemical reaction concept during secondary education.&lt;/IDText&gt;&lt;DisplayText&gt;(Stavridou and Solomonidou, 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format="utc"&gt;1536678531&lt;/added-date&gt;&lt;ref-type name="Journal Article"&gt;17&lt;/ref-type&gt;&lt;dates&gt;&lt;year&gt;1998&lt;/year&gt;&lt;/dates&gt;&lt;rec-number&gt;18&lt;/rec-number&gt;&lt;last-updated-date format="utc"&gt;1536678624&lt;/last-updated-date&gt;&lt;volume&gt;20&lt;/volume&gt;&lt;/record&gt;&lt;/Cite&gt;&lt;/EndNote&gt;</w:instrText>
      </w:r>
      <w:r w:rsidR="00363604" w:rsidRPr="006D1378">
        <w:fldChar w:fldCharType="separate"/>
      </w:r>
      <w:r w:rsidR="00363604" w:rsidRPr="006D1378">
        <w:rPr>
          <w:noProof/>
        </w:rPr>
        <w:t>(Stavridou and Solomonidou, 1998)</w:t>
      </w:r>
      <w:r w:rsidR="00363604" w:rsidRPr="006D1378">
        <w:fldChar w:fldCharType="end"/>
      </w:r>
      <w:r w:rsidR="00363604" w:rsidRPr="006D1378">
        <w:t xml:space="preserve"> based on a data analysis of students’ definitions of chemical reaction combined with their identification of chemical reactions distinguished three main stages in the development of the concept of chemical reaction.</w:t>
      </w:r>
    </w:p>
    <w:p w14:paraId="25F8D46F" w14:textId="6A7150BA" w:rsidR="00363604" w:rsidRDefault="00363604" w:rsidP="00FB1FF6">
      <w:pPr>
        <w:spacing w:after="180"/>
      </w:pPr>
      <w:r>
        <w:t>Students at the initial stage did not link a chemical reaction to the formation of a new substance. They focused instead upon a noticeable event such as the formation of a gas or a colour change. During the intermediate stage in their development of understanding students did recognise the formation of a new substance which they could then, at a more advanced stage, explain at a sub-microscopic level.</w:t>
      </w:r>
    </w:p>
    <w:p w14:paraId="11618E9F" w14:textId="058DB75D" w:rsidR="00363604" w:rsidRDefault="00363604" w:rsidP="00FB1FF6">
      <w:pPr>
        <w:spacing w:after="180"/>
      </w:pPr>
      <w:r>
        <w:t xml:space="preserve">The reaction of substances in solution presents additional challenges to students in progressing through these stages of understanding. It requires students to combine their understanding of dissolving (so that students understand that a substance is present even if it cannot be seen in solution) with the concept of chemical change (so that students recognise that a new substance or substances can be formed with different properties to the reactants). This key concept is therefore introduced after key concepts CSU1.3: Solutions , CPS1.2 Particles in solution and CCR1.1: Formation of new substances. Example reactions in the latter deliberately avoid the use of substances in solutions. </w:t>
      </w:r>
    </w:p>
    <w:p w14:paraId="28C01233" w14:textId="515AA832" w:rsidR="00363604" w:rsidRDefault="00363604" w:rsidP="00FB1FF6">
      <w:pPr>
        <w:spacing w:after="180"/>
      </w:pPr>
      <w:r>
        <w:t>Displacement and precipitation reactions result in very clear macroscopic observation</w:t>
      </w:r>
      <w:r w:rsidR="006D1378">
        <w:t xml:space="preserve">s </w:t>
      </w:r>
      <w:r>
        <w:t xml:space="preserve">during which </w:t>
      </w:r>
      <w:r w:rsidR="006D1378">
        <w:t xml:space="preserve">a solid metal or suspension of an insoluble product are formed. Without making clear links to the concept of chemical change students may revert to the earlier stage of learning in which the macroscopic observations are simply regarded as an event. An article by de Vos and Verdonk </w:t>
      </w:r>
      <w:r w:rsidR="006D1378">
        <w:fldChar w:fldCharType="begin"/>
      </w:r>
      <w:r w:rsidR="006D1378">
        <w:instrText xml:space="preserve"> ADDIN EN.CITE &lt;EndNote&gt;&lt;Cite ExcludeAuth="1"&gt;&lt;Author&gt;de Vos&lt;/Author&gt;&lt;Year&gt;1985&lt;/Year&gt;&lt;IDText&gt;A new road to reactions (part 1)&lt;/IDText&gt;&lt;DisplayText&gt;(1985)&lt;/DisplayText&gt;&lt;record&gt;&lt;titles&gt;&lt;title&gt;A new road to reactions (part 1)&lt;/title&gt;&lt;secondary-title&gt;Journal of Chemical Education&lt;/secondary-title&gt;&lt;/titles&gt;&lt;pages&gt;238-240&lt;/pages&gt;&lt;number&gt;3&lt;/number&gt;&lt;contributors&gt;&lt;authors&gt;&lt;author&gt;de Vos, Wobbe&lt;/author&gt;&lt;author&gt;Verdonk, Adri H.&lt;/author&gt;&lt;/authors&gt;&lt;/contributors&gt;&lt;added-date format="utc"&gt;1537281821&lt;/added-date&gt;&lt;ref-type name="Journal Article"&gt;17&lt;/ref-type&gt;&lt;dates&gt;&lt;year&gt;1985&lt;/year&gt;&lt;/dates&gt;&lt;rec-number&gt;23&lt;/rec-number&gt;&lt;last-updated-date format="utc"&gt;1537281897&lt;/last-updated-date&gt;&lt;volume&gt;62&lt;/volume&gt;&lt;/record&gt;&lt;/Cite&gt;&lt;/EndNote&gt;</w:instrText>
      </w:r>
      <w:r w:rsidR="006D1378">
        <w:fldChar w:fldCharType="separate"/>
      </w:r>
      <w:r w:rsidR="006D1378">
        <w:rPr>
          <w:noProof/>
        </w:rPr>
        <w:t>(1985)</w:t>
      </w:r>
      <w:r w:rsidR="006D1378">
        <w:fldChar w:fldCharType="end"/>
      </w:r>
      <w:r w:rsidR="00F749F5">
        <w:t xml:space="preserve"> </w:t>
      </w:r>
      <w:r w:rsidR="006D1378">
        <w:t xml:space="preserve">suggested that more spectacular reactions can distract students from focusing on evidence for chemical change. Students may benefit from a reminder to link observations </w:t>
      </w:r>
      <w:r w:rsidR="00F749F5">
        <w:t xml:space="preserve">of chemical reactions </w:t>
      </w:r>
      <w:r w:rsidR="006D1378">
        <w:t>with evidence for the formation of new substance</w:t>
      </w:r>
      <w:r w:rsidR="00F749F5">
        <w:t>s</w:t>
      </w:r>
      <w:r w:rsidR="006D1378">
        <w:t>.</w:t>
      </w:r>
    </w:p>
    <w:p w14:paraId="0741F3F6" w14:textId="09B4C327" w:rsidR="006D1378" w:rsidRDefault="006D1378" w:rsidP="006D1378">
      <w:pPr>
        <w:spacing w:after="180"/>
      </w:pPr>
      <w:r>
        <w:t xml:space="preserve">Understanding of these reactions at the sub-microscopic scale requires an understanding of ions and so is usually studied at age 14-16. </w:t>
      </w:r>
    </w:p>
    <w:p w14:paraId="76AF589A" w14:textId="3FE6F6F1" w:rsidR="005B6E5B" w:rsidRDefault="005B6E5B" w:rsidP="006D1378">
      <w:pPr>
        <w:spacing w:after="180"/>
      </w:pPr>
    </w:p>
    <w:p w14:paraId="1A9C6414" w14:textId="77777777" w:rsidR="005B6E5B" w:rsidRDefault="005B6E5B" w:rsidP="006D1378">
      <w:pPr>
        <w:spacing w:after="180"/>
      </w:pPr>
    </w:p>
    <w:p w14:paraId="695BC614"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79D72A39" w14:textId="0686D91D" w:rsidR="00D12825" w:rsidRDefault="00D12825" w:rsidP="00D12825">
      <w:pPr>
        <w:spacing w:after="180"/>
      </w:pPr>
      <w:r w:rsidRPr="00D12825">
        <w:t>At this stage the focus is on macroscopic observations of reactions between solutions, including conservation of mass and the formation of insoluble products such as a metal during a displacement reaction or a precipitate from a reaction between two solutions.</w:t>
      </w:r>
      <w:r w:rsidR="006D1378">
        <w:t xml:space="preserve"> </w:t>
      </w:r>
      <w:r>
        <w:t>Student understanding of reactivity is explored in a later key concept.</w:t>
      </w:r>
    </w:p>
    <w:p w14:paraId="57F35D12" w14:textId="44EA098C" w:rsidR="00D12825" w:rsidRDefault="00D12825" w:rsidP="00FB1FF6">
      <w:pPr>
        <w:spacing w:after="180"/>
      </w:pPr>
      <w:r>
        <w:t>However, students could start to make links between macroscopic observations and symbolic representation. See key concept CPS4.1: Representing reactions.</w:t>
      </w:r>
    </w:p>
    <w:p w14:paraId="2B70AB71" w14:textId="7E43D146" w:rsidR="00363604" w:rsidRPr="006D1378" w:rsidRDefault="00FB1FF6" w:rsidP="006D1378">
      <w:pPr>
        <w:spacing w:after="180"/>
        <w:rPr>
          <w:b/>
          <w:color w:val="E36C0A" w:themeColor="accent6" w:themeShade="BF"/>
          <w:sz w:val="24"/>
        </w:rPr>
      </w:pPr>
      <w:r w:rsidRPr="00B10DE6">
        <w:rPr>
          <w:b/>
          <w:color w:val="E36C0A" w:themeColor="accent6" w:themeShade="BF"/>
          <w:sz w:val="24"/>
        </w:rPr>
        <w:t>References</w:t>
      </w:r>
    </w:p>
    <w:p w14:paraId="2A5A828C" w14:textId="77777777" w:rsidR="006D1378" w:rsidRPr="006D1378" w:rsidRDefault="00363604" w:rsidP="006D1378">
      <w:pPr>
        <w:pStyle w:val="EndNoteBibliography"/>
      </w:pPr>
      <w:r>
        <w:fldChar w:fldCharType="begin"/>
      </w:r>
      <w:r>
        <w:instrText xml:space="preserve"> ADDIN EN.REFLIST </w:instrText>
      </w:r>
      <w:r>
        <w:fldChar w:fldCharType="separate"/>
      </w:r>
      <w:r w:rsidR="006D1378" w:rsidRPr="006D1378">
        <w:t xml:space="preserve">Andersson, B. (1990). Pupils' conceptions of matter and its transformations (age 12-16). </w:t>
      </w:r>
      <w:r w:rsidR="006D1378" w:rsidRPr="006D1378">
        <w:rPr>
          <w:i/>
        </w:rPr>
        <w:t>Studies in Science Education,</w:t>
      </w:r>
      <w:r w:rsidR="006D1378" w:rsidRPr="006D1378">
        <w:t xml:space="preserve"> 18</w:t>
      </w:r>
      <w:r w:rsidR="006D1378" w:rsidRPr="006D1378">
        <w:rPr>
          <w:b/>
        </w:rPr>
        <w:t>,</w:t>
      </w:r>
      <w:r w:rsidR="006D1378" w:rsidRPr="006D1378">
        <w:t xml:space="preserve"> 53-85.</w:t>
      </w:r>
    </w:p>
    <w:p w14:paraId="0B0DF08F" w14:textId="77777777" w:rsidR="006D1378" w:rsidRPr="006D1378" w:rsidRDefault="006D1378" w:rsidP="006D1378">
      <w:pPr>
        <w:pStyle w:val="EndNoteBibliography"/>
      </w:pPr>
      <w:r w:rsidRPr="006D1378">
        <w:t xml:space="preserve">de Vos, W. and Verdonk, A. H. (1985). A new road to reactions (part 1). </w:t>
      </w:r>
      <w:r w:rsidRPr="006D1378">
        <w:rPr>
          <w:i/>
        </w:rPr>
        <w:t>Journal of Chemical Education,</w:t>
      </w:r>
      <w:r w:rsidRPr="006D1378">
        <w:t xml:space="preserve"> 62(3)</w:t>
      </w:r>
      <w:r w:rsidRPr="006D1378">
        <w:rPr>
          <w:b/>
        </w:rPr>
        <w:t>,</w:t>
      </w:r>
      <w:r w:rsidRPr="006D1378">
        <w:t xml:space="preserve"> 238-240.</w:t>
      </w:r>
    </w:p>
    <w:p w14:paraId="32C1905E" w14:textId="77777777" w:rsidR="006D1378" w:rsidRPr="006D1378" w:rsidRDefault="006D1378" w:rsidP="006D1378">
      <w:pPr>
        <w:pStyle w:val="EndNoteBibliography"/>
      </w:pPr>
      <w:r w:rsidRPr="006D1378">
        <w:t xml:space="preserve">Stavridou, H. and Solomonidou, C. (1998). Conceptual reorganization and the construction of the chemical reaction concept during secondary education. </w:t>
      </w:r>
      <w:r w:rsidRPr="006D1378">
        <w:rPr>
          <w:i/>
        </w:rPr>
        <w:t>International Journal of Science Education,</w:t>
      </w:r>
      <w:r w:rsidRPr="006D1378">
        <w:t xml:space="preserve"> 20(2)</w:t>
      </w:r>
      <w:r w:rsidRPr="006D1378">
        <w:rPr>
          <w:b/>
        </w:rPr>
        <w:t>,</w:t>
      </w:r>
      <w:r w:rsidRPr="006D1378">
        <w:t xml:space="preserve"> 205-221.</w:t>
      </w:r>
    </w:p>
    <w:p w14:paraId="1A9C86C0" w14:textId="105F4AB4" w:rsidR="00D43788" w:rsidRDefault="00363604" w:rsidP="00AE5FB7">
      <w:pPr>
        <w:spacing w:after="200" w:line="276" w:lineRule="auto"/>
      </w:pPr>
      <w: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6F7F4" w14:textId="77777777" w:rsidR="00226D41" w:rsidRDefault="00226D41" w:rsidP="000B473B">
      <w:r>
        <w:separator/>
      </w:r>
    </w:p>
  </w:endnote>
  <w:endnote w:type="continuationSeparator" w:id="0">
    <w:p w14:paraId="738ED7A2" w14:textId="77777777" w:rsidR="00226D41" w:rsidRDefault="00226D4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07771"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0908AEE8" wp14:editId="2D2AA7FD">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E54E56"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56BA8">
      <w:rPr>
        <w:noProof/>
      </w:rPr>
      <w:t>2</w:t>
    </w:r>
    <w:r>
      <w:rPr>
        <w:noProof/>
      </w:rPr>
      <w:fldChar w:fldCharType="end"/>
    </w:r>
  </w:p>
  <w:p w14:paraId="5C1300E4"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601618AC"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ABE57" w14:textId="77777777" w:rsidR="00226D41" w:rsidRDefault="00226D41" w:rsidP="000B473B">
      <w:r>
        <w:separator/>
      </w:r>
    </w:p>
  </w:footnote>
  <w:footnote w:type="continuationSeparator" w:id="0">
    <w:p w14:paraId="47FE2254" w14:textId="77777777" w:rsidR="00226D41" w:rsidRDefault="00226D4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E8931"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37C99114" wp14:editId="4ACF8AD3">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170DA356" wp14:editId="013FD630">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58B9D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513F9"/>
    <w:rsid w:val="000026EA"/>
    <w:rsid w:val="00015578"/>
    <w:rsid w:val="00024731"/>
    <w:rsid w:val="00026DEC"/>
    <w:rsid w:val="0003079C"/>
    <w:rsid w:val="00036EBA"/>
    <w:rsid w:val="000505CA"/>
    <w:rsid w:val="0005709C"/>
    <w:rsid w:val="000947E2"/>
    <w:rsid w:val="00095E04"/>
    <w:rsid w:val="000A4D1F"/>
    <w:rsid w:val="000B473B"/>
    <w:rsid w:val="000D0E89"/>
    <w:rsid w:val="000D2978"/>
    <w:rsid w:val="000E2689"/>
    <w:rsid w:val="000F5E42"/>
    <w:rsid w:val="00104331"/>
    <w:rsid w:val="0012442E"/>
    <w:rsid w:val="00133B0C"/>
    <w:rsid w:val="00137415"/>
    <w:rsid w:val="001413D2"/>
    <w:rsid w:val="00142613"/>
    <w:rsid w:val="00144DA7"/>
    <w:rsid w:val="001513F9"/>
    <w:rsid w:val="00161D3F"/>
    <w:rsid w:val="001819B5"/>
    <w:rsid w:val="001915D4"/>
    <w:rsid w:val="001A1FED"/>
    <w:rsid w:val="001A2D72"/>
    <w:rsid w:val="001A40E2"/>
    <w:rsid w:val="001B2603"/>
    <w:rsid w:val="001C4805"/>
    <w:rsid w:val="001F2B4D"/>
    <w:rsid w:val="002178AC"/>
    <w:rsid w:val="00223388"/>
    <w:rsid w:val="0022442F"/>
    <w:rsid w:val="00224B69"/>
    <w:rsid w:val="0022547C"/>
    <w:rsid w:val="00226D41"/>
    <w:rsid w:val="00233BFE"/>
    <w:rsid w:val="00241050"/>
    <w:rsid w:val="0025410A"/>
    <w:rsid w:val="00271360"/>
    <w:rsid w:val="0028012F"/>
    <w:rsid w:val="00280B49"/>
    <w:rsid w:val="00287876"/>
    <w:rsid w:val="0029248B"/>
    <w:rsid w:val="00292C53"/>
    <w:rsid w:val="00294E22"/>
    <w:rsid w:val="00296E30"/>
    <w:rsid w:val="002C194B"/>
    <w:rsid w:val="002C36ED"/>
    <w:rsid w:val="002C59BA"/>
    <w:rsid w:val="002D75FB"/>
    <w:rsid w:val="002F08DF"/>
    <w:rsid w:val="002F3535"/>
    <w:rsid w:val="00301AA9"/>
    <w:rsid w:val="00306DB7"/>
    <w:rsid w:val="003117F6"/>
    <w:rsid w:val="003422E6"/>
    <w:rsid w:val="003512FB"/>
    <w:rsid w:val="003533B8"/>
    <w:rsid w:val="003535C5"/>
    <w:rsid w:val="00363604"/>
    <w:rsid w:val="003752BE"/>
    <w:rsid w:val="00377662"/>
    <w:rsid w:val="003A07C6"/>
    <w:rsid w:val="003A346A"/>
    <w:rsid w:val="003B13BC"/>
    <w:rsid w:val="003B2917"/>
    <w:rsid w:val="003B541B"/>
    <w:rsid w:val="003C7537"/>
    <w:rsid w:val="003E2B2F"/>
    <w:rsid w:val="003E6046"/>
    <w:rsid w:val="003F16F9"/>
    <w:rsid w:val="00402D9D"/>
    <w:rsid w:val="004053B3"/>
    <w:rsid w:val="00414501"/>
    <w:rsid w:val="00430C1F"/>
    <w:rsid w:val="00437318"/>
    <w:rsid w:val="00442595"/>
    <w:rsid w:val="0045323E"/>
    <w:rsid w:val="0047091F"/>
    <w:rsid w:val="004B0EE1"/>
    <w:rsid w:val="004D0D83"/>
    <w:rsid w:val="004E1DF1"/>
    <w:rsid w:val="004E5592"/>
    <w:rsid w:val="004E6516"/>
    <w:rsid w:val="004F3A89"/>
    <w:rsid w:val="0050055B"/>
    <w:rsid w:val="00524710"/>
    <w:rsid w:val="005519D4"/>
    <w:rsid w:val="00555342"/>
    <w:rsid w:val="005560E2"/>
    <w:rsid w:val="005728E8"/>
    <w:rsid w:val="00575039"/>
    <w:rsid w:val="005767D5"/>
    <w:rsid w:val="00586F0D"/>
    <w:rsid w:val="005A452E"/>
    <w:rsid w:val="005B6E5B"/>
    <w:rsid w:val="005C17C0"/>
    <w:rsid w:val="005E383D"/>
    <w:rsid w:val="005F115D"/>
    <w:rsid w:val="00604E72"/>
    <w:rsid w:val="00620AFF"/>
    <w:rsid w:val="006355D8"/>
    <w:rsid w:val="00642ECD"/>
    <w:rsid w:val="0065024C"/>
    <w:rsid w:val="006502A0"/>
    <w:rsid w:val="006772F5"/>
    <w:rsid w:val="006B0615"/>
    <w:rsid w:val="006C2DD9"/>
    <w:rsid w:val="006D1378"/>
    <w:rsid w:val="006D166B"/>
    <w:rsid w:val="006D60E0"/>
    <w:rsid w:val="006E616D"/>
    <w:rsid w:val="006E73AB"/>
    <w:rsid w:val="006F01D8"/>
    <w:rsid w:val="006F2B1B"/>
    <w:rsid w:val="006F2CAB"/>
    <w:rsid w:val="006F3279"/>
    <w:rsid w:val="00704AEE"/>
    <w:rsid w:val="007100E4"/>
    <w:rsid w:val="00722F9A"/>
    <w:rsid w:val="00754539"/>
    <w:rsid w:val="00757297"/>
    <w:rsid w:val="00760E08"/>
    <w:rsid w:val="00795CB4"/>
    <w:rsid w:val="007A3C86"/>
    <w:rsid w:val="007A683E"/>
    <w:rsid w:val="007A748B"/>
    <w:rsid w:val="007C3B28"/>
    <w:rsid w:val="007D1D65"/>
    <w:rsid w:val="007E0A9E"/>
    <w:rsid w:val="007E5309"/>
    <w:rsid w:val="007F357F"/>
    <w:rsid w:val="00800DE1"/>
    <w:rsid w:val="00802843"/>
    <w:rsid w:val="00813F47"/>
    <w:rsid w:val="00821188"/>
    <w:rsid w:val="008450D6"/>
    <w:rsid w:val="008544D9"/>
    <w:rsid w:val="00856FCA"/>
    <w:rsid w:val="00862025"/>
    <w:rsid w:val="00872EB4"/>
    <w:rsid w:val="00873B8C"/>
    <w:rsid w:val="008A405F"/>
    <w:rsid w:val="008C7F34"/>
    <w:rsid w:val="008E032D"/>
    <w:rsid w:val="008E13E0"/>
    <w:rsid w:val="008E580C"/>
    <w:rsid w:val="0090047A"/>
    <w:rsid w:val="00913AD8"/>
    <w:rsid w:val="00917940"/>
    <w:rsid w:val="00925026"/>
    <w:rsid w:val="00931264"/>
    <w:rsid w:val="00942A4B"/>
    <w:rsid w:val="00946F2D"/>
    <w:rsid w:val="00961D59"/>
    <w:rsid w:val="009A6941"/>
    <w:rsid w:val="009B2D55"/>
    <w:rsid w:val="009C0343"/>
    <w:rsid w:val="009E0D11"/>
    <w:rsid w:val="009E6888"/>
    <w:rsid w:val="00A24A16"/>
    <w:rsid w:val="00A35F98"/>
    <w:rsid w:val="00A37D14"/>
    <w:rsid w:val="00A6168B"/>
    <w:rsid w:val="00A62028"/>
    <w:rsid w:val="00A75548"/>
    <w:rsid w:val="00AA6236"/>
    <w:rsid w:val="00AB6AE7"/>
    <w:rsid w:val="00AB6CA4"/>
    <w:rsid w:val="00AD21F5"/>
    <w:rsid w:val="00AD5043"/>
    <w:rsid w:val="00AE3956"/>
    <w:rsid w:val="00AE5FB7"/>
    <w:rsid w:val="00AF0E74"/>
    <w:rsid w:val="00AF7DB9"/>
    <w:rsid w:val="00B06225"/>
    <w:rsid w:val="00B10C54"/>
    <w:rsid w:val="00B10DE6"/>
    <w:rsid w:val="00B23C7A"/>
    <w:rsid w:val="00B33FEF"/>
    <w:rsid w:val="00B346B5"/>
    <w:rsid w:val="00B37C53"/>
    <w:rsid w:val="00B412B0"/>
    <w:rsid w:val="00B42E62"/>
    <w:rsid w:val="00B46FF9"/>
    <w:rsid w:val="00B5258F"/>
    <w:rsid w:val="00B75483"/>
    <w:rsid w:val="00BA5A78"/>
    <w:rsid w:val="00BA7952"/>
    <w:rsid w:val="00BB3EA6"/>
    <w:rsid w:val="00BD3160"/>
    <w:rsid w:val="00BE27BE"/>
    <w:rsid w:val="00BF0BBF"/>
    <w:rsid w:val="00BF6C8A"/>
    <w:rsid w:val="00C05571"/>
    <w:rsid w:val="00C06521"/>
    <w:rsid w:val="00C15989"/>
    <w:rsid w:val="00C17716"/>
    <w:rsid w:val="00C246CE"/>
    <w:rsid w:val="00C504BE"/>
    <w:rsid w:val="00C5553B"/>
    <w:rsid w:val="00C56BA8"/>
    <w:rsid w:val="00C57FA2"/>
    <w:rsid w:val="00C63844"/>
    <w:rsid w:val="00C72918"/>
    <w:rsid w:val="00C8765D"/>
    <w:rsid w:val="00C9265A"/>
    <w:rsid w:val="00CC26FC"/>
    <w:rsid w:val="00CC2E4D"/>
    <w:rsid w:val="00CC78A5"/>
    <w:rsid w:val="00CC7B16"/>
    <w:rsid w:val="00CE15FE"/>
    <w:rsid w:val="00CE7273"/>
    <w:rsid w:val="00D02E15"/>
    <w:rsid w:val="00D12825"/>
    <w:rsid w:val="00D14F44"/>
    <w:rsid w:val="00D24DFF"/>
    <w:rsid w:val="00D278E8"/>
    <w:rsid w:val="00D40647"/>
    <w:rsid w:val="00D421C8"/>
    <w:rsid w:val="00D43788"/>
    <w:rsid w:val="00D44604"/>
    <w:rsid w:val="00D479B3"/>
    <w:rsid w:val="00D51657"/>
    <w:rsid w:val="00D52283"/>
    <w:rsid w:val="00D524E5"/>
    <w:rsid w:val="00D72FEF"/>
    <w:rsid w:val="00D755FA"/>
    <w:rsid w:val="00D823FB"/>
    <w:rsid w:val="00DB2434"/>
    <w:rsid w:val="00DB7449"/>
    <w:rsid w:val="00DB7471"/>
    <w:rsid w:val="00DC4A4E"/>
    <w:rsid w:val="00DD1874"/>
    <w:rsid w:val="00DD63BD"/>
    <w:rsid w:val="00DF096A"/>
    <w:rsid w:val="00E172C6"/>
    <w:rsid w:val="00E22B55"/>
    <w:rsid w:val="00E24309"/>
    <w:rsid w:val="00E31116"/>
    <w:rsid w:val="00E53D82"/>
    <w:rsid w:val="00E54437"/>
    <w:rsid w:val="00E753A9"/>
    <w:rsid w:val="00E85A74"/>
    <w:rsid w:val="00EA49CF"/>
    <w:rsid w:val="00EE29E2"/>
    <w:rsid w:val="00EE6B97"/>
    <w:rsid w:val="00EF081E"/>
    <w:rsid w:val="00F12C3B"/>
    <w:rsid w:val="00F26884"/>
    <w:rsid w:val="00F34FD0"/>
    <w:rsid w:val="00F40370"/>
    <w:rsid w:val="00F520EB"/>
    <w:rsid w:val="00F604E7"/>
    <w:rsid w:val="00F66FF6"/>
    <w:rsid w:val="00F74824"/>
    <w:rsid w:val="00F749F5"/>
    <w:rsid w:val="00F75F0D"/>
    <w:rsid w:val="00F81A3F"/>
    <w:rsid w:val="00F82443"/>
    <w:rsid w:val="00F8355F"/>
    <w:rsid w:val="00F90D64"/>
    <w:rsid w:val="00F928E4"/>
    <w:rsid w:val="00F95F3E"/>
    <w:rsid w:val="00FA0451"/>
    <w:rsid w:val="00FA14FE"/>
    <w:rsid w:val="00FA3196"/>
    <w:rsid w:val="00FB1FF6"/>
    <w:rsid w:val="00FE2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90C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6360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63604"/>
    <w:rPr>
      <w:rFonts w:ascii="Calibri" w:hAnsi="Calibri" w:cs="Calibri"/>
      <w:noProof/>
      <w:lang w:val="en-US"/>
    </w:rPr>
  </w:style>
  <w:style w:type="paragraph" w:customStyle="1" w:styleId="EndNoteBibliography">
    <w:name w:val="EndNote Bibliography"/>
    <w:basedOn w:val="Normal"/>
    <w:link w:val="EndNoteBibliographyChar"/>
    <w:rsid w:val="00363604"/>
    <w:rPr>
      <w:rFonts w:ascii="Calibri" w:hAnsi="Calibri" w:cs="Calibri"/>
      <w:noProof/>
      <w:lang w:val="en-US"/>
    </w:rPr>
  </w:style>
  <w:style w:type="character" w:customStyle="1" w:styleId="EndNoteBibliographyChar">
    <w:name w:val="EndNote Bibliography Char"/>
    <w:basedOn w:val="DefaultParagraphFont"/>
    <w:link w:val="EndNoteBibliography"/>
    <w:rsid w:val="00363604"/>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6360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63604"/>
    <w:rPr>
      <w:rFonts w:ascii="Calibri" w:hAnsi="Calibri" w:cs="Calibri"/>
      <w:noProof/>
      <w:lang w:val="en-US"/>
    </w:rPr>
  </w:style>
  <w:style w:type="paragraph" w:customStyle="1" w:styleId="EndNoteBibliography">
    <w:name w:val="EndNote Bibliography"/>
    <w:basedOn w:val="Normal"/>
    <w:link w:val="EndNoteBibliographyChar"/>
    <w:rsid w:val="00363604"/>
    <w:rPr>
      <w:rFonts w:ascii="Calibri" w:hAnsi="Calibri" w:cs="Calibri"/>
      <w:noProof/>
      <w:lang w:val="en-US"/>
    </w:rPr>
  </w:style>
  <w:style w:type="character" w:customStyle="1" w:styleId="EndNoteBibliographyChar">
    <w:name w:val="EndNote Bibliography Char"/>
    <w:basedOn w:val="DefaultParagraphFont"/>
    <w:link w:val="EndNoteBibliography"/>
    <w:rsid w:val="0036360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267</TotalTime>
  <Pages>4</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14</cp:revision>
  <cp:lastPrinted>2018-12-19T10:00:00Z</cp:lastPrinted>
  <dcterms:created xsi:type="dcterms:W3CDTF">2018-10-17T13:39:00Z</dcterms:created>
  <dcterms:modified xsi:type="dcterms:W3CDTF">2018-12-19T10:00:00Z</dcterms:modified>
</cp:coreProperties>
</file>