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C35C6" w14:textId="300D9CA6" w:rsidR="00201AC2" w:rsidRPr="000F432E" w:rsidRDefault="0069387E" w:rsidP="00201AC2">
      <w:pPr>
        <w:spacing w:after="180"/>
        <w:rPr>
          <w:b/>
          <w:sz w:val="44"/>
          <w:szCs w:val="44"/>
        </w:rPr>
      </w:pPr>
      <w:r w:rsidRPr="000F432E">
        <w:rPr>
          <w:b/>
          <w:sz w:val="44"/>
          <w:szCs w:val="44"/>
        </w:rPr>
        <w:t>Copper discussion</w:t>
      </w:r>
    </w:p>
    <w:p w14:paraId="379E051B" w14:textId="7052A828" w:rsidR="000F432E" w:rsidRPr="000F432E" w:rsidRDefault="000F432E" w:rsidP="000F432E">
      <w:pPr>
        <w:spacing w:after="180"/>
      </w:pPr>
      <w:r w:rsidRPr="000F432E">
        <w:rPr>
          <w:lang w:val="en-US"/>
        </w:rPr>
        <w:t>Some blue copper sulfate solution was poured into a test tube.</w:t>
      </w:r>
    </w:p>
    <w:p w14:paraId="4436BE11" w14:textId="77777777" w:rsidR="000F432E" w:rsidRPr="000F432E" w:rsidRDefault="000F432E" w:rsidP="000F432E">
      <w:pPr>
        <w:spacing w:after="180"/>
      </w:pPr>
      <w:r w:rsidRPr="000F432E">
        <w:rPr>
          <w:lang w:val="en-US"/>
        </w:rPr>
        <w:t>An iron nail was added.</w:t>
      </w:r>
    </w:p>
    <w:p w14:paraId="2F59CAD0" w14:textId="2EEFDDCF" w:rsidR="00D82A9F" w:rsidRDefault="00D82A9F" w:rsidP="000F432E">
      <w:pPr>
        <w:spacing w:after="180"/>
        <w:rPr>
          <w:lang w:val="en-US"/>
        </w:rPr>
      </w:pPr>
      <w:r>
        <w:rPr>
          <w:noProof/>
          <w:lang w:val="en-US"/>
        </w:rPr>
        <w:drawing>
          <wp:inline distT="0" distB="0" distL="0" distR="0" wp14:anchorId="431D1CB9" wp14:editId="42B0C42D">
            <wp:extent cx="2128739" cy="1790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ron nail displacement.png"/>
                    <pic:cNvPicPr/>
                  </pic:nvPicPr>
                  <pic:blipFill>
                    <a:blip r:embed="rId7">
                      <a:extLst>
                        <a:ext uri="{28A0092B-C50C-407E-A947-70E740481C1C}">
                          <a14:useLocalDpi xmlns:a14="http://schemas.microsoft.com/office/drawing/2010/main" val="0"/>
                        </a:ext>
                      </a:extLst>
                    </a:blip>
                    <a:stretch>
                      <a:fillRect/>
                    </a:stretch>
                  </pic:blipFill>
                  <pic:spPr>
                    <a:xfrm>
                      <a:off x="0" y="0"/>
                      <a:ext cx="2137924" cy="1798426"/>
                    </a:xfrm>
                    <a:prstGeom prst="rect">
                      <a:avLst/>
                    </a:prstGeom>
                  </pic:spPr>
                </pic:pic>
              </a:graphicData>
            </a:graphic>
          </wp:inline>
        </w:drawing>
      </w:r>
    </w:p>
    <w:p w14:paraId="72B77662" w14:textId="06EC392B" w:rsidR="000F432E" w:rsidRPr="000F432E" w:rsidRDefault="000F432E" w:rsidP="000F432E">
      <w:pPr>
        <w:spacing w:after="180"/>
      </w:pPr>
      <w:r w:rsidRPr="000F432E">
        <w:rPr>
          <w:lang w:val="en-US"/>
        </w:rPr>
        <w:t xml:space="preserve">An orange/brown solid </w:t>
      </w:r>
      <w:r w:rsidR="00D82A9F">
        <w:rPr>
          <w:lang w:val="en-US"/>
        </w:rPr>
        <w:t xml:space="preserve">gradually </w:t>
      </w:r>
      <w:r w:rsidRPr="000F432E">
        <w:rPr>
          <w:lang w:val="en-US"/>
        </w:rPr>
        <w:t>appeared.</w:t>
      </w:r>
    </w:p>
    <w:p w14:paraId="468310F2" w14:textId="77777777" w:rsidR="00B23B31" w:rsidRPr="000F432E" w:rsidRDefault="00B23B31" w:rsidP="00201AC2">
      <w:pPr>
        <w:spacing w:after="180"/>
      </w:pPr>
    </w:p>
    <w:p w14:paraId="7A135277" w14:textId="70844518" w:rsidR="00201AC2" w:rsidRPr="000F432E" w:rsidRDefault="000F432E" w:rsidP="00201AC2">
      <w:pPr>
        <w:pStyle w:val="ListParagraph"/>
        <w:numPr>
          <w:ilvl w:val="0"/>
          <w:numId w:val="3"/>
        </w:numPr>
        <w:spacing w:after="180"/>
        <w:ind w:left="567" w:hanging="567"/>
        <w:contextualSpacing w:val="0"/>
      </w:pPr>
      <w:r w:rsidRPr="000F432E">
        <w:t>Some students try to explain the appearance of an orange/brown solid.</w:t>
      </w:r>
    </w:p>
    <w:p w14:paraId="1D5BA81B" w14:textId="0F2D3022" w:rsidR="000F432E" w:rsidRDefault="000F432E" w:rsidP="000F432E">
      <w:pPr>
        <w:pStyle w:val="ListParagraph"/>
        <w:spacing w:after="180"/>
        <w:ind w:left="567"/>
        <w:contextualSpacing w:val="0"/>
      </w:pPr>
      <w:r w:rsidRPr="000F432E">
        <w:t>Who do you agree with, and why?</w:t>
      </w:r>
    </w:p>
    <w:p w14:paraId="3C937FF5" w14:textId="241503F2" w:rsidR="00201AC2" w:rsidRPr="00201AC2" w:rsidRDefault="000F432E" w:rsidP="006F3279">
      <w:pPr>
        <w:spacing w:after="240"/>
        <w:rPr>
          <w:szCs w:val="18"/>
        </w:rPr>
      </w:pPr>
      <w:r w:rsidRPr="000F432E">
        <w:rPr>
          <w:noProof/>
          <w:szCs w:val="18"/>
        </w:rPr>
        <w:drawing>
          <wp:inline distT="0" distB="0" distL="0" distR="0" wp14:anchorId="55451429" wp14:editId="4A747BE7">
            <wp:extent cx="5731510" cy="3392805"/>
            <wp:effectExtent l="0" t="0" r="2540" b="0"/>
            <wp:docPr id="2" name="Picture 2">
              <a:extLst xmlns:a="http://schemas.openxmlformats.org/drawingml/2006/main">
                <a:ext uri="{FF2B5EF4-FFF2-40B4-BE49-F238E27FC236}">
                  <a16:creationId xmlns:a16="http://schemas.microsoft.com/office/drawing/2014/main" id="{3044DA6F-BF62-4489-B4F9-FD47157490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3044DA6F-BF62-4489-B4F9-FD4715749060}"/>
                        </a:ext>
                      </a:extLst>
                    </pic:cNvPr>
                    <pic:cNvPicPr>
                      <a:picLocks noChangeAspect="1"/>
                    </pic:cNvPicPr>
                  </pic:nvPicPr>
                  <pic:blipFill>
                    <a:blip r:embed="rId8"/>
                    <a:stretch>
                      <a:fillRect/>
                    </a:stretch>
                  </pic:blipFill>
                  <pic:spPr>
                    <a:xfrm>
                      <a:off x="0" y="0"/>
                      <a:ext cx="5731510" cy="3392805"/>
                    </a:xfrm>
                    <a:prstGeom prst="rect">
                      <a:avLst/>
                    </a:prstGeom>
                  </pic:spPr>
                </pic:pic>
              </a:graphicData>
            </a:graphic>
          </wp:inline>
        </w:drawing>
      </w:r>
    </w:p>
    <w:p w14:paraId="01A0A802" w14:textId="77777777" w:rsidR="00201AC2" w:rsidRPr="00201AC2" w:rsidRDefault="00201AC2" w:rsidP="006F3279">
      <w:pPr>
        <w:spacing w:after="240"/>
        <w:rPr>
          <w:szCs w:val="18"/>
        </w:rPr>
      </w:pPr>
    </w:p>
    <w:p w14:paraId="1C46DDA1" w14:textId="77777777" w:rsidR="00201AC2" w:rsidRDefault="00201AC2" w:rsidP="006F3279">
      <w:pPr>
        <w:spacing w:after="240"/>
        <w:rPr>
          <w:szCs w:val="18"/>
        </w:rPr>
      </w:pPr>
    </w:p>
    <w:p w14:paraId="4EBB9D33" w14:textId="77777777" w:rsidR="000F432E" w:rsidRDefault="000F432E" w:rsidP="006F3279">
      <w:pPr>
        <w:spacing w:after="240"/>
        <w:rPr>
          <w:szCs w:val="18"/>
        </w:rPr>
      </w:pPr>
    </w:p>
    <w:p w14:paraId="717B29B5" w14:textId="77777777" w:rsidR="000F432E" w:rsidRDefault="000F432E" w:rsidP="006F3279">
      <w:pPr>
        <w:spacing w:after="240"/>
        <w:rPr>
          <w:szCs w:val="18"/>
        </w:rPr>
      </w:pPr>
    </w:p>
    <w:p w14:paraId="5631B41E" w14:textId="77777777" w:rsidR="00F666D5" w:rsidRDefault="00F666D5" w:rsidP="006F3279">
      <w:pPr>
        <w:spacing w:after="240"/>
        <w:rPr>
          <w:szCs w:val="18"/>
        </w:rPr>
      </w:pPr>
    </w:p>
    <w:p w14:paraId="223CBABB" w14:textId="4942804E" w:rsidR="000F432E" w:rsidRDefault="000F432E" w:rsidP="006F3279">
      <w:pPr>
        <w:spacing w:after="240"/>
        <w:rPr>
          <w:szCs w:val="18"/>
        </w:rPr>
      </w:pPr>
    </w:p>
    <w:tbl>
      <w:tblPr>
        <w:tblStyle w:val="TableGrid"/>
        <w:tblW w:w="0" w:type="auto"/>
        <w:tblLook w:val="04A0" w:firstRow="1" w:lastRow="0" w:firstColumn="1" w:lastColumn="0" w:noHBand="0" w:noVBand="1"/>
      </w:tblPr>
      <w:tblGrid>
        <w:gridCol w:w="9016"/>
      </w:tblGrid>
      <w:tr w:rsidR="000F432E" w14:paraId="37784085" w14:textId="77777777" w:rsidTr="000F432E">
        <w:tc>
          <w:tcPr>
            <w:tcW w:w="9016" w:type="dxa"/>
          </w:tcPr>
          <w:p w14:paraId="1422639E" w14:textId="77777777" w:rsidR="000F432E" w:rsidRPr="002B187A" w:rsidRDefault="000F432E" w:rsidP="002B187A">
            <w:pPr>
              <w:spacing w:after="240"/>
              <w:jc w:val="center"/>
              <w:rPr>
                <w:b/>
                <w:sz w:val="32"/>
                <w:szCs w:val="18"/>
              </w:rPr>
            </w:pPr>
            <w:r w:rsidRPr="002B187A">
              <w:rPr>
                <w:b/>
                <w:sz w:val="32"/>
                <w:szCs w:val="18"/>
              </w:rPr>
              <w:t>Alex</w:t>
            </w:r>
          </w:p>
          <w:p w14:paraId="3AC52063" w14:textId="3074114E" w:rsidR="000F432E" w:rsidRPr="002B187A" w:rsidRDefault="000F432E" w:rsidP="002B187A">
            <w:pPr>
              <w:spacing w:after="240"/>
              <w:jc w:val="center"/>
              <w:rPr>
                <w:sz w:val="32"/>
                <w:szCs w:val="18"/>
              </w:rPr>
            </w:pPr>
            <w:r w:rsidRPr="002B187A">
              <w:rPr>
                <w:sz w:val="32"/>
                <w:szCs w:val="18"/>
              </w:rPr>
              <w:t>It is copper that has come out of the nail.</w:t>
            </w:r>
          </w:p>
        </w:tc>
      </w:tr>
      <w:tr w:rsidR="000F432E" w14:paraId="66CBE9EB" w14:textId="77777777" w:rsidTr="000F432E">
        <w:tc>
          <w:tcPr>
            <w:tcW w:w="9016" w:type="dxa"/>
          </w:tcPr>
          <w:p w14:paraId="49216228" w14:textId="77777777" w:rsidR="000F432E" w:rsidRPr="002B187A" w:rsidRDefault="000F432E" w:rsidP="002B187A">
            <w:pPr>
              <w:spacing w:after="240"/>
              <w:jc w:val="center"/>
              <w:rPr>
                <w:b/>
                <w:sz w:val="32"/>
                <w:szCs w:val="18"/>
              </w:rPr>
            </w:pPr>
            <w:r w:rsidRPr="002B187A">
              <w:rPr>
                <w:b/>
                <w:sz w:val="32"/>
                <w:szCs w:val="18"/>
              </w:rPr>
              <w:t>Eva</w:t>
            </w:r>
          </w:p>
          <w:p w14:paraId="1B4FFDE5" w14:textId="24995474" w:rsidR="000F432E" w:rsidRPr="002B187A" w:rsidRDefault="000F432E" w:rsidP="002B187A">
            <w:pPr>
              <w:spacing w:after="240"/>
              <w:jc w:val="center"/>
              <w:rPr>
                <w:sz w:val="32"/>
                <w:szCs w:val="18"/>
              </w:rPr>
            </w:pPr>
            <w:r w:rsidRPr="002B187A">
              <w:rPr>
                <w:sz w:val="32"/>
                <w:szCs w:val="18"/>
              </w:rPr>
              <w:t>The reaction has made copper. Copper is insoluble.</w:t>
            </w:r>
          </w:p>
        </w:tc>
      </w:tr>
      <w:tr w:rsidR="000F432E" w14:paraId="3A3DB89A" w14:textId="77777777" w:rsidTr="000F432E">
        <w:tc>
          <w:tcPr>
            <w:tcW w:w="9016" w:type="dxa"/>
          </w:tcPr>
          <w:p w14:paraId="27EF0C85" w14:textId="77777777" w:rsidR="000F432E" w:rsidRPr="002B187A" w:rsidRDefault="002B187A" w:rsidP="002B187A">
            <w:pPr>
              <w:spacing w:after="240"/>
              <w:jc w:val="center"/>
              <w:rPr>
                <w:b/>
                <w:sz w:val="32"/>
                <w:szCs w:val="18"/>
              </w:rPr>
            </w:pPr>
            <w:r w:rsidRPr="002B187A">
              <w:rPr>
                <w:b/>
                <w:sz w:val="32"/>
                <w:szCs w:val="18"/>
              </w:rPr>
              <w:t>Misbah</w:t>
            </w:r>
          </w:p>
          <w:p w14:paraId="37D9D143" w14:textId="13F67265" w:rsidR="002B187A" w:rsidRPr="002B187A" w:rsidRDefault="002B187A" w:rsidP="002B187A">
            <w:pPr>
              <w:spacing w:after="240"/>
              <w:jc w:val="center"/>
              <w:rPr>
                <w:sz w:val="32"/>
                <w:szCs w:val="18"/>
              </w:rPr>
            </w:pPr>
            <w:r w:rsidRPr="002B187A">
              <w:rPr>
                <w:sz w:val="32"/>
                <w:szCs w:val="18"/>
              </w:rPr>
              <w:t>Copper sulfate dissolves. In the reaction it was turned into copper which doesn’t dissolve…so you can see it.</w:t>
            </w:r>
          </w:p>
        </w:tc>
      </w:tr>
      <w:tr w:rsidR="000F432E" w14:paraId="60E713DA" w14:textId="77777777" w:rsidTr="000F432E">
        <w:tc>
          <w:tcPr>
            <w:tcW w:w="9016" w:type="dxa"/>
          </w:tcPr>
          <w:p w14:paraId="06876BB4" w14:textId="77777777" w:rsidR="000F432E" w:rsidRPr="002B187A" w:rsidRDefault="002B187A" w:rsidP="002B187A">
            <w:pPr>
              <w:spacing w:after="240"/>
              <w:jc w:val="center"/>
              <w:rPr>
                <w:b/>
                <w:sz w:val="32"/>
                <w:szCs w:val="18"/>
              </w:rPr>
            </w:pPr>
            <w:r w:rsidRPr="002B187A">
              <w:rPr>
                <w:b/>
                <w:sz w:val="32"/>
                <w:szCs w:val="18"/>
              </w:rPr>
              <w:t>Megan</w:t>
            </w:r>
          </w:p>
          <w:p w14:paraId="6CDFCDCD" w14:textId="64D3AF5A" w:rsidR="002B187A" w:rsidRPr="002B187A" w:rsidRDefault="002B187A" w:rsidP="002B187A">
            <w:pPr>
              <w:spacing w:after="240"/>
              <w:jc w:val="center"/>
              <w:rPr>
                <w:sz w:val="32"/>
                <w:szCs w:val="18"/>
              </w:rPr>
            </w:pPr>
            <w:r w:rsidRPr="002B187A">
              <w:rPr>
                <w:sz w:val="32"/>
                <w:szCs w:val="18"/>
              </w:rPr>
              <w:t>I think the copper sulfate has changed the colour of the iron.</w:t>
            </w:r>
          </w:p>
        </w:tc>
      </w:tr>
      <w:tr w:rsidR="000F432E" w14:paraId="1AA48618" w14:textId="77777777" w:rsidTr="000F432E">
        <w:tc>
          <w:tcPr>
            <w:tcW w:w="9016" w:type="dxa"/>
          </w:tcPr>
          <w:p w14:paraId="4B5B225D" w14:textId="77777777" w:rsidR="000F432E" w:rsidRPr="002B187A" w:rsidRDefault="002B187A" w:rsidP="002B187A">
            <w:pPr>
              <w:spacing w:after="240"/>
              <w:jc w:val="center"/>
              <w:rPr>
                <w:b/>
                <w:sz w:val="32"/>
                <w:szCs w:val="18"/>
              </w:rPr>
            </w:pPr>
            <w:r w:rsidRPr="002B187A">
              <w:rPr>
                <w:b/>
                <w:sz w:val="32"/>
                <w:szCs w:val="18"/>
              </w:rPr>
              <w:t>Joel</w:t>
            </w:r>
          </w:p>
          <w:p w14:paraId="1BF17F12" w14:textId="2F0BB7B7" w:rsidR="002B187A" w:rsidRPr="002B187A" w:rsidRDefault="002B187A" w:rsidP="002B187A">
            <w:pPr>
              <w:spacing w:after="240"/>
              <w:jc w:val="center"/>
              <w:rPr>
                <w:sz w:val="32"/>
                <w:szCs w:val="18"/>
              </w:rPr>
            </w:pPr>
            <w:r w:rsidRPr="002B187A">
              <w:rPr>
                <w:sz w:val="32"/>
                <w:szCs w:val="18"/>
              </w:rPr>
              <w:t>The iron nail made the copper in the copper sulfate become insoluble.</w:t>
            </w:r>
          </w:p>
        </w:tc>
      </w:tr>
    </w:tbl>
    <w:p w14:paraId="174104C9" w14:textId="77777777" w:rsidR="000F432E" w:rsidRDefault="000F432E" w:rsidP="006F3279">
      <w:pPr>
        <w:spacing w:after="240"/>
        <w:rPr>
          <w:szCs w:val="18"/>
        </w:rPr>
      </w:pPr>
    </w:p>
    <w:p w14:paraId="02B3DD6E" w14:textId="77777777" w:rsidR="000F432E" w:rsidRDefault="000F432E" w:rsidP="006F3279">
      <w:pPr>
        <w:spacing w:after="240"/>
        <w:rPr>
          <w:szCs w:val="18"/>
        </w:rPr>
      </w:pPr>
    </w:p>
    <w:p w14:paraId="0B5A0B94" w14:textId="0ED45454" w:rsidR="000F432E" w:rsidRPr="00201AC2" w:rsidRDefault="000F432E" w:rsidP="006F3279">
      <w:pPr>
        <w:spacing w:after="240"/>
        <w:rPr>
          <w:szCs w:val="18"/>
        </w:rPr>
        <w:sectPr w:rsidR="000F432E"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187ADEBF" w14:textId="6517A318"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0F432E">
        <w:rPr>
          <w:i/>
          <w:sz w:val="18"/>
          <w:szCs w:val="18"/>
        </w:rPr>
        <w:t>CCR: Chemical reactions</w:t>
      </w:r>
      <w:r>
        <w:rPr>
          <w:i/>
          <w:sz w:val="18"/>
          <w:szCs w:val="18"/>
        </w:rPr>
        <w:t xml:space="preserve"> &gt; Topic </w:t>
      </w:r>
      <w:r w:rsidR="000F432E">
        <w:rPr>
          <w:i/>
          <w:sz w:val="18"/>
          <w:szCs w:val="18"/>
        </w:rPr>
        <w:t>CCR2: Understanding reactions</w:t>
      </w:r>
      <w:r w:rsidRPr="00CA4B46">
        <w:rPr>
          <w:i/>
          <w:sz w:val="18"/>
          <w:szCs w:val="18"/>
        </w:rPr>
        <w:t xml:space="preserve"> &gt; </w:t>
      </w:r>
      <w:r>
        <w:rPr>
          <w:i/>
          <w:sz w:val="18"/>
          <w:szCs w:val="18"/>
        </w:rPr>
        <w:t>Key concept</w:t>
      </w:r>
      <w:r w:rsidRPr="00CA4B46">
        <w:rPr>
          <w:i/>
          <w:sz w:val="18"/>
          <w:szCs w:val="18"/>
        </w:rPr>
        <w:t xml:space="preserve"> </w:t>
      </w:r>
      <w:r w:rsidR="000F432E">
        <w:rPr>
          <w:i/>
          <w:sz w:val="18"/>
          <w:szCs w:val="18"/>
        </w:rPr>
        <w:t>CCR2.1: Reactions in solution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E5759E4" w14:textId="77777777" w:rsidTr="001C2E59">
        <w:tc>
          <w:tcPr>
            <w:tcW w:w="12021" w:type="dxa"/>
            <w:shd w:val="clear" w:color="auto" w:fill="FABF8F" w:themeFill="accent6" w:themeFillTint="99"/>
          </w:tcPr>
          <w:p w14:paraId="3CC00A49"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395106FF" w14:textId="77777777" w:rsidTr="001C2E59">
        <w:tc>
          <w:tcPr>
            <w:tcW w:w="12021" w:type="dxa"/>
            <w:shd w:val="clear" w:color="auto" w:fill="FBD4B4" w:themeFill="accent6" w:themeFillTint="66"/>
          </w:tcPr>
          <w:p w14:paraId="68204702" w14:textId="50A01AD8" w:rsidR="006F3279" w:rsidRPr="00CA4B46" w:rsidRDefault="000F432E" w:rsidP="006F3279">
            <w:pPr>
              <w:spacing w:after="60"/>
              <w:ind w:left="1304"/>
              <w:rPr>
                <w:b/>
                <w:sz w:val="40"/>
                <w:szCs w:val="40"/>
              </w:rPr>
            </w:pPr>
            <w:r w:rsidRPr="000F432E">
              <w:rPr>
                <w:b/>
                <w:sz w:val="40"/>
                <w:szCs w:val="40"/>
              </w:rPr>
              <w:t>Copper discussions</w:t>
            </w:r>
          </w:p>
        </w:tc>
      </w:tr>
    </w:tbl>
    <w:p w14:paraId="7486345C" w14:textId="77777777" w:rsidR="006F3279" w:rsidRDefault="006F3279" w:rsidP="00E172C6">
      <w:pPr>
        <w:spacing w:after="180"/>
        <w:rPr>
          <w:b/>
        </w:rPr>
      </w:pPr>
    </w:p>
    <w:p w14:paraId="5B939173"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30C53D60" w14:textId="77777777" w:rsidTr="003F16F9">
        <w:trPr>
          <w:trHeight w:val="340"/>
        </w:trPr>
        <w:tc>
          <w:tcPr>
            <w:tcW w:w="2196" w:type="dxa"/>
          </w:tcPr>
          <w:p w14:paraId="473FD580" w14:textId="77777777" w:rsidR="006A320F" w:rsidRDefault="006A320F" w:rsidP="006A320F">
            <w:pPr>
              <w:spacing w:before="60" w:after="60"/>
            </w:pPr>
            <w:r>
              <w:t>Learning objective:</w:t>
            </w:r>
          </w:p>
        </w:tc>
        <w:tc>
          <w:tcPr>
            <w:tcW w:w="6820" w:type="dxa"/>
          </w:tcPr>
          <w:p w14:paraId="76EE587A" w14:textId="520E1919" w:rsidR="006A320F" w:rsidRDefault="000F432E" w:rsidP="006A320F">
            <w:pPr>
              <w:spacing w:before="60" w:after="60"/>
            </w:pPr>
            <w:r w:rsidRPr="002B187A">
              <w:t>When two solutions react, a product may be insoluble, resulting in the formation of a precipitate.</w:t>
            </w:r>
          </w:p>
        </w:tc>
      </w:tr>
      <w:tr w:rsidR="000F432E" w14:paraId="3EA36F98" w14:textId="77777777" w:rsidTr="003F16F9">
        <w:trPr>
          <w:trHeight w:val="340"/>
        </w:trPr>
        <w:tc>
          <w:tcPr>
            <w:tcW w:w="2196" w:type="dxa"/>
          </w:tcPr>
          <w:p w14:paraId="19D06BDC" w14:textId="77777777" w:rsidR="000F432E" w:rsidRDefault="000F432E" w:rsidP="000F432E">
            <w:pPr>
              <w:spacing w:before="60" w:after="60"/>
            </w:pPr>
            <w:r>
              <w:t>Observable learning outcome:</w:t>
            </w:r>
          </w:p>
        </w:tc>
        <w:tc>
          <w:tcPr>
            <w:tcW w:w="6820" w:type="dxa"/>
          </w:tcPr>
          <w:p w14:paraId="6BC6A48C" w14:textId="2A6C64F0" w:rsidR="000F432E" w:rsidRPr="002B187A" w:rsidRDefault="000F432E" w:rsidP="000F432E">
            <w:pPr>
              <w:spacing w:before="60" w:after="60"/>
            </w:pPr>
            <w:r w:rsidRPr="002B187A">
              <w:t>Explain the appearance of a different metal during a displacement reaction.</w:t>
            </w:r>
          </w:p>
        </w:tc>
      </w:tr>
      <w:tr w:rsidR="000F432E" w14:paraId="06665BA5" w14:textId="77777777" w:rsidTr="003F16F9">
        <w:trPr>
          <w:trHeight w:val="340"/>
        </w:trPr>
        <w:tc>
          <w:tcPr>
            <w:tcW w:w="2196" w:type="dxa"/>
          </w:tcPr>
          <w:p w14:paraId="1EFCE0E1" w14:textId="77777777" w:rsidR="000F432E" w:rsidRDefault="000F432E" w:rsidP="000F432E">
            <w:pPr>
              <w:spacing w:before="60" w:after="60"/>
            </w:pPr>
            <w:r>
              <w:t>Activity type:</w:t>
            </w:r>
          </w:p>
        </w:tc>
        <w:tc>
          <w:tcPr>
            <w:tcW w:w="6820" w:type="dxa"/>
          </w:tcPr>
          <w:p w14:paraId="664BD63A" w14:textId="318BC642" w:rsidR="000F432E" w:rsidRPr="000F432E" w:rsidRDefault="000F432E" w:rsidP="000F432E">
            <w:pPr>
              <w:spacing w:before="60" w:after="60"/>
            </w:pPr>
            <w:r>
              <w:t>t</w:t>
            </w:r>
            <w:r w:rsidRPr="000F432E">
              <w:t>alking heads</w:t>
            </w:r>
          </w:p>
        </w:tc>
      </w:tr>
      <w:tr w:rsidR="000F432E" w14:paraId="1BB402D8" w14:textId="77777777" w:rsidTr="003F16F9">
        <w:trPr>
          <w:trHeight w:val="340"/>
        </w:trPr>
        <w:tc>
          <w:tcPr>
            <w:tcW w:w="2196" w:type="dxa"/>
          </w:tcPr>
          <w:p w14:paraId="1FD683FD" w14:textId="77777777" w:rsidR="000F432E" w:rsidRDefault="000F432E" w:rsidP="000F432E">
            <w:pPr>
              <w:spacing w:before="60" w:after="60"/>
            </w:pPr>
            <w:r>
              <w:t>Key words:</w:t>
            </w:r>
          </w:p>
        </w:tc>
        <w:tc>
          <w:tcPr>
            <w:tcW w:w="6820" w:type="dxa"/>
            <w:tcBorders>
              <w:bottom w:val="dotted" w:sz="4" w:space="0" w:color="auto"/>
            </w:tcBorders>
          </w:tcPr>
          <w:p w14:paraId="0392397C" w14:textId="1BA05268" w:rsidR="000F432E" w:rsidRPr="000F432E" w:rsidRDefault="000F432E" w:rsidP="000F432E">
            <w:pPr>
              <w:spacing w:before="60" w:after="60"/>
            </w:pPr>
            <w:r w:rsidRPr="000F432E">
              <w:t>dissolve, soluble, insoluble</w:t>
            </w:r>
          </w:p>
        </w:tc>
      </w:tr>
    </w:tbl>
    <w:p w14:paraId="63DDE62B" w14:textId="77777777" w:rsidR="00E172C6" w:rsidRDefault="00E172C6" w:rsidP="00E172C6">
      <w:pPr>
        <w:spacing w:after="180"/>
      </w:pPr>
    </w:p>
    <w:p w14:paraId="52D3E752" w14:textId="28D2BEA3" w:rsidR="006A320F" w:rsidRPr="000F432E" w:rsidRDefault="006A320F" w:rsidP="006A320F">
      <w:pPr>
        <w:spacing w:after="180"/>
      </w:pPr>
      <w:r>
        <w:t xml:space="preserve">This activity can help develop students’ understanding by addressing the </w:t>
      </w:r>
      <w:r w:rsidR="00CD5434">
        <w:t>misunderstandings</w:t>
      </w:r>
      <w:r>
        <w:t xml:space="preserve"> revealed by the </w:t>
      </w:r>
      <w:r w:rsidRPr="000F432E">
        <w:t>following diagnostic question:</w:t>
      </w:r>
    </w:p>
    <w:p w14:paraId="265E1D9E" w14:textId="383044B3" w:rsidR="00456227" w:rsidRPr="000F432E" w:rsidRDefault="000F432E" w:rsidP="00456227">
      <w:pPr>
        <w:pStyle w:val="ListParagraph"/>
        <w:numPr>
          <w:ilvl w:val="0"/>
          <w:numId w:val="1"/>
        </w:numPr>
        <w:spacing w:after="180"/>
      </w:pPr>
      <w:r w:rsidRPr="000F432E">
        <w:t>Making silver?</w:t>
      </w:r>
    </w:p>
    <w:p w14:paraId="044A5B14" w14:textId="77777777" w:rsidR="00F72ECC" w:rsidRDefault="00F72ECC" w:rsidP="00F72ECC"/>
    <w:p w14:paraId="3394BE72"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3A8B1BFF" w14:textId="7051E178" w:rsidR="000F432E" w:rsidRPr="004B3CB8" w:rsidRDefault="000F432E" w:rsidP="000F432E">
      <w:pPr>
        <w:spacing w:after="180"/>
      </w:pPr>
      <w:r w:rsidRPr="004B3CB8">
        <w:t xml:space="preserve">A summary of research into students’ conceptions of matter </w:t>
      </w:r>
      <w:r>
        <w:fldChar w:fldCharType="begin"/>
      </w:r>
      <w:r>
        <w:instrText xml:space="preserve"> ADDIN EN.CITE &lt;EndNote&gt;&lt;Cite&gt;&lt;Author&gt;Andersson&lt;/Author&gt;&lt;Year&gt;1990&lt;/Year&gt;&lt;IDText&gt;Pupils&amp;apos; conceptions of matter and its transformations (age 12-16)&lt;/IDText&gt;&lt;DisplayText&gt;(Andersson, 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format="utc"&gt;1536935305&lt;/added-date&gt;&lt;ref-type name="Journal Article"&gt;17&lt;/ref-type&gt;&lt;dates&gt;&lt;year&gt;1990&lt;/year&gt;&lt;/dates&gt;&lt;rec-number&gt;22&lt;/rec-number&gt;&lt;last-updated-date format="utc"&gt;1537268574&lt;/last-updated-date&gt;&lt;volume&gt;18&lt;/volume&gt;&lt;/record&gt;&lt;/Cite&gt;&lt;/EndNote&gt;</w:instrText>
      </w:r>
      <w:r>
        <w:fldChar w:fldCharType="separate"/>
      </w:r>
      <w:r>
        <w:rPr>
          <w:noProof/>
        </w:rPr>
        <w:t>(Andersson, 1990)</w:t>
      </w:r>
      <w:r>
        <w:fldChar w:fldCharType="end"/>
      </w:r>
      <w:r>
        <w:t xml:space="preserve"> </w:t>
      </w:r>
      <w:r w:rsidRPr="004B3CB8">
        <w:t xml:space="preserve">developed five categories of the types of answers students gave when explaining chemical reactions, only the last is scientifically correct. </w:t>
      </w:r>
      <w:r>
        <w:t>The distractors in this question are derived from the categories displacement and modification.</w:t>
      </w:r>
      <w:r w:rsidR="00CD5434">
        <w:t xml:space="preserve"> In this research the word displacement is used to mean movement from one position to another.</w:t>
      </w:r>
    </w:p>
    <w:tbl>
      <w:tblPr>
        <w:tblStyle w:val="TableGrid"/>
        <w:tblW w:w="0" w:type="auto"/>
        <w:tblLook w:val="04A0" w:firstRow="1" w:lastRow="0" w:firstColumn="1" w:lastColumn="0" w:noHBand="0" w:noVBand="1"/>
      </w:tblPr>
      <w:tblGrid>
        <w:gridCol w:w="1520"/>
        <w:gridCol w:w="4055"/>
        <w:gridCol w:w="3441"/>
      </w:tblGrid>
      <w:tr w:rsidR="000F432E" w14:paraId="5EB36C30" w14:textId="77777777" w:rsidTr="00CD59DE">
        <w:tc>
          <w:tcPr>
            <w:tcW w:w="1520" w:type="dxa"/>
          </w:tcPr>
          <w:p w14:paraId="05BDD4D7" w14:textId="77777777" w:rsidR="000F432E" w:rsidRPr="00AD7E96" w:rsidRDefault="000F432E" w:rsidP="00CD59DE">
            <w:pPr>
              <w:spacing w:after="180"/>
              <w:rPr>
                <w:b/>
              </w:rPr>
            </w:pPr>
            <w:r w:rsidRPr="00AD7E96">
              <w:rPr>
                <w:b/>
              </w:rPr>
              <w:t>Category of explanation</w:t>
            </w:r>
          </w:p>
        </w:tc>
        <w:tc>
          <w:tcPr>
            <w:tcW w:w="4055" w:type="dxa"/>
          </w:tcPr>
          <w:p w14:paraId="5E9AEF5B" w14:textId="77777777" w:rsidR="000F432E" w:rsidRPr="00AD7E96" w:rsidRDefault="000F432E" w:rsidP="00CD59DE">
            <w:pPr>
              <w:spacing w:after="180"/>
              <w:rPr>
                <w:b/>
              </w:rPr>
            </w:pPr>
            <w:r>
              <w:rPr>
                <w:b/>
              </w:rPr>
              <w:t>Description</w:t>
            </w:r>
          </w:p>
        </w:tc>
        <w:tc>
          <w:tcPr>
            <w:tcW w:w="3441" w:type="dxa"/>
          </w:tcPr>
          <w:p w14:paraId="78DD5930" w14:textId="77777777" w:rsidR="000F432E" w:rsidRPr="00AD7E96" w:rsidRDefault="000F432E" w:rsidP="00CD59DE">
            <w:pPr>
              <w:spacing w:after="180"/>
              <w:rPr>
                <w:b/>
              </w:rPr>
            </w:pPr>
            <w:r>
              <w:rPr>
                <w:b/>
              </w:rPr>
              <w:t>Example</w:t>
            </w:r>
          </w:p>
        </w:tc>
      </w:tr>
      <w:tr w:rsidR="000F432E" w14:paraId="1560DDBE" w14:textId="77777777" w:rsidTr="00CD59DE">
        <w:tc>
          <w:tcPr>
            <w:tcW w:w="1520" w:type="dxa"/>
          </w:tcPr>
          <w:p w14:paraId="244A610E" w14:textId="77777777" w:rsidR="000F432E" w:rsidRPr="00AD7E96" w:rsidRDefault="000F432E" w:rsidP="00CD59DE">
            <w:pPr>
              <w:spacing w:after="180"/>
            </w:pPr>
            <w:r>
              <w:t>d</w:t>
            </w:r>
            <w:r w:rsidRPr="00AD7E96">
              <w:t>isappearance</w:t>
            </w:r>
          </w:p>
        </w:tc>
        <w:tc>
          <w:tcPr>
            <w:tcW w:w="4055" w:type="dxa"/>
          </w:tcPr>
          <w:p w14:paraId="547A13FA" w14:textId="37E84D94" w:rsidR="000F432E" w:rsidRPr="00AD7E96" w:rsidRDefault="000F432E" w:rsidP="00CD59DE">
            <w:pPr>
              <w:spacing w:after="180"/>
            </w:pPr>
            <w:r w:rsidRPr="00AD7E96">
              <w:t>The substance has simpl</w:t>
            </w:r>
            <w:r>
              <w:t>y</w:t>
            </w:r>
            <w:r w:rsidRPr="00AD7E96">
              <w:t xml:space="preserve"> gone</w:t>
            </w:r>
            <w:r w:rsidR="007A03A4">
              <w:t>.</w:t>
            </w:r>
          </w:p>
        </w:tc>
        <w:tc>
          <w:tcPr>
            <w:tcW w:w="3441" w:type="dxa"/>
          </w:tcPr>
          <w:p w14:paraId="6A5D3901" w14:textId="77777777" w:rsidR="000F432E" w:rsidRPr="00AD7E96" w:rsidRDefault="000F432E" w:rsidP="00CD59DE">
            <w:pPr>
              <w:spacing w:after="180"/>
            </w:pPr>
            <w:r>
              <w:t>P</w:t>
            </w:r>
            <w:r w:rsidRPr="00AD7E96">
              <w:t>etrol is ‘used up’.</w:t>
            </w:r>
          </w:p>
        </w:tc>
      </w:tr>
      <w:tr w:rsidR="000F432E" w14:paraId="0A694A89" w14:textId="77777777" w:rsidTr="00CD59DE">
        <w:tc>
          <w:tcPr>
            <w:tcW w:w="1520" w:type="dxa"/>
          </w:tcPr>
          <w:p w14:paraId="737D1627" w14:textId="2C77F7D8" w:rsidR="000F432E" w:rsidRDefault="00CD5434" w:rsidP="00CD59DE">
            <w:pPr>
              <w:spacing w:after="180"/>
            </w:pPr>
            <w:r>
              <w:t>D</w:t>
            </w:r>
            <w:r w:rsidR="000F432E" w:rsidRPr="00AD7E96">
              <w:t>isplacement</w:t>
            </w:r>
          </w:p>
          <w:p w14:paraId="40277799" w14:textId="014D18DC" w:rsidR="00CD5434" w:rsidRPr="00AD7E96" w:rsidRDefault="00CD5434" w:rsidP="00CD59DE">
            <w:pPr>
              <w:spacing w:after="180"/>
            </w:pPr>
            <w:r>
              <w:t>(movement)</w:t>
            </w:r>
          </w:p>
        </w:tc>
        <w:tc>
          <w:tcPr>
            <w:tcW w:w="4055" w:type="dxa"/>
          </w:tcPr>
          <w:p w14:paraId="4523FD8D" w14:textId="77777777" w:rsidR="000F432E" w:rsidRPr="00AD7E96" w:rsidRDefault="000F432E" w:rsidP="00CD59DE">
            <w:pPr>
              <w:spacing w:after="180"/>
            </w:pPr>
            <w:r w:rsidRPr="00AD7E96">
              <w:t>The new product has moved from somewhere else.</w:t>
            </w:r>
          </w:p>
          <w:p w14:paraId="10C2E351" w14:textId="77777777" w:rsidR="000F432E" w:rsidRPr="00AD7E96" w:rsidRDefault="000F432E" w:rsidP="00CD59DE">
            <w:pPr>
              <w:spacing w:after="180"/>
            </w:pPr>
          </w:p>
        </w:tc>
        <w:tc>
          <w:tcPr>
            <w:tcW w:w="3441" w:type="dxa"/>
          </w:tcPr>
          <w:p w14:paraId="1F974CC8" w14:textId="77777777" w:rsidR="000F432E" w:rsidRPr="00AD7E96" w:rsidRDefault="000F432E" w:rsidP="00CD59DE">
            <w:pPr>
              <w:spacing w:after="180"/>
            </w:pPr>
            <w:r w:rsidRPr="00AD7E96">
              <w:t>When solid lead nitrate and potassium iodide are mixed the yellow colour (lead iodide) comes out of the white grains of powder.</w:t>
            </w:r>
          </w:p>
        </w:tc>
      </w:tr>
      <w:tr w:rsidR="000F432E" w14:paraId="15A8CC44" w14:textId="77777777" w:rsidTr="00CD59DE">
        <w:tc>
          <w:tcPr>
            <w:tcW w:w="1520" w:type="dxa"/>
          </w:tcPr>
          <w:p w14:paraId="045D0DE4" w14:textId="77777777" w:rsidR="000F432E" w:rsidRPr="00AD7E96" w:rsidRDefault="000F432E" w:rsidP="00CD59DE">
            <w:pPr>
              <w:spacing w:after="180"/>
            </w:pPr>
            <w:r>
              <w:t>m</w:t>
            </w:r>
            <w:r w:rsidRPr="00AD7E96">
              <w:t>odification</w:t>
            </w:r>
          </w:p>
        </w:tc>
        <w:tc>
          <w:tcPr>
            <w:tcW w:w="4055" w:type="dxa"/>
          </w:tcPr>
          <w:p w14:paraId="00EA8613" w14:textId="77777777" w:rsidR="000F432E" w:rsidRPr="00AD7E96" w:rsidRDefault="000F432E" w:rsidP="00CD59DE">
            <w:pPr>
              <w:spacing w:after="180"/>
            </w:pPr>
            <w:r w:rsidRPr="00AD7E96">
              <w:t>The original substance keeps its identity</w:t>
            </w:r>
            <w:r>
              <w:t>,</w:t>
            </w:r>
            <w:r w:rsidRPr="00AD7E96">
              <w:t xml:space="preserve"> but its properties change.</w:t>
            </w:r>
          </w:p>
        </w:tc>
        <w:tc>
          <w:tcPr>
            <w:tcW w:w="3441" w:type="dxa"/>
          </w:tcPr>
          <w:p w14:paraId="40263AC1" w14:textId="77777777" w:rsidR="000F432E" w:rsidRPr="00AD7E96" w:rsidRDefault="000F432E" w:rsidP="00CD59DE">
            <w:pPr>
              <w:spacing w:after="180"/>
            </w:pPr>
            <w:r w:rsidRPr="00AD7E96">
              <w:t>When alcohol burns it turns into alcohol vapour.</w:t>
            </w:r>
          </w:p>
        </w:tc>
      </w:tr>
      <w:tr w:rsidR="000F432E" w14:paraId="05287A5D" w14:textId="77777777" w:rsidTr="00CD59DE">
        <w:tc>
          <w:tcPr>
            <w:tcW w:w="1520" w:type="dxa"/>
          </w:tcPr>
          <w:p w14:paraId="07B11CF5" w14:textId="77777777" w:rsidR="000F432E" w:rsidRPr="00AD7E96" w:rsidRDefault="000F432E" w:rsidP="00CD59DE">
            <w:pPr>
              <w:spacing w:after="180"/>
            </w:pPr>
            <w:r>
              <w:t>t</w:t>
            </w:r>
            <w:r w:rsidRPr="00AD7E96">
              <w:t>ransmutation</w:t>
            </w:r>
          </w:p>
        </w:tc>
        <w:tc>
          <w:tcPr>
            <w:tcW w:w="4055" w:type="dxa"/>
          </w:tcPr>
          <w:p w14:paraId="30B084B9" w14:textId="77777777" w:rsidR="000F432E" w:rsidRPr="00AD7E96" w:rsidRDefault="000F432E" w:rsidP="00CD59DE">
            <w:pPr>
              <w:spacing w:after="180"/>
            </w:pPr>
            <w:r>
              <w:t>A substance changes into another substance or a substance is changed (partly) into energy.</w:t>
            </w:r>
          </w:p>
        </w:tc>
        <w:tc>
          <w:tcPr>
            <w:tcW w:w="3441" w:type="dxa"/>
          </w:tcPr>
          <w:p w14:paraId="7EE07D01" w14:textId="77777777" w:rsidR="000F432E" w:rsidRDefault="000F432E" w:rsidP="00CD59DE">
            <w:pPr>
              <w:spacing w:after="180"/>
            </w:pPr>
            <w:r>
              <w:t>When magnesium burns it turns into energy.</w:t>
            </w:r>
          </w:p>
        </w:tc>
      </w:tr>
      <w:tr w:rsidR="000F432E" w14:paraId="270C8565" w14:textId="77777777" w:rsidTr="00CD59DE">
        <w:tc>
          <w:tcPr>
            <w:tcW w:w="1520" w:type="dxa"/>
          </w:tcPr>
          <w:p w14:paraId="7CEB03F2" w14:textId="77777777" w:rsidR="000F432E" w:rsidRDefault="000F432E" w:rsidP="00CD59DE">
            <w:pPr>
              <w:spacing w:after="180"/>
            </w:pPr>
            <w:r>
              <w:t>chemical interactions</w:t>
            </w:r>
          </w:p>
        </w:tc>
        <w:tc>
          <w:tcPr>
            <w:tcW w:w="4055" w:type="dxa"/>
          </w:tcPr>
          <w:p w14:paraId="5F0343AA" w14:textId="77777777" w:rsidR="000F432E" w:rsidRDefault="000F432E" w:rsidP="00CD59DE">
            <w:pPr>
              <w:spacing w:after="180"/>
            </w:pPr>
            <w:r>
              <w:t>Substances combine to form a new substance (or split up to create two or more substances).</w:t>
            </w:r>
          </w:p>
        </w:tc>
        <w:tc>
          <w:tcPr>
            <w:tcW w:w="3441" w:type="dxa"/>
          </w:tcPr>
          <w:p w14:paraId="1B47A834" w14:textId="77777777" w:rsidR="000F432E" w:rsidRDefault="000F432E" w:rsidP="00CD59DE">
            <w:pPr>
              <w:spacing w:after="180"/>
            </w:pPr>
            <w:r>
              <w:t>Magnesium reacts with oxygen forming magnesium oxide.</w:t>
            </w:r>
          </w:p>
        </w:tc>
      </w:tr>
    </w:tbl>
    <w:p w14:paraId="0032E3A6" w14:textId="77777777" w:rsidR="000F432E" w:rsidRDefault="000F432E" w:rsidP="00026DEC">
      <w:pPr>
        <w:spacing w:after="180"/>
        <w:rPr>
          <w:b/>
          <w:color w:val="E36C0A" w:themeColor="accent6" w:themeShade="BF"/>
          <w:sz w:val="24"/>
        </w:rPr>
      </w:pPr>
    </w:p>
    <w:p w14:paraId="7751BDDC" w14:textId="5EFF38CC"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72C35D35" w14:textId="5908C32E" w:rsidR="000F432E" w:rsidRDefault="000F432E" w:rsidP="000F432E">
      <w:pPr>
        <w:spacing w:after="180"/>
      </w:pPr>
      <w:r w:rsidRPr="00DA3B6C">
        <w:t xml:space="preserve">Students </w:t>
      </w:r>
      <w:r>
        <w:t>should complete this activity in pairs or small groups, and the focus should be on the discussions.  The statements are also provided as cut-out cards for students to physically organise</w:t>
      </w:r>
      <w:r w:rsidR="007A03A4">
        <w:t xml:space="preserve"> and discuss.</w:t>
      </w:r>
    </w:p>
    <w:p w14:paraId="6E19455E" w14:textId="322431B9" w:rsidR="002B187A" w:rsidRDefault="002B187A" w:rsidP="000F432E">
      <w:pPr>
        <w:spacing w:after="180"/>
      </w:pPr>
      <w:r>
        <w:t>It may help students to make them explicitly aware of some of the common alternative explanations categories that students have been found to use. Students could be asked to categorise the answers given.</w:t>
      </w:r>
    </w:p>
    <w:p w14:paraId="319449B8" w14:textId="51F3D1DA" w:rsidR="009475EB" w:rsidRDefault="009475EB" w:rsidP="000F432E">
      <w:pPr>
        <w:spacing w:after="180"/>
      </w:pPr>
      <w:r>
        <w:t>Students could carry out the experiment or observe a demonstration.</w:t>
      </w:r>
    </w:p>
    <w:p w14:paraId="11C684B2" w14:textId="1846A19A" w:rsidR="009475EB" w:rsidRDefault="009475EB" w:rsidP="000F432E">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144202C3" w14:textId="77777777" w:rsidR="000F432E" w:rsidRPr="00A150A6" w:rsidRDefault="000F432E" w:rsidP="000F432E">
      <w:pPr>
        <w:spacing w:after="180"/>
        <w:rPr>
          <w:i/>
        </w:rPr>
      </w:pPr>
      <w:r w:rsidRPr="00A150A6">
        <w:rPr>
          <w:i/>
        </w:rPr>
        <w:t>Differentiation</w:t>
      </w:r>
    </w:p>
    <w:p w14:paraId="4370BD18" w14:textId="75D16F54" w:rsidR="000F432E" w:rsidRDefault="000F432E" w:rsidP="000F432E">
      <w:r>
        <w:t xml:space="preserve">The quality of the discussions </w:t>
      </w:r>
      <w:r w:rsidR="007A03A4">
        <w:t>may</w:t>
      </w:r>
      <w:r>
        <w:t xml:space="preserve"> be improved with a careful selection of groups; or by allocating specific roles to students in </w:t>
      </w:r>
      <w:r w:rsidR="00CD5434">
        <w:t>each</w:t>
      </w:r>
      <w:r>
        <w:t xml:space="preserve"> group.  For example, you may choose to select a student with strong prior knowledge as a scribe</w:t>
      </w:r>
      <w:r w:rsidR="002B187A">
        <w:t xml:space="preserve">. </w:t>
      </w:r>
      <w:r>
        <w:t xml:space="preserve">They may question the others and only write down what they have been told.  This strategy encourages contributions from more members of each group. </w:t>
      </w:r>
    </w:p>
    <w:p w14:paraId="57131BC8" w14:textId="77777777" w:rsidR="000F432E" w:rsidRDefault="000F432E" w:rsidP="000F432E"/>
    <w:p w14:paraId="3A2D5C69"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E6466DC" w14:textId="77777777" w:rsidR="002B187A" w:rsidRDefault="002B187A" w:rsidP="002B187A">
      <w:pPr>
        <w:spacing w:after="240"/>
        <w:rPr>
          <w:szCs w:val="18"/>
        </w:rPr>
      </w:pPr>
      <w:r>
        <w:rPr>
          <w:szCs w:val="18"/>
        </w:rPr>
        <w:t>Eva correctly explains that copper is formed during the reaction. The fact that it is insoluble means that it is seen as a solid.</w:t>
      </w:r>
    </w:p>
    <w:p w14:paraId="6CCB08BF" w14:textId="77777777" w:rsidR="002B187A" w:rsidRDefault="002B187A" w:rsidP="002B187A">
      <w:pPr>
        <w:spacing w:after="240"/>
        <w:rPr>
          <w:szCs w:val="18"/>
        </w:rPr>
      </w:pPr>
      <w:r>
        <w:rPr>
          <w:szCs w:val="18"/>
        </w:rPr>
        <w:t>Misbah is almost correct but could be thinking in terms of transmutation as her wording says that the copper sulfate turns into copper. It is important that students understand that copper is formed as a result of the reaction between iron and copper sulfate.</w:t>
      </w:r>
    </w:p>
    <w:p w14:paraId="441B66EC" w14:textId="77777777" w:rsidR="002B187A" w:rsidRDefault="002B187A" w:rsidP="002B187A">
      <w:pPr>
        <w:spacing w:after="240"/>
        <w:rPr>
          <w:szCs w:val="18"/>
        </w:rPr>
      </w:pPr>
      <w:r>
        <w:rPr>
          <w:szCs w:val="18"/>
        </w:rPr>
        <w:t>Joel and Megan are both explaining the observations in terms of modification of the properties of either copper sulfate or iron, rather than the formation of a new substance with new properties.</w:t>
      </w:r>
    </w:p>
    <w:p w14:paraId="6F4C04F9" w14:textId="52D1F1AA" w:rsidR="002B187A" w:rsidRDefault="002B187A" w:rsidP="002B187A">
      <w:pPr>
        <w:spacing w:after="240"/>
        <w:rPr>
          <w:szCs w:val="18"/>
        </w:rPr>
      </w:pPr>
      <w:r>
        <w:rPr>
          <w:szCs w:val="18"/>
        </w:rPr>
        <w:t xml:space="preserve">Alex is attempting to explain the appearance of the orange/brown solid in terms of it </w:t>
      </w:r>
      <w:r w:rsidR="00CD5434">
        <w:rPr>
          <w:szCs w:val="18"/>
        </w:rPr>
        <w:t>moving from</w:t>
      </w:r>
      <w:r>
        <w:rPr>
          <w:szCs w:val="18"/>
        </w:rPr>
        <w:t xml:space="preserve"> elsewhere.</w:t>
      </w:r>
    </w:p>
    <w:p w14:paraId="7E92B0DE"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5C981FB8" w14:textId="4ACDA5AE" w:rsidR="00D278E8" w:rsidRDefault="00D278E8" w:rsidP="00E172C6">
      <w:pPr>
        <w:spacing w:after="180"/>
      </w:pPr>
      <w:r w:rsidRPr="002B187A">
        <w:t xml:space="preserve">Developed </w:t>
      </w:r>
      <w:r w:rsidR="0015356E" w:rsidRPr="002B187A">
        <w:t xml:space="preserve">by </w:t>
      </w:r>
      <w:r w:rsidR="002B187A" w:rsidRPr="002B187A">
        <w:t>Helen Harden</w:t>
      </w:r>
      <w:r w:rsidR="0015356E" w:rsidRPr="002B187A">
        <w:t xml:space="preserve"> (UYSEG)</w:t>
      </w:r>
      <w:r w:rsidR="002B187A" w:rsidRPr="002B187A">
        <w:t>.</w:t>
      </w:r>
    </w:p>
    <w:p w14:paraId="5305C569" w14:textId="66863842" w:rsidR="00CC78A5" w:rsidRDefault="00D278E8" w:rsidP="00E172C6">
      <w:pPr>
        <w:spacing w:after="180"/>
      </w:pPr>
      <w:r w:rsidRPr="00CD5434">
        <w:t xml:space="preserve">Images: </w:t>
      </w:r>
      <w:r w:rsidR="001E2EE5">
        <w:t>Helen Harden and Alistair Moore</w:t>
      </w:r>
      <w:bookmarkStart w:id="0" w:name="_GoBack"/>
      <w:bookmarkEnd w:id="0"/>
    </w:p>
    <w:p w14:paraId="1F7338BE" w14:textId="77777777" w:rsidR="003117F6" w:rsidRPr="001C2E59" w:rsidRDefault="003117F6" w:rsidP="00026DEC">
      <w:pPr>
        <w:spacing w:after="180"/>
        <w:rPr>
          <w:b/>
          <w:color w:val="E36C0A" w:themeColor="accent6" w:themeShade="BF"/>
          <w:sz w:val="24"/>
        </w:rPr>
      </w:pPr>
      <w:r w:rsidRPr="001C2E59">
        <w:rPr>
          <w:b/>
          <w:color w:val="E36C0A" w:themeColor="accent6" w:themeShade="BF"/>
          <w:sz w:val="24"/>
        </w:rPr>
        <w:t>References</w:t>
      </w:r>
    </w:p>
    <w:p w14:paraId="07E5E122" w14:textId="77777777" w:rsidR="002B187A" w:rsidRPr="002B187A" w:rsidRDefault="002B187A" w:rsidP="002B187A">
      <w:pPr>
        <w:pStyle w:val="EndNoteBibliography"/>
      </w:pPr>
      <w:r>
        <w:fldChar w:fldCharType="begin"/>
      </w:r>
      <w:r>
        <w:instrText xml:space="preserve"> ADDIN EN.REFLIST </w:instrText>
      </w:r>
      <w:r>
        <w:fldChar w:fldCharType="separate"/>
      </w:r>
      <w:r w:rsidRPr="002B187A">
        <w:t xml:space="preserve">Andersson, B. (1990). Pupils' conceptions of matter and its transformations (age 12-16). </w:t>
      </w:r>
      <w:r w:rsidRPr="002B187A">
        <w:rPr>
          <w:i/>
        </w:rPr>
        <w:t>Studies in Science Education,</w:t>
      </w:r>
      <w:r w:rsidRPr="002B187A">
        <w:t xml:space="preserve"> 18</w:t>
      </w:r>
      <w:r w:rsidRPr="002B187A">
        <w:rPr>
          <w:b/>
        </w:rPr>
        <w:t>,</w:t>
      </w:r>
      <w:r w:rsidRPr="002B187A">
        <w:t xml:space="preserve"> 53-85.</w:t>
      </w:r>
    </w:p>
    <w:p w14:paraId="2254A492" w14:textId="0BC461BA" w:rsidR="00B46FF9" w:rsidRDefault="002B187A" w:rsidP="00E24309">
      <w:pPr>
        <w:spacing w:after="180"/>
      </w:pPr>
      <w: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49FB5" w14:textId="77777777" w:rsidR="00104D33" w:rsidRDefault="00104D33" w:rsidP="000B473B">
      <w:r>
        <w:separator/>
      </w:r>
    </w:p>
  </w:endnote>
  <w:endnote w:type="continuationSeparator" w:id="0">
    <w:p w14:paraId="11B21192" w14:textId="77777777" w:rsidR="00104D33" w:rsidRDefault="00104D3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4D788"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F40D33E" wp14:editId="04F4C89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04894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F6578">
      <w:rPr>
        <w:noProof/>
      </w:rPr>
      <w:t>2</w:t>
    </w:r>
    <w:r>
      <w:rPr>
        <w:noProof/>
      </w:rPr>
      <w:fldChar w:fldCharType="end"/>
    </w:r>
  </w:p>
  <w:p w14:paraId="7FFD5F9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3649D065"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04D58" w14:textId="77777777" w:rsidR="00104D33" w:rsidRDefault="00104D33" w:rsidP="000B473B">
      <w:r>
        <w:separator/>
      </w:r>
    </w:p>
  </w:footnote>
  <w:footnote w:type="continuationSeparator" w:id="0">
    <w:p w14:paraId="214F3F15" w14:textId="77777777" w:rsidR="00104D33" w:rsidRDefault="00104D3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8E2B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4214F13" wp14:editId="2CE363DF">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A7B1EEE" wp14:editId="505E5DC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3274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42C0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DC0253E" wp14:editId="0F6193F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D7544EA" wp14:editId="06E19FF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D5BD6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9387E"/>
    <w:rsid w:val="00015578"/>
    <w:rsid w:val="00024731"/>
    <w:rsid w:val="00026DEC"/>
    <w:rsid w:val="000505CA"/>
    <w:rsid w:val="0007651D"/>
    <w:rsid w:val="0009089A"/>
    <w:rsid w:val="000947E2"/>
    <w:rsid w:val="00095E04"/>
    <w:rsid w:val="000B473B"/>
    <w:rsid w:val="000C437B"/>
    <w:rsid w:val="000D0E89"/>
    <w:rsid w:val="000E2689"/>
    <w:rsid w:val="000F432E"/>
    <w:rsid w:val="00104D33"/>
    <w:rsid w:val="00142613"/>
    <w:rsid w:val="00144DA7"/>
    <w:rsid w:val="0015356E"/>
    <w:rsid w:val="00161D3F"/>
    <w:rsid w:val="001915D4"/>
    <w:rsid w:val="00194675"/>
    <w:rsid w:val="001A1FED"/>
    <w:rsid w:val="001A40E2"/>
    <w:rsid w:val="001A410F"/>
    <w:rsid w:val="001C2E59"/>
    <w:rsid w:val="001C4805"/>
    <w:rsid w:val="001E2EE5"/>
    <w:rsid w:val="00201AC2"/>
    <w:rsid w:val="00214608"/>
    <w:rsid w:val="002178AC"/>
    <w:rsid w:val="0022547C"/>
    <w:rsid w:val="002514D8"/>
    <w:rsid w:val="0025410A"/>
    <w:rsid w:val="0027553E"/>
    <w:rsid w:val="0028012F"/>
    <w:rsid w:val="002828DF"/>
    <w:rsid w:val="00287876"/>
    <w:rsid w:val="00292C53"/>
    <w:rsid w:val="00294E22"/>
    <w:rsid w:val="002B187A"/>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16DF4"/>
    <w:rsid w:val="00524710"/>
    <w:rsid w:val="00555342"/>
    <w:rsid w:val="005560E2"/>
    <w:rsid w:val="005A452E"/>
    <w:rsid w:val="005A6EE7"/>
    <w:rsid w:val="005E07F2"/>
    <w:rsid w:val="005F1A7B"/>
    <w:rsid w:val="006355D8"/>
    <w:rsid w:val="00642ECD"/>
    <w:rsid w:val="006502A0"/>
    <w:rsid w:val="006772F5"/>
    <w:rsid w:val="0069387E"/>
    <w:rsid w:val="006A320F"/>
    <w:rsid w:val="006A4440"/>
    <w:rsid w:val="006B0615"/>
    <w:rsid w:val="006D166B"/>
    <w:rsid w:val="006F3279"/>
    <w:rsid w:val="00704AEE"/>
    <w:rsid w:val="00722F9A"/>
    <w:rsid w:val="00754539"/>
    <w:rsid w:val="00781BC6"/>
    <w:rsid w:val="007A03A4"/>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475E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1088B"/>
    <w:rsid w:val="00B23B31"/>
    <w:rsid w:val="00B23C7A"/>
    <w:rsid w:val="00B305F5"/>
    <w:rsid w:val="00B46FF9"/>
    <w:rsid w:val="00B75483"/>
    <w:rsid w:val="00BA7952"/>
    <w:rsid w:val="00BB44B4"/>
    <w:rsid w:val="00BF0BBF"/>
    <w:rsid w:val="00BF6C8A"/>
    <w:rsid w:val="00C05571"/>
    <w:rsid w:val="00C246CE"/>
    <w:rsid w:val="00C57FA2"/>
    <w:rsid w:val="00C80257"/>
    <w:rsid w:val="00CA6263"/>
    <w:rsid w:val="00CC2E4D"/>
    <w:rsid w:val="00CC78A5"/>
    <w:rsid w:val="00CC7B16"/>
    <w:rsid w:val="00CD5434"/>
    <w:rsid w:val="00CE15FE"/>
    <w:rsid w:val="00CF6578"/>
    <w:rsid w:val="00D02E15"/>
    <w:rsid w:val="00D14F44"/>
    <w:rsid w:val="00D278E8"/>
    <w:rsid w:val="00D421E8"/>
    <w:rsid w:val="00D44604"/>
    <w:rsid w:val="00D479B3"/>
    <w:rsid w:val="00D52283"/>
    <w:rsid w:val="00D524E5"/>
    <w:rsid w:val="00D72FEF"/>
    <w:rsid w:val="00D755FA"/>
    <w:rsid w:val="00D82A9F"/>
    <w:rsid w:val="00DC3D50"/>
    <w:rsid w:val="00DC4A4E"/>
    <w:rsid w:val="00DD1874"/>
    <w:rsid w:val="00DD63BD"/>
    <w:rsid w:val="00E03772"/>
    <w:rsid w:val="00E172C6"/>
    <w:rsid w:val="00E24309"/>
    <w:rsid w:val="00E53D82"/>
    <w:rsid w:val="00E9330A"/>
    <w:rsid w:val="00EE6B97"/>
    <w:rsid w:val="00F12C3B"/>
    <w:rsid w:val="00F26884"/>
    <w:rsid w:val="00F666D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AE9E"/>
  <w15:docId w15:val="{51C9EFD8-91BA-4D31-B79F-8542A875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B187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B187A"/>
    <w:rPr>
      <w:rFonts w:ascii="Calibri" w:hAnsi="Calibri" w:cs="Calibri"/>
      <w:noProof/>
      <w:lang w:val="en-US"/>
    </w:rPr>
  </w:style>
  <w:style w:type="paragraph" w:customStyle="1" w:styleId="EndNoteBibliography">
    <w:name w:val="EndNote Bibliography"/>
    <w:basedOn w:val="Normal"/>
    <w:link w:val="EndNoteBibliographyChar"/>
    <w:rsid w:val="002B187A"/>
    <w:rPr>
      <w:rFonts w:ascii="Calibri" w:hAnsi="Calibri" w:cs="Calibri"/>
      <w:noProof/>
      <w:lang w:val="en-US"/>
    </w:rPr>
  </w:style>
  <w:style w:type="character" w:customStyle="1" w:styleId="EndNoteBibliographyChar">
    <w:name w:val="EndNote Bibliography Char"/>
    <w:basedOn w:val="DefaultParagraphFont"/>
    <w:link w:val="EndNoteBibliography"/>
    <w:rsid w:val="002B187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826423">
      <w:bodyDiv w:val="1"/>
      <w:marLeft w:val="0"/>
      <w:marRight w:val="0"/>
      <w:marTop w:val="0"/>
      <w:marBottom w:val="0"/>
      <w:divBdr>
        <w:top w:val="none" w:sz="0" w:space="0" w:color="auto"/>
        <w:left w:val="none" w:sz="0" w:space="0" w:color="auto"/>
        <w:bottom w:val="none" w:sz="0" w:space="0" w:color="auto"/>
        <w:right w:val="none" w:sz="0" w:space="0" w:color="auto"/>
      </w:divBdr>
    </w:div>
    <w:div w:id="9303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43</TotalTime>
  <Pages>4</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2018-12-03T11:58:00Z</cp:lastPrinted>
  <dcterms:created xsi:type="dcterms:W3CDTF">2018-10-18T11:50:00Z</dcterms:created>
  <dcterms:modified xsi:type="dcterms:W3CDTF">2018-12-03T13:40:00Z</dcterms:modified>
</cp:coreProperties>
</file>