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C0CC8" w14:textId="6753BD2A" w:rsidR="00201AC2" w:rsidRPr="001A40E2" w:rsidRDefault="00BC56A0" w:rsidP="00201AC2">
      <w:pPr>
        <w:spacing w:after="180"/>
        <w:rPr>
          <w:b/>
          <w:sz w:val="44"/>
          <w:szCs w:val="44"/>
        </w:rPr>
      </w:pPr>
      <w:r w:rsidRPr="0099690A">
        <w:rPr>
          <w:b/>
          <w:sz w:val="44"/>
          <w:szCs w:val="44"/>
        </w:rPr>
        <w:t>Counter arguments</w:t>
      </w:r>
    </w:p>
    <w:p w14:paraId="1CD4C1C4" w14:textId="77777777" w:rsidR="001B0447" w:rsidRPr="001B0447" w:rsidRDefault="001B0447" w:rsidP="001B0447">
      <w:pPr>
        <w:spacing w:after="180"/>
      </w:pPr>
      <w:r w:rsidRPr="001B0447">
        <w:rPr>
          <w:lang w:val="en-US"/>
        </w:rPr>
        <w:t>Some students carry out an experiment in front of their class and teacher.</w:t>
      </w:r>
    </w:p>
    <w:p w14:paraId="291A2EDB" w14:textId="77777777" w:rsidR="001B0447" w:rsidRPr="001B0447" w:rsidRDefault="001B0447" w:rsidP="001B0447">
      <w:pPr>
        <w:spacing w:after="180"/>
      </w:pPr>
      <w:r w:rsidRPr="001B0447">
        <w:rPr>
          <w:lang w:val="en-US"/>
        </w:rPr>
        <w:t>Substance A is white. Alia places it into a small glass jar.</w:t>
      </w:r>
    </w:p>
    <w:p w14:paraId="6C84594E" w14:textId="326579BF" w:rsidR="001B0447" w:rsidRDefault="001B0447" w:rsidP="001B0447">
      <w:pPr>
        <w:spacing w:after="180"/>
        <w:rPr>
          <w:lang w:val="en-US"/>
        </w:rPr>
      </w:pPr>
      <w:r w:rsidRPr="001B0447">
        <w:rPr>
          <w:lang w:val="en-US"/>
        </w:rPr>
        <w:t>Substance B is also white. Daniel places this compound into the same jar.</w:t>
      </w:r>
    </w:p>
    <w:p w14:paraId="79FC6887" w14:textId="2E438EE9" w:rsidR="001B0447" w:rsidRPr="001B0447" w:rsidRDefault="001B0447" w:rsidP="001B0447">
      <w:pPr>
        <w:spacing w:after="180"/>
      </w:pPr>
      <w:r w:rsidRPr="001B0447">
        <w:rPr>
          <w:noProof/>
        </w:rPr>
        <w:drawing>
          <wp:inline distT="0" distB="0" distL="0" distR="0" wp14:anchorId="70CE5948" wp14:editId="0DBB7B88">
            <wp:extent cx="716280" cy="979170"/>
            <wp:effectExtent l="1905" t="0" r="9525" b="9525"/>
            <wp:docPr id="8" name="Picture 7">
              <a:extLst xmlns:a="http://schemas.openxmlformats.org/drawingml/2006/main">
                <a:ext uri="{FF2B5EF4-FFF2-40B4-BE49-F238E27FC236}">
                  <a16:creationId xmlns:a16="http://schemas.microsoft.com/office/drawing/2014/main" id="{B21217C7-833C-4480-9C3D-D12EBD9C6FB7}"/>
                </a:ext>
              </a:extLst>
            </wp:docPr>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B21217C7-833C-4480-9C3D-D12EBD9C6FB7}"/>
                        </a:ext>
                      </a:extLst>
                    </pic:cNvPr>
                    <pic:cNvPicPr/>
                  </pic:nvPicPr>
                  <pic:blipFill rotWithShape="1">
                    <a:blip r:embed="rId8" cstate="print">
                      <a:extLst>
                        <a:ext uri="{28A0092B-C50C-407E-A947-70E740481C1C}">
                          <a14:useLocalDpi xmlns:a14="http://schemas.microsoft.com/office/drawing/2010/main" val="0"/>
                        </a:ext>
                      </a:extLst>
                    </a:blip>
                    <a:srcRect l="28767" t="16743" r="42007" b="31501"/>
                    <a:stretch/>
                  </pic:blipFill>
                  <pic:spPr bwMode="auto">
                    <a:xfrm rot="5400000">
                      <a:off x="0" y="0"/>
                      <a:ext cx="716280" cy="979170"/>
                    </a:xfrm>
                    <a:prstGeom prst="rect">
                      <a:avLst/>
                    </a:prstGeom>
                    <a:ln>
                      <a:noFill/>
                    </a:ln>
                    <a:extLst>
                      <a:ext uri="{53640926-AAD7-44D8-BBD7-CCE9431645EC}">
                        <a14:shadowObscured xmlns:a14="http://schemas.microsoft.com/office/drawing/2010/main"/>
                      </a:ext>
                    </a:extLst>
                  </pic:spPr>
                </pic:pic>
              </a:graphicData>
            </a:graphic>
          </wp:inline>
        </w:drawing>
      </w:r>
    </w:p>
    <w:p w14:paraId="2C62E5B2" w14:textId="77777777" w:rsidR="001B0447" w:rsidRPr="001B0447" w:rsidRDefault="001B0447" w:rsidP="001B0447">
      <w:pPr>
        <w:spacing w:after="180"/>
      </w:pPr>
      <w:r w:rsidRPr="001B0447">
        <w:rPr>
          <w:lang w:val="en-US"/>
        </w:rPr>
        <w:t>Alia places a lid on the jar and shakes it.</w:t>
      </w:r>
    </w:p>
    <w:p w14:paraId="6912A7EA" w14:textId="30E1FE83" w:rsidR="001B0447" w:rsidRDefault="001B0447" w:rsidP="001B0447">
      <w:pPr>
        <w:spacing w:after="180"/>
        <w:rPr>
          <w:lang w:val="en-US"/>
        </w:rPr>
      </w:pPr>
      <w:r w:rsidRPr="001B0447">
        <w:rPr>
          <w:lang w:val="en-US"/>
        </w:rPr>
        <w:t>After 6 shakes, a yellow colour appears.</w:t>
      </w:r>
    </w:p>
    <w:p w14:paraId="68EDC027" w14:textId="09A45585" w:rsidR="001B0447" w:rsidRPr="001B0447" w:rsidRDefault="001B0447" w:rsidP="001B0447">
      <w:pPr>
        <w:spacing w:after="180"/>
      </w:pPr>
      <w:r w:rsidRPr="001B0447">
        <w:rPr>
          <w:noProof/>
        </w:rPr>
        <w:drawing>
          <wp:inline distT="0" distB="0" distL="0" distR="0" wp14:anchorId="00719873" wp14:editId="017EFB08">
            <wp:extent cx="648970" cy="1113155"/>
            <wp:effectExtent l="0" t="3493" r="0" b="0"/>
            <wp:docPr id="7" name="Picture 8">
              <a:extLst xmlns:a="http://schemas.openxmlformats.org/drawingml/2006/main">
                <a:ext uri="{FF2B5EF4-FFF2-40B4-BE49-F238E27FC236}">
                  <a16:creationId xmlns:a16="http://schemas.microsoft.com/office/drawing/2014/main" id="{585808AF-53CE-4068-8867-26DEE94DF451}"/>
                </a:ext>
              </a:extLst>
            </wp:docPr>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585808AF-53CE-4068-8867-26DEE94DF451}"/>
                        </a:ext>
                      </a:extLst>
                    </pic:cNvPr>
                    <pic:cNvPicPr/>
                  </pic:nvPicPr>
                  <pic:blipFill rotWithShape="1">
                    <a:blip r:embed="rId9" cstate="print">
                      <a:extLst>
                        <a:ext uri="{28A0092B-C50C-407E-A947-70E740481C1C}">
                          <a14:useLocalDpi xmlns:a14="http://schemas.microsoft.com/office/drawing/2010/main" val="0"/>
                        </a:ext>
                      </a:extLst>
                    </a:blip>
                    <a:srcRect l="53507" t="8034"/>
                    <a:stretch/>
                  </pic:blipFill>
                  <pic:spPr bwMode="auto">
                    <a:xfrm rot="5400000">
                      <a:off x="0" y="0"/>
                      <a:ext cx="648970" cy="1113155"/>
                    </a:xfrm>
                    <a:prstGeom prst="rect">
                      <a:avLst/>
                    </a:prstGeom>
                    <a:ln>
                      <a:noFill/>
                    </a:ln>
                    <a:extLst>
                      <a:ext uri="{53640926-AAD7-44D8-BBD7-CCE9431645EC}">
                        <a14:shadowObscured xmlns:a14="http://schemas.microsoft.com/office/drawing/2010/main"/>
                      </a:ext>
                    </a:extLst>
                  </pic:spPr>
                </pic:pic>
              </a:graphicData>
            </a:graphic>
          </wp:inline>
        </w:drawing>
      </w:r>
    </w:p>
    <w:p w14:paraId="738ED44F" w14:textId="6C7E803E" w:rsidR="00B23B31" w:rsidRDefault="0099690A" w:rsidP="00201AC2">
      <w:pPr>
        <w:spacing w:after="180"/>
      </w:pPr>
      <w:r>
        <w:t>The teacher asks the students “Which of you has added a yellow substance to the test tube?”</w:t>
      </w:r>
    </w:p>
    <w:p w14:paraId="4723CC5D" w14:textId="0D9FA403" w:rsidR="0099690A" w:rsidRDefault="0099690A" w:rsidP="00201AC2">
      <w:pPr>
        <w:spacing w:after="180"/>
      </w:pPr>
      <w:r w:rsidRPr="0099690A">
        <w:t xml:space="preserve">Look at the students’ replies. </w:t>
      </w:r>
    </w:p>
    <w:p w14:paraId="4063B300" w14:textId="74FFCE9D" w:rsidR="001B0447" w:rsidRPr="0099690A" w:rsidRDefault="003853D4" w:rsidP="00201AC2">
      <w:pPr>
        <w:spacing w:after="180"/>
      </w:pPr>
      <w:r>
        <w:rPr>
          <w:noProof/>
        </w:rPr>
        <w:drawing>
          <wp:inline distT="0" distB="0" distL="0" distR="0" wp14:anchorId="14A66422" wp14:editId="6C600451">
            <wp:extent cx="5731510" cy="288290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882900"/>
                    </a:xfrm>
                    <a:prstGeom prst="rect">
                      <a:avLst/>
                    </a:prstGeom>
                  </pic:spPr>
                </pic:pic>
              </a:graphicData>
            </a:graphic>
          </wp:inline>
        </w:drawing>
      </w:r>
    </w:p>
    <w:p w14:paraId="30A9184D" w14:textId="0A7254DF" w:rsidR="00201AC2" w:rsidRPr="0099690A" w:rsidRDefault="001B0447" w:rsidP="00201AC2">
      <w:pPr>
        <w:pStyle w:val="ListParagraph"/>
        <w:numPr>
          <w:ilvl w:val="0"/>
          <w:numId w:val="2"/>
        </w:numPr>
        <w:spacing w:after="180"/>
        <w:ind w:left="567" w:hanging="567"/>
        <w:contextualSpacing w:val="0"/>
      </w:pPr>
      <w:r>
        <w:t>Who</w:t>
      </w:r>
      <w:r w:rsidR="00D028D5">
        <w:t xml:space="preserve"> do you think gives </w:t>
      </w:r>
      <w:r w:rsidR="003853D4">
        <w:t xml:space="preserve">a </w:t>
      </w:r>
      <w:r w:rsidR="00D028D5">
        <w:t>scientifically correct argument, and why?</w:t>
      </w:r>
    </w:p>
    <w:p w14:paraId="7F9D59D4" w14:textId="1E6D5AD5" w:rsidR="0099690A" w:rsidRPr="0099690A" w:rsidRDefault="0099690A" w:rsidP="00201AC2">
      <w:pPr>
        <w:pStyle w:val="ListParagraph"/>
        <w:numPr>
          <w:ilvl w:val="0"/>
          <w:numId w:val="2"/>
        </w:numPr>
        <w:spacing w:after="180"/>
        <w:ind w:left="567" w:hanging="567"/>
        <w:contextualSpacing w:val="0"/>
      </w:pPr>
      <w:r w:rsidRPr="0099690A">
        <w:t xml:space="preserve">For each of the other ideas </w:t>
      </w:r>
      <w:r w:rsidR="00D028D5">
        <w:t>create</w:t>
      </w:r>
      <w:r w:rsidRPr="0099690A">
        <w:t xml:space="preserve"> a counter argument</w:t>
      </w:r>
      <w:r w:rsidR="001B0447">
        <w:t>. Your argument should explain to the student</w:t>
      </w:r>
      <w:r w:rsidRPr="0099690A">
        <w:t xml:space="preserve"> why their reply is not scientifically correct.</w:t>
      </w:r>
    </w:p>
    <w:p w14:paraId="6216131E" w14:textId="77777777" w:rsidR="002F41B2" w:rsidRDefault="002F41B2" w:rsidP="002F41B2">
      <w:pPr>
        <w:spacing w:after="180"/>
      </w:pPr>
    </w:p>
    <w:p w14:paraId="6D410A21" w14:textId="77777777"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732E7578" w14:textId="55CA3F3E"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99690A">
        <w:rPr>
          <w:i/>
          <w:sz w:val="18"/>
          <w:szCs w:val="18"/>
        </w:rPr>
        <w:t>CCR: Chemical reactions</w:t>
      </w:r>
      <w:r>
        <w:rPr>
          <w:i/>
          <w:sz w:val="18"/>
          <w:szCs w:val="18"/>
        </w:rPr>
        <w:t xml:space="preserve"> &gt; Topic </w:t>
      </w:r>
      <w:r w:rsidR="0099690A">
        <w:rPr>
          <w:i/>
          <w:sz w:val="18"/>
          <w:szCs w:val="18"/>
        </w:rPr>
        <w:t>CCR1: Chemical change</w:t>
      </w:r>
      <w:r w:rsidRPr="00CA4B46">
        <w:rPr>
          <w:i/>
          <w:sz w:val="18"/>
          <w:szCs w:val="18"/>
        </w:rPr>
        <w:t xml:space="preserve"> &gt; </w:t>
      </w:r>
      <w:r>
        <w:rPr>
          <w:i/>
          <w:sz w:val="18"/>
          <w:szCs w:val="18"/>
        </w:rPr>
        <w:t>Key concept</w:t>
      </w:r>
      <w:r w:rsidRPr="00CA4B46">
        <w:rPr>
          <w:i/>
          <w:sz w:val="18"/>
          <w:szCs w:val="18"/>
        </w:rPr>
        <w:t xml:space="preserve"> </w:t>
      </w:r>
      <w:r w:rsidR="0099690A">
        <w:rPr>
          <w:i/>
          <w:sz w:val="18"/>
          <w:szCs w:val="18"/>
        </w:rPr>
        <w:t>CCR1.1: Formation of new substances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19B5D20" w14:textId="77777777" w:rsidTr="001C2E59">
        <w:tc>
          <w:tcPr>
            <w:tcW w:w="12021" w:type="dxa"/>
            <w:shd w:val="clear" w:color="auto" w:fill="FABF8F" w:themeFill="accent6" w:themeFillTint="99"/>
          </w:tcPr>
          <w:p w14:paraId="585D6292"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7194CE81" w14:textId="77777777" w:rsidTr="001C2E59">
        <w:tc>
          <w:tcPr>
            <w:tcW w:w="12021" w:type="dxa"/>
            <w:shd w:val="clear" w:color="auto" w:fill="FBD4B4" w:themeFill="accent6" w:themeFillTint="66"/>
          </w:tcPr>
          <w:p w14:paraId="10503F30" w14:textId="033F1C2E" w:rsidR="006F3279" w:rsidRPr="00CA4B46" w:rsidRDefault="0099690A" w:rsidP="006F3279">
            <w:pPr>
              <w:spacing w:after="60"/>
              <w:ind w:left="1304"/>
              <w:rPr>
                <w:b/>
                <w:sz w:val="40"/>
                <w:szCs w:val="40"/>
              </w:rPr>
            </w:pPr>
            <w:r w:rsidRPr="0099690A">
              <w:rPr>
                <w:b/>
                <w:sz w:val="40"/>
                <w:szCs w:val="40"/>
              </w:rPr>
              <w:t>Counter arguments</w:t>
            </w:r>
          </w:p>
        </w:tc>
      </w:tr>
    </w:tbl>
    <w:p w14:paraId="74C3224C" w14:textId="77777777" w:rsidR="006F3279" w:rsidRDefault="006F3279" w:rsidP="00E172C6">
      <w:pPr>
        <w:spacing w:after="180"/>
        <w:rPr>
          <w:b/>
        </w:rPr>
      </w:pPr>
    </w:p>
    <w:p w14:paraId="7D07AC20"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rsidRPr="0099690A" w14:paraId="69FDCA92" w14:textId="77777777" w:rsidTr="003F16F9">
        <w:trPr>
          <w:trHeight w:val="340"/>
        </w:trPr>
        <w:tc>
          <w:tcPr>
            <w:tcW w:w="2196" w:type="dxa"/>
          </w:tcPr>
          <w:p w14:paraId="2A6344D5" w14:textId="77777777" w:rsidR="006A320F" w:rsidRPr="0099690A" w:rsidRDefault="006A320F" w:rsidP="006A320F">
            <w:pPr>
              <w:spacing w:before="60" w:after="60"/>
            </w:pPr>
            <w:r w:rsidRPr="0099690A">
              <w:t>Learning objective:</w:t>
            </w:r>
          </w:p>
        </w:tc>
        <w:tc>
          <w:tcPr>
            <w:tcW w:w="6820" w:type="dxa"/>
          </w:tcPr>
          <w:p w14:paraId="3D5466F0" w14:textId="1D1CD892" w:rsidR="006A320F" w:rsidRPr="0099690A" w:rsidRDefault="0099690A" w:rsidP="006A320F">
            <w:pPr>
              <w:spacing w:before="60" w:after="60"/>
            </w:pPr>
            <w:r w:rsidRPr="0099690A">
              <w:t>During a chemical reaction a new substance (or substances) are formed</w:t>
            </w:r>
            <w:r w:rsidR="003853D4">
              <w:t xml:space="preserve"> with different properties</w:t>
            </w:r>
            <w:r w:rsidRPr="0099690A">
              <w:t>.</w:t>
            </w:r>
          </w:p>
        </w:tc>
      </w:tr>
      <w:tr w:rsidR="006A320F" w:rsidRPr="0099690A" w14:paraId="60C38761" w14:textId="77777777" w:rsidTr="003F16F9">
        <w:trPr>
          <w:trHeight w:val="340"/>
        </w:trPr>
        <w:tc>
          <w:tcPr>
            <w:tcW w:w="2196" w:type="dxa"/>
          </w:tcPr>
          <w:p w14:paraId="48512485" w14:textId="77777777" w:rsidR="006A320F" w:rsidRPr="0099690A" w:rsidRDefault="006A320F" w:rsidP="006A320F">
            <w:pPr>
              <w:spacing w:before="60" w:after="60"/>
            </w:pPr>
            <w:r w:rsidRPr="0099690A">
              <w:t>Observable learning outcome:</w:t>
            </w:r>
          </w:p>
        </w:tc>
        <w:tc>
          <w:tcPr>
            <w:tcW w:w="6820" w:type="dxa"/>
          </w:tcPr>
          <w:p w14:paraId="6BF2E837" w14:textId="6E9CE12F" w:rsidR="006A320F" w:rsidRPr="0099690A" w:rsidRDefault="0099690A" w:rsidP="006A320F">
            <w:pPr>
              <w:spacing w:before="60" w:after="60"/>
            </w:pPr>
            <w:r w:rsidRPr="0099690A">
              <w:t>Explain observations of a chemical reaction in terms of the formation of a new substance or substances.</w:t>
            </w:r>
          </w:p>
        </w:tc>
      </w:tr>
      <w:tr w:rsidR="006A320F" w:rsidRPr="0099690A" w14:paraId="6A9BFFA7" w14:textId="77777777" w:rsidTr="003F16F9">
        <w:trPr>
          <w:trHeight w:val="340"/>
        </w:trPr>
        <w:tc>
          <w:tcPr>
            <w:tcW w:w="2196" w:type="dxa"/>
          </w:tcPr>
          <w:p w14:paraId="482D88C0" w14:textId="77777777" w:rsidR="006A320F" w:rsidRPr="0099690A" w:rsidRDefault="00E03772" w:rsidP="006A320F">
            <w:pPr>
              <w:spacing w:before="60" w:after="60"/>
            </w:pPr>
            <w:r w:rsidRPr="0099690A">
              <w:t>Activity</w:t>
            </w:r>
            <w:r w:rsidR="006A320F" w:rsidRPr="0099690A">
              <w:t xml:space="preserve"> type:</w:t>
            </w:r>
          </w:p>
        </w:tc>
        <w:tc>
          <w:tcPr>
            <w:tcW w:w="6820" w:type="dxa"/>
          </w:tcPr>
          <w:p w14:paraId="15E418E6" w14:textId="57D4F880" w:rsidR="006A320F" w:rsidRPr="0099690A" w:rsidRDefault="0099690A" w:rsidP="006A320F">
            <w:pPr>
              <w:spacing w:before="60" w:after="60"/>
            </w:pPr>
            <w:r w:rsidRPr="0099690A">
              <w:t>talking heads</w:t>
            </w:r>
          </w:p>
        </w:tc>
      </w:tr>
      <w:tr w:rsidR="006A320F" w14:paraId="200E984A" w14:textId="77777777" w:rsidTr="003F16F9">
        <w:trPr>
          <w:trHeight w:val="340"/>
        </w:trPr>
        <w:tc>
          <w:tcPr>
            <w:tcW w:w="2196" w:type="dxa"/>
          </w:tcPr>
          <w:p w14:paraId="7DAB8A2C" w14:textId="77777777" w:rsidR="006A320F" w:rsidRPr="0099690A" w:rsidRDefault="006A320F" w:rsidP="006A320F">
            <w:pPr>
              <w:spacing w:before="60" w:after="60"/>
            </w:pPr>
            <w:r w:rsidRPr="0099690A">
              <w:t>Key words:</w:t>
            </w:r>
          </w:p>
        </w:tc>
        <w:tc>
          <w:tcPr>
            <w:tcW w:w="6820" w:type="dxa"/>
            <w:tcBorders>
              <w:bottom w:val="dotted" w:sz="4" w:space="0" w:color="auto"/>
            </w:tcBorders>
          </w:tcPr>
          <w:p w14:paraId="38E0B864" w14:textId="1DCA6851" w:rsidR="006A320F" w:rsidRDefault="0099690A" w:rsidP="006A320F">
            <w:pPr>
              <w:spacing w:before="60" w:after="60"/>
            </w:pPr>
            <w:r w:rsidRPr="0099690A">
              <w:t>substance</w:t>
            </w:r>
          </w:p>
        </w:tc>
      </w:tr>
    </w:tbl>
    <w:p w14:paraId="6AF51F0E" w14:textId="77777777" w:rsidR="00E172C6" w:rsidRDefault="00E172C6" w:rsidP="00E172C6">
      <w:pPr>
        <w:spacing w:after="180"/>
      </w:pPr>
    </w:p>
    <w:p w14:paraId="58B54390" w14:textId="60303C9D" w:rsidR="006A320F" w:rsidRPr="0099690A" w:rsidRDefault="006A320F" w:rsidP="006A320F">
      <w:pPr>
        <w:spacing w:after="180"/>
      </w:pPr>
      <w:r>
        <w:t xml:space="preserve">This activity can help develop students’ understanding by addressing the </w:t>
      </w:r>
      <w:r w:rsidR="003853D4">
        <w:t>misunderstandings</w:t>
      </w:r>
      <w:r>
        <w:t xml:space="preserve"> revealed by the </w:t>
      </w:r>
      <w:r w:rsidRPr="0099690A">
        <w:t>following diagnostic question:</w:t>
      </w:r>
    </w:p>
    <w:p w14:paraId="3CEDBF4F" w14:textId="3A8820F1" w:rsidR="00456227" w:rsidRPr="0099690A" w:rsidRDefault="0099690A" w:rsidP="00456227">
      <w:pPr>
        <w:pStyle w:val="ListParagraph"/>
        <w:numPr>
          <w:ilvl w:val="0"/>
          <w:numId w:val="1"/>
        </w:numPr>
        <w:spacing w:after="180"/>
      </w:pPr>
      <w:r w:rsidRPr="0099690A">
        <w:t>Colour change</w:t>
      </w:r>
    </w:p>
    <w:p w14:paraId="19D55F07"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6540431E" w14:textId="5FB60079" w:rsidR="004602D9" w:rsidRPr="004B3CB8" w:rsidRDefault="004602D9" w:rsidP="004602D9">
      <w:pPr>
        <w:spacing w:after="180"/>
      </w:pPr>
      <w:r w:rsidRPr="00003D10">
        <w:t xml:space="preserve">This activity was inspired by an article from the Journal of Chemical Education </w:t>
      </w:r>
      <w:r w:rsidRPr="00003D10">
        <w:fldChar w:fldCharType="begin"/>
      </w:r>
      <w:r w:rsidRPr="00003D10">
        <w:instrText xml:space="preserve"> ADDIN EN.CITE &lt;EndNote&gt;&lt;Cite&gt;&lt;Author&gt;de Vos&lt;/Author&gt;&lt;Year&gt;1985&lt;/Year&gt;&lt;IDText&gt;A new road to reactions (part 1)&lt;/IDText&gt;&lt;DisplayText&gt;(de Vos and Verdonk, 1985)&lt;/DisplayText&gt;&lt;record&gt;&lt;titles&gt;&lt;title&gt;A new road to reactions (part 1)&lt;/title&gt;&lt;secondary-title&gt;Journal of Chemical Education&lt;/secondary-title&gt;&lt;/titles&gt;&lt;pages&gt;238-240&lt;/pages&gt;&lt;number&gt;3&lt;/number&gt;&lt;contributors&gt;&lt;authors&gt;&lt;author&gt;de Vos, Wobbe&lt;/author&gt;&lt;author&gt;Verdonk, Adri H.&lt;/author&gt;&lt;/authors&gt;&lt;/contributors&gt;&lt;added-date format="utc"&gt;1537267421&lt;/added-date&gt;&lt;ref-type name="Journal Article"&gt;17&lt;/ref-type&gt;&lt;dates&gt;&lt;year&gt;1985&lt;/year&gt;&lt;/dates&gt;&lt;rec-number&gt;23&lt;/rec-number&gt;&lt;last-updated-date format="utc"&gt;1537267497&lt;/last-updated-date&gt;&lt;volume&gt;62&lt;/volume&gt;&lt;/record&gt;&lt;/Cite&gt;&lt;/EndNote&gt;</w:instrText>
      </w:r>
      <w:r w:rsidRPr="00003D10">
        <w:fldChar w:fldCharType="separate"/>
      </w:r>
      <w:r w:rsidRPr="00003D10">
        <w:rPr>
          <w:noProof/>
        </w:rPr>
        <w:t>(de Vos and Verdonk, 1985)</w:t>
      </w:r>
      <w:r w:rsidRPr="00003D10">
        <w:fldChar w:fldCharType="end"/>
      </w:r>
      <w:r w:rsidRPr="00003D10">
        <w:t>.</w:t>
      </w:r>
      <w:r>
        <w:t xml:space="preserve"> The spectacular nature of some chemical reactions (for example burning magnesium) were thought to ‘distract’ students from observations relating to the formation of a new substance. </w:t>
      </w:r>
      <w:r w:rsidR="001B0447" w:rsidRPr="00003D10">
        <w:t xml:space="preserve">The solid-solid reaction between lead nitrate and potassium iodide was chosen because it </w:t>
      </w:r>
      <w:r w:rsidR="001B0447">
        <w:t xml:space="preserve">results in the appearance of a yellow colour and </w:t>
      </w:r>
      <w:r w:rsidR="001B0447" w:rsidRPr="00003D10">
        <w:t>does not</w:t>
      </w:r>
      <w:r w:rsidR="001B0447">
        <w:t xml:space="preserve"> display any other ‘distracting’ phenomena. </w:t>
      </w:r>
      <w:r>
        <w:t xml:space="preserve">The research found that students were often very reluctant to attribute the colour change to the formation of a new substance. Instead they created other explanations to account for </w:t>
      </w:r>
      <w:r w:rsidRPr="004B3CB8">
        <w:t>this observation.</w:t>
      </w:r>
    </w:p>
    <w:p w14:paraId="15A9B44C" w14:textId="77777777" w:rsidR="001B0447" w:rsidRPr="004B3CB8" w:rsidRDefault="004602D9" w:rsidP="001B0447">
      <w:pPr>
        <w:spacing w:after="180"/>
      </w:pPr>
      <w:r w:rsidRPr="004B3CB8">
        <w:t xml:space="preserve">A summary of research into students’ conceptions of matter </w:t>
      </w:r>
      <w:r>
        <w:fldChar w:fldCharType="begin"/>
      </w:r>
      <w:r>
        <w:instrText xml:space="preserve"> ADDIN EN.CITE &lt;EndNote&gt;&lt;Cite&gt;&lt;Author&gt;Andersson&lt;/Author&gt;&lt;Year&gt;1990&lt;/Year&gt;&lt;IDText&gt;Pupils&amp;apos; conceptions of matter and its transformations (age 12-16)&lt;/IDText&gt;&lt;DisplayText&gt;(Andersson, 1990)&lt;/DisplayText&gt;&lt;record&gt;&lt;titles&gt;&lt;title&gt;Pupils&amp;apos; conceptions of matter and its transformations (age 12-16)&lt;/title&gt;&lt;secondary-title&gt;Studies in Science Education&lt;/secondary-title&gt;&lt;/titles&gt;&lt;pages&gt;53-85&lt;/pages&gt;&lt;contributors&gt;&lt;authors&gt;&lt;author&gt;Andersson, Björn&lt;/author&gt;&lt;/authors&gt;&lt;/contributors&gt;&lt;added-date format="utc"&gt;1536935305&lt;/added-date&gt;&lt;ref-type name="Journal Article"&gt;17&lt;/ref-type&gt;&lt;dates&gt;&lt;year&gt;1990&lt;/year&gt;&lt;/dates&gt;&lt;rec-number&gt;22&lt;/rec-number&gt;&lt;last-updated-date format="utc"&gt;1537268574&lt;/last-updated-date&gt;&lt;volume&gt;18&lt;/volume&gt;&lt;/record&gt;&lt;/Cite&gt;&lt;/EndNote&gt;</w:instrText>
      </w:r>
      <w:r>
        <w:fldChar w:fldCharType="separate"/>
      </w:r>
      <w:r>
        <w:rPr>
          <w:noProof/>
        </w:rPr>
        <w:t>(Andersson, 1990)</w:t>
      </w:r>
      <w:r>
        <w:fldChar w:fldCharType="end"/>
      </w:r>
      <w:r>
        <w:t xml:space="preserve"> </w:t>
      </w:r>
      <w:r w:rsidRPr="004B3CB8">
        <w:t xml:space="preserve">developed five categories of the types of answers students gave when explaining chemical reactions, only the last is scientifically correct. </w:t>
      </w:r>
      <w:r w:rsidR="001B0447">
        <w:t xml:space="preserve">Many of the explanations provided </w:t>
      </w:r>
      <w:r w:rsidR="001B0447" w:rsidRPr="004B3CB8">
        <w:t>by students attempting to explain the appearance of the yellow colour</w:t>
      </w:r>
      <w:r w:rsidR="001B0447">
        <w:t xml:space="preserve"> fall into one of these categories.</w:t>
      </w:r>
    </w:p>
    <w:tbl>
      <w:tblPr>
        <w:tblStyle w:val="TableGrid"/>
        <w:tblW w:w="0" w:type="auto"/>
        <w:tblLook w:val="04A0" w:firstRow="1" w:lastRow="0" w:firstColumn="1" w:lastColumn="0" w:noHBand="0" w:noVBand="1"/>
      </w:tblPr>
      <w:tblGrid>
        <w:gridCol w:w="1520"/>
        <w:gridCol w:w="4055"/>
        <w:gridCol w:w="3441"/>
      </w:tblGrid>
      <w:tr w:rsidR="001B0447" w14:paraId="2FF62A86" w14:textId="77777777" w:rsidTr="00B81E88">
        <w:tc>
          <w:tcPr>
            <w:tcW w:w="1520" w:type="dxa"/>
          </w:tcPr>
          <w:p w14:paraId="7FF8751F" w14:textId="77777777" w:rsidR="001B0447" w:rsidRPr="00AD7E96" w:rsidRDefault="001B0447" w:rsidP="00B81E88">
            <w:pPr>
              <w:spacing w:after="180"/>
              <w:rPr>
                <w:b/>
              </w:rPr>
            </w:pPr>
            <w:r w:rsidRPr="00AD7E96">
              <w:rPr>
                <w:b/>
              </w:rPr>
              <w:t>Category of explanation</w:t>
            </w:r>
          </w:p>
        </w:tc>
        <w:tc>
          <w:tcPr>
            <w:tcW w:w="4055" w:type="dxa"/>
          </w:tcPr>
          <w:p w14:paraId="79B222F0" w14:textId="77777777" w:rsidR="001B0447" w:rsidRPr="00AD7E96" w:rsidRDefault="001B0447" w:rsidP="00B81E88">
            <w:pPr>
              <w:spacing w:after="180"/>
              <w:rPr>
                <w:b/>
              </w:rPr>
            </w:pPr>
            <w:r>
              <w:rPr>
                <w:b/>
              </w:rPr>
              <w:t>Description</w:t>
            </w:r>
          </w:p>
        </w:tc>
        <w:tc>
          <w:tcPr>
            <w:tcW w:w="3441" w:type="dxa"/>
          </w:tcPr>
          <w:p w14:paraId="41F35AFB" w14:textId="77777777" w:rsidR="001B0447" w:rsidRPr="00AD7E96" w:rsidRDefault="001B0447" w:rsidP="00B81E88">
            <w:pPr>
              <w:spacing w:after="180"/>
              <w:rPr>
                <w:b/>
              </w:rPr>
            </w:pPr>
            <w:r>
              <w:rPr>
                <w:b/>
              </w:rPr>
              <w:t>Example</w:t>
            </w:r>
          </w:p>
        </w:tc>
      </w:tr>
      <w:tr w:rsidR="001B0447" w14:paraId="0B1E09FB" w14:textId="77777777" w:rsidTr="00B81E88">
        <w:tc>
          <w:tcPr>
            <w:tcW w:w="1520" w:type="dxa"/>
          </w:tcPr>
          <w:p w14:paraId="11CA1A45" w14:textId="77777777" w:rsidR="001B0447" w:rsidRPr="00AD7E96" w:rsidRDefault="001B0447" w:rsidP="00B81E88">
            <w:pPr>
              <w:spacing w:after="180"/>
            </w:pPr>
            <w:r>
              <w:t>d</w:t>
            </w:r>
            <w:r w:rsidRPr="00AD7E96">
              <w:t>isappearance</w:t>
            </w:r>
          </w:p>
        </w:tc>
        <w:tc>
          <w:tcPr>
            <w:tcW w:w="4055" w:type="dxa"/>
          </w:tcPr>
          <w:p w14:paraId="115E7667" w14:textId="7F4F970A" w:rsidR="001B0447" w:rsidRPr="00AD7E96" w:rsidRDefault="001B0447" w:rsidP="00B81E88">
            <w:pPr>
              <w:spacing w:after="180"/>
            </w:pPr>
            <w:r w:rsidRPr="00AD7E96">
              <w:t>The substance has simpl</w:t>
            </w:r>
            <w:r>
              <w:t>y</w:t>
            </w:r>
            <w:r w:rsidRPr="00AD7E96">
              <w:t xml:space="preserve"> gone</w:t>
            </w:r>
            <w:r w:rsidR="003F103E">
              <w:t>.</w:t>
            </w:r>
            <w:bookmarkStart w:id="0" w:name="_GoBack"/>
            <w:bookmarkEnd w:id="0"/>
          </w:p>
        </w:tc>
        <w:tc>
          <w:tcPr>
            <w:tcW w:w="3441" w:type="dxa"/>
          </w:tcPr>
          <w:p w14:paraId="6FF0FCC5" w14:textId="77777777" w:rsidR="001B0447" w:rsidRPr="00AD7E96" w:rsidRDefault="001B0447" w:rsidP="00B81E88">
            <w:pPr>
              <w:spacing w:after="180"/>
            </w:pPr>
            <w:r>
              <w:t>P</w:t>
            </w:r>
            <w:r w:rsidRPr="00AD7E96">
              <w:t>etrol is ‘used up’.</w:t>
            </w:r>
          </w:p>
        </w:tc>
      </w:tr>
      <w:tr w:rsidR="001B0447" w14:paraId="733ABD7B" w14:textId="77777777" w:rsidTr="00B81E88">
        <w:tc>
          <w:tcPr>
            <w:tcW w:w="1520" w:type="dxa"/>
          </w:tcPr>
          <w:p w14:paraId="68DFA8F3" w14:textId="1D584E0D" w:rsidR="001B0447" w:rsidRDefault="003853D4" w:rsidP="00B81E88">
            <w:pPr>
              <w:spacing w:after="180"/>
            </w:pPr>
            <w:r>
              <w:t>D</w:t>
            </w:r>
            <w:r w:rsidR="001B0447" w:rsidRPr="00AD7E96">
              <w:t>isplacement</w:t>
            </w:r>
          </w:p>
          <w:p w14:paraId="1A7191C4" w14:textId="7FD38E73" w:rsidR="003853D4" w:rsidRPr="00AD7E96" w:rsidRDefault="003853D4" w:rsidP="00B81E88">
            <w:pPr>
              <w:spacing w:after="180"/>
            </w:pPr>
            <w:r>
              <w:t>(movement)</w:t>
            </w:r>
          </w:p>
        </w:tc>
        <w:tc>
          <w:tcPr>
            <w:tcW w:w="4055" w:type="dxa"/>
          </w:tcPr>
          <w:p w14:paraId="11F1CCCB" w14:textId="77777777" w:rsidR="001B0447" w:rsidRPr="00AD7E96" w:rsidRDefault="001B0447" w:rsidP="00B81E88">
            <w:pPr>
              <w:spacing w:after="180"/>
            </w:pPr>
            <w:r w:rsidRPr="00AD7E96">
              <w:t>The new product has moved from somewhere else.</w:t>
            </w:r>
          </w:p>
          <w:p w14:paraId="044A5141" w14:textId="77777777" w:rsidR="001B0447" w:rsidRPr="00AD7E96" w:rsidRDefault="001B0447" w:rsidP="00B81E88">
            <w:pPr>
              <w:spacing w:after="180"/>
            </w:pPr>
          </w:p>
        </w:tc>
        <w:tc>
          <w:tcPr>
            <w:tcW w:w="3441" w:type="dxa"/>
          </w:tcPr>
          <w:p w14:paraId="321BE55C" w14:textId="77777777" w:rsidR="001B0447" w:rsidRPr="00AD7E96" w:rsidRDefault="001B0447" w:rsidP="00B81E88">
            <w:pPr>
              <w:spacing w:after="180"/>
            </w:pPr>
            <w:r w:rsidRPr="00AD7E96">
              <w:t>When solid lead nitrate and potassium iodide are mixed the yellow colour (lead iodide) comes out of the white grains of powder.</w:t>
            </w:r>
          </w:p>
        </w:tc>
      </w:tr>
      <w:tr w:rsidR="001B0447" w14:paraId="4E2FA227" w14:textId="77777777" w:rsidTr="00B81E88">
        <w:tc>
          <w:tcPr>
            <w:tcW w:w="1520" w:type="dxa"/>
          </w:tcPr>
          <w:p w14:paraId="2F840754" w14:textId="77777777" w:rsidR="001B0447" w:rsidRPr="00AD7E96" w:rsidRDefault="001B0447" w:rsidP="00B81E88">
            <w:pPr>
              <w:spacing w:after="180"/>
            </w:pPr>
            <w:r>
              <w:t>m</w:t>
            </w:r>
            <w:r w:rsidRPr="00AD7E96">
              <w:t>odification</w:t>
            </w:r>
          </w:p>
        </w:tc>
        <w:tc>
          <w:tcPr>
            <w:tcW w:w="4055" w:type="dxa"/>
          </w:tcPr>
          <w:p w14:paraId="7719EDDD" w14:textId="77777777" w:rsidR="001B0447" w:rsidRPr="00AD7E96" w:rsidRDefault="001B0447" w:rsidP="00B81E88">
            <w:pPr>
              <w:spacing w:after="180"/>
            </w:pPr>
            <w:r w:rsidRPr="00AD7E96">
              <w:t>The original substance keeps its identity</w:t>
            </w:r>
            <w:r>
              <w:t>,</w:t>
            </w:r>
            <w:r w:rsidRPr="00AD7E96">
              <w:t xml:space="preserve"> but its properties change.</w:t>
            </w:r>
          </w:p>
        </w:tc>
        <w:tc>
          <w:tcPr>
            <w:tcW w:w="3441" w:type="dxa"/>
          </w:tcPr>
          <w:p w14:paraId="38C73B03" w14:textId="77777777" w:rsidR="001B0447" w:rsidRPr="00AD7E96" w:rsidRDefault="001B0447" w:rsidP="00B81E88">
            <w:pPr>
              <w:spacing w:after="180"/>
            </w:pPr>
            <w:r w:rsidRPr="00AD7E96">
              <w:t>When alcohol burns it turns into alcohol vapour.</w:t>
            </w:r>
          </w:p>
        </w:tc>
      </w:tr>
      <w:tr w:rsidR="001B0447" w14:paraId="06881712" w14:textId="77777777" w:rsidTr="00B81E88">
        <w:tc>
          <w:tcPr>
            <w:tcW w:w="1520" w:type="dxa"/>
          </w:tcPr>
          <w:p w14:paraId="146C97A0" w14:textId="77777777" w:rsidR="001B0447" w:rsidRPr="00AD7E96" w:rsidRDefault="001B0447" w:rsidP="00B81E88">
            <w:pPr>
              <w:spacing w:after="180"/>
            </w:pPr>
            <w:r>
              <w:t>t</w:t>
            </w:r>
            <w:r w:rsidRPr="00AD7E96">
              <w:t>ransmutation</w:t>
            </w:r>
          </w:p>
        </w:tc>
        <w:tc>
          <w:tcPr>
            <w:tcW w:w="4055" w:type="dxa"/>
          </w:tcPr>
          <w:p w14:paraId="2501865B" w14:textId="77777777" w:rsidR="001B0447" w:rsidRPr="00AD7E96" w:rsidRDefault="001B0447" w:rsidP="00B81E88">
            <w:pPr>
              <w:spacing w:after="180"/>
            </w:pPr>
            <w:r>
              <w:t>A substance changes into another substance or a substance is changed (partly) into energy.</w:t>
            </w:r>
          </w:p>
        </w:tc>
        <w:tc>
          <w:tcPr>
            <w:tcW w:w="3441" w:type="dxa"/>
          </w:tcPr>
          <w:p w14:paraId="468C117F" w14:textId="77777777" w:rsidR="001B0447" w:rsidRDefault="001B0447" w:rsidP="00B81E88">
            <w:pPr>
              <w:spacing w:after="180"/>
            </w:pPr>
            <w:r>
              <w:t>When magnesium burns it turns into energy.</w:t>
            </w:r>
          </w:p>
        </w:tc>
      </w:tr>
      <w:tr w:rsidR="001B0447" w14:paraId="4B89FAA7" w14:textId="77777777" w:rsidTr="00B81E88">
        <w:tc>
          <w:tcPr>
            <w:tcW w:w="1520" w:type="dxa"/>
          </w:tcPr>
          <w:p w14:paraId="2DE9D087" w14:textId="77777777" w:rsidR="001B0447" w:rsidRDefault="001B0447" w:rsidP="00B81E88">
            <w:pPr>
              <w:spacing w:after="180"/>
            </w:pPr>
            <w:r>
              <w:t>chemical interactions</w:t>
            </w:r>
          </w:p>
        </w:tc>
        <w:tc>
          <w:tcPr>
            <w:tcW w:w="4055" w:type="dxa"/>
          </w:tcPr>
          <w:p w14:paraId="7DF18D5A" w14:textId="77777777" w:rsidR="001B0447" w:rsidRDefault="001B0447" w:rsidP="00B81E88">
            <w:pPr>
              <w:spacing w:after="180"/>
            </w:pPr>
            <w:r>
              <w:t>Substances combine to form a new substance (or split up to create two or more substances).</w:t>
            </w:r>
          </w:p>
        </w:tc>
        <w:tc>
          <w:tcPr>
            <w:tcW w:w="3441" w:type="dxa"/>
          </w:tcPr>
          <w:p w14:paraId="36C8AC62" w14:textId="77777777" w:rsidR="001B0447" w:rsidRDefault="001B0447" w:rsidP="00B81E88">
            <w:pPr>
              <w:spacing w:after="180"/>
            </w:pPr>
            <w:r>
              <w:t>Magnesium reacts with oxygen forming magnesium oxide.</w:t>
            </w:r>
          </w:p>
        </w:tc>
      </w:tr>
    </w:tbl>
    <w:p w14:paraId="42080AE2" w14:textId="77777777" w:rsidR="004602D9" w:rsidRDefault="004602D9" w:rsidP="00026DEC">
      <w:pPr>
        <w:spacing w:after="180"/>
        <w:rPr>
          <w:b/>
          <w:color w:val="E36C0A" w:themeColor="accent6" w:themeShade="BF"/>
          <w:sz w:val="24"/>
        </w:rPr>
      </w:pPr>
    </w:p>
    <w:p w14:paraId="2D3A9EC3" w14:textId="7C2C13FF"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2FC73042" w14:textId="3313CCCD" w:rsidR="0099690A" w:rsidRDefault="0099690A" w:rsidP="0099690A">
      <w:pPr>
        <w:spacing w:after="180"/>
      </w:pPr>
      <w:r w:rsidRPr="00DA3B6C">
        <w:t xml:space="preserve">Students </w:t>
      </w:r>
      <w:r>
        <w:t>should complete this activity in pairs or small groups, and the focus should be on the discussions</w:t>
      </w:r>
      <w:r w:rsidR="004602D9">
        <w:t xml:space="preserve"> and counter arguments developed.</w:t>
      </w:r>
    </w:p>
    <w:p w14:paraId="349F191B" w14:textId="05F2E3FE" w:rsidR="0099690A" w:rsidRDefault="0099690A" w:rsidP="0099690A">
      <w:pPr>
        <w:spacing w:after="180"/>
      </w:pPr>
      <w:r>
        <w:t xml:space="preserve">If there is disagreement when you take feedback, a good way to progress might be through structured class discussion.  Ask one student to </w:t>
      </w:r>
      <w:r w:rsidR="004602D9">
        <w:t>give one of their counter arguments</w:t>
      </w:r>
      <w:r>
        <w:t xml:space="preserve">; ask another student to explain why they agree with them; ask another to explain why they disagree, and so on.  This sort of discussion gives students the opportunity to explore their thinking and for you to really understand their learning needs.  </w:t>
      </w:r>
      <w:r w:rsidR="004602D9">
        <w:t xml:space="preserve">You may wish </w:t>
      </w:r>
      <w:r w:rsidR="00D028D5">
        <w:t xml:space="preserve">to </w:t>
      </w:r>
      <w:r w:rsidR="004602D9">
        <w:t>use the outcomes of the whole class discussion to devise whole class versions.</w:t>
      </w:r>
    </w:p>
    <w:p w14:paraId="5692FE05" w14:textId="18B0CA80" w:rsidR="0099690A" w:rsidRDefault="0099690A" w:rsidP="0099690A">
      <w:pPr>
        <w:spacing w:after="180"/>
        <w:rPr>
          <w:i/>
        </w:rPr>
      </w:pPr>
      <w:r w:rsidRPr="00A150A6">
        <w:rPr>
          <w:i/>
        </w:rPr>
        <w:t>Differentiation</w:t>
      </w:r>
    </w:p>
    <w:p w14:paraId="2A2E0B6D" w14:textId="03B7949A" w:rsidR="004602D9" w:rsidRDefault="004602D9" w:rsidP="00D028D5">
      <w:pPr>
        <w:spacing w:after="180"/>
      </w:pPr>
      <w:r w:rsidRPr="00D028D5">
        <w:t xml:space="preserve">It may help some students if you model an example counter argument or provide a talking frame </w:t>
      </w:r>
      <w:r w:rsidR="003853D4">
        <w:t>as additional</w:t>
      </w:r>
      <w:r w:rsidRPr="00D028D5">
        <w:t xml:space="preserve"> support.</w:t>
      </w:r>
    </w:p>
    <w:p w14:paraId="115B5C36"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44381058" w14:textId="71F42E18" w:rsidR="00F40AB6" w:rsidRDefault="00F40AB6" w:rsidP="00BF6C8A">
      <w:pPr>
        <w:spacing w:after="180"/>
      </w:pPr>
      <w:r w:rsidRPr="009A2358">
        <w:t>Shrivar</w:t>
      </w:r>
      <w:r w:rsidR="00814E9A">
        <w:t xml:space="preserve"> and Yasmin</w:t>
      </w:r>
      <w:r w:rsidRPr="009A2358">
        <w:t xml:space="preserve"> give </w:t>
      </w:r>
      <w:r w:rsidR="003853D4">
        <w:t>a</w:t>
      </w:r>
      <w:r w:rsidRPr="009A2358">
        <w:t xml:space="preserve"> </w:t>
      </w:r>
      <w:r w:rsidR="00D028D5">
        <w:t>scientifically correct argument</w:t>
      </w:r>
      <w:r w:rsidR="00814E9A">
        <w:t>s.</w:t>
      </w:r>
    </w:p>
    <w:p w14:paraId="2F028F1F" w14:textId="60762864" w:rsidR="00D028D5" w:rsidRPr="009A2358" w:rsidRDefault="00D028D5" w:rsidP="00BF6C8A">
      <w:pPr>
        <w:spacing w:after="180"/>
      </w:pPr>
      <w:r>
        <w:t>Example counter arguments for the remaining students:</w:t>
      </w:r>
    </w:p>
    <w:p w14:paraId="78ED4660" w14:textId="5C55EA03" w:rsidR="00BF6C8A" w:rsidRPr="009A2358" w:rsidRDefault="00F40AB6" w:rsidP="00BF6C8A">
      <w:pPr>
        <w:spacing w:after="180"/>
      </w:pPr>
      <w:r w:rsidRPr="009A2358">
        <w:t xml:space="preserve">Alia </w:t>
      </w:r>
      <w:r w:rsidR="00814E9A">
        <w:t>-</w:t>
      </w:r>
      <w:r w:rsidRPr="009A2358">
        <w:t xml:space="preserve"> What colour is sodium chloride (table salt)? Have you ever seen different coloured version of sodium chloride? Why not? You cannot have yellow sodium chloride because sodium chloride is white.</w:t>
      </w:r>
    </w:p>
    <w:p w14:paraId="1540AF86" w14:textId="56AB10FF" w:rsidR="00F40AB6" w:rsidRDefault="00F40AB6" w:rsidP="00BF6C8A">
      <w:pPr>
        <w:spacing w:after="180"/>
      </w:pPr>
      <w:r w:rsidRPr="009A2358">
        <w:t>Daniel</w:t>
      </w:r>
      <w:r w:rsidR="00814E9A">
        <w:t xml:space="preserve"> - </w:t>
      </w:r>
      <w:r w:rsidRPr="009A2358">
        <w:t>Try shaking the white substances separately. Does a yellow colour appear?</w:t>
      </w:r>
    </w:p>
    <w:p w14:paraId="2FA8B791" w14:textId="6C4D0914" w:rsidR="00F40AB6" w:rsidRDefault="00F40AB6" w:rsidP="00BF6C8A">
      <w:pPr>
        <w:spacing w:after="180"/>
      </w:pPr>
      <w:r>
        <w:t xml:space="preserve">Amelia </w:t>
      </w:r>
      <w:r w:rsidR="00814E9A">
        <w:t>-</w:t>
      </w:r>
      <w:r>
        <w:t xml:space="preserve"> Suppose it was compound A that changed into a different substance. What happened to compound B? </w:t>
      </w:r>
      <w:r w:rsidR="00814E9A">
        <w:t xml:space="preserve">Could A change without adding compound B? </w:t>
      </w:r>
      <w:r>
        <w:t xml:space="preserve">Can </w:t>
      </w:r>
      <w:r w:rsidR="00D028D5">
        <w:t xml:space="preserve">one </w:t>
      </w:r>
      <w:r>
        <w:t xml:space="preserve">substance change into a new one? What else could have happened? (There was a chemical reaction between compound A and compound B and new substances were formed). </w:t>
      </w:r>
    </w:p>
    <w:p w14:paraId="41B1CB02"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27A9A7B0" w14:textId="77777777" w:rsidR="0099690A" w:rsidRPr="0099690A" w:rsidRDefault="0099690A" w:rsidP="0099690A">
      <w:pPr>
        <w:spacing w:after="180"/>
      </w:pPr>
      <w:r w:rsidRPr="0099690A">
        <w:t>Developed by Helen Harden (UYSEG), from an idea by de Vos and Verdonk (Utrecht University, Netherlands)</w:t>
      </w:r>
    </w:p>
    <w:p w14:paraId="3292C708" w14:textId="6F08FF11" w:rsidR="0099690A" w:rsidRPr="0099690A" w:rsidRDefault="0099690A" w:rsidP="0099690A">
      <w:pPr>
        <w:spacing w:after="180"/>
      </w:pPr>
      <w:r w:rsidRPr="0099690A">
        <w:t xml:space="preserve">Images: </w:t>
      </w:r>
      <w:r w:rsidR="00D028D5">
        <w:t>Sarah Longshaw</w:t>
      </w:r>
    </w:p>
    <w:p w14:paraId="3BB9CE6A" w14:textId="2F206443" w:rsidR="00F40AB6" w:rsidRDefault="008D7667" w:rsidP="00026DEC">
      <w:pPr>
        <w:spacing w:after="180"/>
        <w:rPr>
          <w:b/>
          <w:color w:val="E36C0A" w:themeColor="accent6" w:themeShade="BF"/>
          <w:sz w:val="24"/>
        </w:rPr>
      </w:pPr>
      <w:r>
        <w:rPr>
          <w:b/>
          <w:color w:val="E36C0A" w:themeColor="accent6" w:themeShade="BF"/>
          <w:sz w:val="24"/>
        </w:rPr>
        <w:t>References</w:t>
      </w:r>
    </w:p>
    <w:p w14:paraId="0B9D1563" w14:textId="77777777" w:rsidR="00F40AB6" w:rsidRPr="00F40AB6" w:rsidRDefault="00F40AB6" w:rsidP="00F40AB6">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F40AB6">
        <w:t xml:space="preserve">Andersson, B. (1990). Pupils' conceptions of matter and its transformations (age 12-16). </w:t>
      </w:r>
      <w:r w:rsidRPr="00F40AB6">
        <w:rPr>
          <w:i/>
        </w:rPr>
        <w:t>Studies in Science Education,</w:t>
      </w:r>
      <w:r w:rsidRPr="00F40AB6">
        <w:t xml:space="preserve"> 18</w:t>
      </w:r>
      <w:r w:rsidRPr="00F40AB6">
        <w:rPr>
          <w:b/>
        </w:rPr>
        <w:t>,</w:t>
      </w:r>
      <w:r w:rsidRPr="00F40AB6">
        <w:t xml:space="preserve"> 53-85.</w:t>
      </w:r>
    </w:p>
    <w:p w14:paraId="1EE1645A" w14:textId="4E19793C" w:rsidR="003117F6" w:rsidRPr="001C2E59" w:rsidRDefault="00F40AB6" w:rsidP="00D028D5">
      <w:pPr>
        <w:pStyle w:val="EndNoteBibliography"/>
        <w:rPr>
          <w:b/>
          <w:color w:val="E36C0A" w:themeColor="accent6" w:themeShade="BF"/>
          <w:sz w:val="24"/>
        </w:rPr>
      </w:pPr>
      <w:r w:rsidRPr="00F40AB6">
        <w:t xml:space="preserve">de Vos, W. and Verdonk, A. H. (1985). A new road to reactions (part 1). </w:t>
      </w:r>
      <w:r w:rsidRPr="00F40AB6">
        <w:rPr>
          <w:i/>
        </w:rPr>
        <w:t>Journal of Chemical Education,</w:t>
      </w:r>
      <w:r w:rsidRPr="00F40AB6">
        <w:t xml:space="preserve"> 62(3)</w:t>
      </w:r>
      <w:r w:rsidRPr="00F40AB6">
        <w:rPr>
          <w:b/>
        </w:rPr>
        <w:t>,</w:t>
      </w:r>
      <w:r w:rsidRPr="00F40AB6">
        <w:t xml:space="preserve"> 238-240.</w:t>
      </w:r>
      <w:r>
        <w:rPr>
          <w:b/>
          <w:color w:val="E36C0A" w:themeColor="accent6" w:themeShade="BF"/>
          <w:sz w:val="24"/>
        </w:rPr>
        <w:fldChar w:fldCharType="end"/>
      </w:r>
    </w:p>
    <w:sectPr w:rsidR="003117F6" w:rsidRPr="001C2E5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C8DCD" w14:textId="77777777" w:rsidR="00D84240" w:rsidRDefault="00D84240" w:rsidP="000B473B">
      <w:r>
        <w:separator/>
      </w:r>
    </w:p>
  </w:endnote>
  <w:endnote w:type="continuationSeparator" w:id="0">
    <w:p w14:paraId="22EE283B" w14:textId="77777777" w:rsidR="00D84240" w:rsidRDefault="00D8424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638DF"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F0E3CD8" wp14:editId="3040ED28">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78886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6520979B"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2E64F1EC"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2C6E0" w14:textId="77777777" w:rsidR="00D84240" w:rsidRDefault="00D84240" w:rsidP="000B473B">
      <w:r>
        <w:separator/>
      </w:r>
    </w:p>
  </w:footnote>
  <w:footnote w:type="continuationSeparator" w:id="0">
    <w:p w14:paraId="1091D28D" w14:textId="77777777" w:rsidR="00D84240" w:rsidRDefault="00D8424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98A9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B443AA6" wp14:editId="338AD0B7">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F75D139" wp14:editId="15E8624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449B9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968D2"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5D6E455" wp14:editId="600271A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8D03A7D" wp14:editId="4760A72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17F38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C56A0"/>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B0447"/>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853D4"/>
    <w:rsid w:val="003858A0"/>
    <w:rsid w:val="003A346A"/>
    <w:rsid w:val="003A50A4"/>
    <w:rsid w:val="003B2917"/>
    <w:rsid w:val="003B371E"/>
    <w:rsid w:val="003B541B"/>
    <w:rsid w:val="003E2B2F"/>
    <w:rsid w:val="003E6046"/>
    <w:rsid w:val="003F103E"/>
    <w:rsid w:val="003F16F9"/>
    <w:rsid w:val="00430C1F"/>
    <w:rsid w:val="00442595"/>
    <w:rsid w:val="0045323E"/>
    <w:rsid w:val="00456227"/>
    <w:rsid w:val="004602D9"/>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14E9A"/>
    <w:rsid w:val="008450D6"/>
    <w:rsid w:val="00856FCA"/>
    <w:rsid w:val="008614B3"/>
    <w:rsid w:val="00873B8C"/>
    <w:rsid w:val="00880E3B"/>
    <w:rsid w:val="008A405F"/>
    <w:rsid w:val="008C7F34"/>
    <w:rsid w:val="008D7667"/>
    <w:rsid w:val="008E580C"/>
    <w:rsid w:val="0090047A"/>
    <w:rsid w:val="009158ED"/>
    <w:rsid w:val="00925026"/>
    <w:rsid w:val="00931264"/>
    <w:rsid w:val="00942A4B"/>
    <w:rsid w:val="00952D04"/>
    <w:rsid w:val="00961D59"/>
    <w:rsid w:val="0099690A"/>
    <w:rsid w:val="009A2358"/>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C56A0"/>
    <w:rsid w:val="00BF0BBF"/>
    <w:rsid w:val="00BF6C8A"/>
    <w:rsid w:val="00C05571"/>
    <w:rsid w:val="00C246CE"/>
    <w:rsid w:val="00C57FA2"/>
    <w:rsid w:val="00C80257"/>
    <w:rsid w:val="00CC2E4D"/>
    <w:rsid w:val="00CC78A5"/>
    <w:rsid w:val="00CC7B16"/>
    <w:rsid w:val="00CE15FE"/>
    <w:rsid w:val="00CF6578"/>
    <w:rsid w:val="00D028D5"/>
    <w:rsid w:val="00D02E15"/>
    <w:rsid w:val="00D14F44"/>
    <w:rsid w:val="00D278E8"/>
    <w:rsid w:val="00D421E8"/>
    <w:rsid w:val="00D44604"/>
    <w:rsid w:val="00D479B3"/>
    <w:rsid w:val="00D52283"/>
    <w:rsid w:val="00D524E5"/>
    <w:rsid w:val="00D72FEF"/>
    <w:rsid w:val="00D755FA"/>
    <w:rsid w:val="00D84240"/>
    <w:rsid w:val="00D97E18"/>
    <w:rsid w:val="00DC3D50"/>
    <w:rsid w:val="00DC4A4E"/>
    <w:rsid w:val="00DD1874"/>
    <w:rsid w:val="00DD63BD"/>
    <w:rsid w:val="00E03772"/>
    <w:rsid w:val="00E172C6"/>
    <w:rsid w:val="00E222A5"/>
    <w:rsid w:val="00E24309"/>
    <w:rsid w:val="00E53D82"/>
    <w:rsid w:val="00E9330A"/>
    <w:rsid w:val="00EE6B97"/>
    <w:rsid w:val="00F12C3B"/>
    <w:rsid w:val="00F26884"/>
    <w:rsid w:val="00F40AB6"/>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BB43B"/>
  <w15:docId w15:val="{86B8B998-C8F6-4059-A7C3-80EF9A6E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40AB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40AB6"/>
    <w:rPr>
      <w:rFonts w:ascii="Calibri" w:hAnsi="Calibri" w:cs="Calibri"/>
      <w:noProof/>
      <w:lang w:val="en-US"/>
    </w:rPr>
  </w:style>
  <w:style w:type="paragraph" w:customStyle="1" w:styleId="EndNoteBibliography">
    <w:name w:val="EndNote Bibliography"/>
    <w:basedOn w:val="Normal"/>
    <w:link w:val="EndNoteBibliographyChar"/>
    <w:rsid w:val="00F40AB6"/>
    <w:rPr>
      <w:rFonts w:ascii="Calibri" w:hAnsi="Calibri" w:cs="Calibri"/>
      <w:noProof/>
      <w:lang w:val="en-US"/>
    </w:rPr>
  </w:style>
  <w:style w:type="character" w:customStyle="1" w:styleId="EndNoteBibliographyChar">
    <w:name w:val="EndNote Bibliography Char"/>
    <w:basedOn w:val="DefaultParagraphFont"/>
    <w:link w:val="EndNoteBibliography"/>
    <w:rsid w:val="00F40AB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68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DF353-2561-4D1F-A9EC-902C1C423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template_chemistry_item_response</Template>
  <TotalTime>281</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2018-10-04T11:27:00Z</cp:lastPrinted>
  <dcterms:created xsi:type="dcterms:W3CDTF">2018-09-21T12:12:00Z</dcterms:created>
  <dcterms:modified xsi:type="dcterms:W3CDTF">2018-11-27T10:06:00Z</dcterms:modified>
</cp:coreProperties>
</file>