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94FD8C" w14:textId="4FEA9B46" w:rsidR="00201AC2" w:rsidRPr="001A40E2" w:rsidRDefault="003007BB" w:rsidP="00201AC2">
      <w:pPr>
        <w:spacing w:after="180"/>
        <w:rPr>
          <w:b/>
          <w:sz w:val="44"/>
          <w:szCs w:val="44"/>
        </w:rPr>
      </w:pPr>
      <w:r w:rsidRPr="003007BB">
        <w:rPr>
          <w:b/>
          <w:sz w:val="44"/>
          <w:szCs w:val="44"/>
        </w:rPr>
        <w:t>Heating a compound</w:t>
      </w:r>
    </w:p>
    <w:p w14:paraId="7D5A96AB" w14:textId="23843CE4" w:rsidR="00457BF5" w:rsidRDefault="00457BF5" w:rsidP="008A4CEC">
      <w:pPr>
        <w:spacing w:after="180"/>
      </w:pPr>
    </w:p>
    <w:p w14:paraId="2320C67B" w14:textId="6606410A" w:rsidR="008A4CEC" w:rsidRDefault="008A4CEC" w:rsidP="008A4CEC">
      <w:pPr>
        <w:spacing w:after="180"/>
      </w:pPr>
      <w:r>
        <w:t>A sample of a green compound is heated.</w:t>
      </w:r>
    </w:p>
    <w:p w14:paraId="18FA1186" w14:textId="78295AE7" w:rsidR="008A4CEC" w:rsidRDefault="008A4CEC" w:rsidP="008A4CEC">
      <w:pPr>
        <w:spacing w:after="180"/>
      </w:pPr>
      <w:r>
        <w:t>The table describes what is observed.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8A4CEC" w14:paraId="2D518FF2" w14:textId="77777777" w:rsidTr="008A4CEC">
        <w:tc>
          <w:tcPr>
            <w:tcW w:w="4508" w:type="dxa"/>
          </w:tcPr>
          <w:p w14:paraId="745C357F" w14:textId="2908957D" w:rsidR="008A4CEC" w:rsidRPr="008A4CEC" w:rsidRDefault="008A4CEC" w:rsidP="008A4CEC">
            <w:pPr>
              <w:spacing w:after="180"/>
              <w:rPr>
                <w:b/>
              </w:rPr>
            </w:pPr>
            <w:r w:rsidRPr="008A4CEC">
              <w:rPr>
                <w:b/>
              </w:rPr>
              <w:t>Stage</w:t>
            </w:r>
          </w:p>
        </w:tc>
        <w:tc>
          <w:tcPr>
            <w:tcW w:w="4508" w:type="dxa"/>
          </w:tcPr>
          <w:p w14:paraId="107D2DC5" w14:textId="43E9A963" w:rsidR="008A4CEC" w:rsidRPr="008A4CEC" w:rsidRDefault="008A4CEC" w:rsidP="008A4CEC">
            <w:pPr>
              <w:spacing w:after="180"/>
              <w:rPr>
                <w:b/>
              </w:rPr>
            </w:pPr>
            <w:r w:rsidRPr="008A4CEC">
              <w:rPr>
                <w:b/>
              </w:rPr>
              <w:t>Observation</w:t>
            </w:r>
          </w:p>
        </w:tc>
      </w:tr>
      <w:tr w:rsidR="008A4CEC" w14:paraId="7995E822" w14:textId="77777777" w:rsidTr="008A4CEC">
        <w:tc>
          <w:tcPr>
            <w:tcW w:w="4508" w:type="dxa"/>
          </w:tcPr>
          <w:p w14:paraId="2D0C054A" w14:textId="79BD87D3" w:rsidR="008A4CEC" w:rsidRDefault="008A4CEC" w:rsidP="008A4CEC">
            <w:pPr>
              <w:spacing w:after="180"/>
            </w:pPr>
            <w:r>
              <w:t>Before heating</w:t>
            </w:r>
          </w:p>
        </w:tc>
        <w:tc>
          <w:tcPr>
            <w:tcW w:w="4508" w:type="dxa"/>
          </w:tcPr>
          <w:p w14:paraId="4133C192" w14:textId="020FB83C" w:rsidR="008A4CEC" w:rsidRDefault="008A4CEC" w:rsidP="008A4CEC">
            <w:pPr>
              <w:spacing w:after="180"/>
            </w:pPr>
            <w:r>
              <w:t>Green powder</w:t>
            </w:r>
          </w:p>
        </w:tc>
      </w:tr>
      <w:tr w:rsidR="008A4CEC" w14:paraId="0CE816DE" w14:textId="77777777" w:rsidTr="008A4CEC">
        <w:tc>
          <w:tcPr>
            <w:tcW w:w="4508" w:type="dxa"/>
          </w:tcPr>
          <w:p w14:paraId="06F7685A" w14:textId="6E6F7CCE" w:rsidR="008A4CEC" w:rsidRDefault="008A4CEC" w:rsidP="008A4CEC">
            <w:pPr>
              <w:spacing w:after="180"/>
            </w:pPr>
            <w:r>
              <w:t>During heating</w:t>
            </w:r>
          </w:p>
        </w:tc>
        <w:tc>
          <w:tcPr>
            <w:tcW w:w="4508" w:type="dxa"/>
          </w:tcPr>
          <w:p w14:paraId="5C6AEBE2" w14:textId="7476D3AE" w:rsidR="008A4CEC" w:rsidRDefault="008A4CEC" w:rsidP="008A4CEC">
            <w:pPr>
              <w:spacing w:after="180"/>
            </w:pPr>
            <w:r>
              <w:t>No flames</w:t>
            </w:r>
          </w:p>
        </w:tc>
      </w:tr>
      <w:tr w:rsidR="008A4CEC" w14:paraId="19F8A61B" w14:textId="77777777" w:rsidTr="008A4CEC">
        <w:tc>
          <w:tcPr>
            <w:tcW w:w="4508" w:type="dxa"/>
          </w:tcPr>
          <w:p w14:paraId="3EC20D5A" w14:textId="52AB6EB0" w:rsidR="008A4CEC" w:rsidRDefault="008A4CEC" w:rsidP="008A4CEC">
            <w:pPr>
              <w:spacing w:after="180"/>
            </w:pPr>
            <w:r>
              <w:t>After heating</w:t>
            </w:r>
          </w:p>
        </w:tc>
        <w:tc>
          <w:tcPr>
            <w:tcW w:w="4508" w:type="dxa"/>
          </w:tcPr>
          <w:p w14:paraId="35871335" w14:textId="67A6815C" w:rsidR="008A4CEC" w:rsidRDefault="008A4CEC" w:rsidP="008A4CEC">
            <w:pPr>
              <w:spacing w:after="180"/>
            </w:pPr>
            <w:r>
              <w:t>Black powder</w:t>
            </w:r>
          </w:p>
        </w:tc>
      </w:tr>
    </w:tbl>
    <w:p w14:paraId="65915091" w14:textId="77777777" w:rsidR="008A4CEC" w:rsidRDefault="008A4CEC" w:rsidP="008A4CEC">
      <w:pPr>
        <w:spacing w:after="180"/>
      </w:pPr>
    </w:p>
    <w:p w14:paraId="7FA8A69B" w14:textId="5407D232" w:rsidR="00201AC2" w:rsidRDefault="008A4CEC" w:rsidP="006F3279">
      <w:pPr>
        <w:spacing w:after="240"/>
        <w:rPr>
          <w:szCs w:val="18"/>
        </w:rPr>
      </w:pPr>
      <w:r>
        <w:rPr>
          <w:szCs w:val="18"/>
        </w:rPr>
        <w:t>Some students try to explain the observations.</w:t>
      </w:r>
    </w:p>
    <w:p w14:paraId="4B17AFDD" w14:textId="0F75FEB2" w:rsidR="008A4CEC" w:rsidRPr="00201AC2" w:rsidRDefault="008A4CEC" w:rsidP="006F3279">
      <w:pPr>
        <w:spacing w:after="240"/>
        <w:rPr>
          <w:szCs w:val="18"/>
        </w:rPr>
      </w:pPr>
      <w:r>
        <w:rPr>
          <w:szCs w:val="18"/>
        </w:rPr>
        <w:t>Who do you agree with? Why?</w:t>
      </w:r>
    </w:p>
    <w:p w14:paraId="3B5F1EB3" w14:textId="77777777" w:rsidR="00201AC2" w:rsidRDefault="00201AC2" w:rsidP="006F3279">
      <w:pPr>
        <w:spacing w:after="240"/>
        <w:rPr>
          <w:szCs w:val="18"/>
        </w:rPr>
      </w:pPr>
    </w:p>
    <w:p w14:paraId="040C83DF" w14:textId="099A42B6" w:rsidR="008A4CEC" w:rsidRPr="00201AC2" w:rsidRDefault="00020DAD" w:rsidP="006F3279">
      <w:pPr>
        <w:spacing w:after="240"/>
        <w:rPr>
          <w:szCs w:val="18"/>
        </w:rPr>
        <w:sectPr w:rsidR="008A4CEC" w:rsidRPr="00201AC2" w:rsidSect="00642ECD">
          <w:headerReference w:type="default" r:id="rId7"/>
          <w:footerReference w:type="default" r:id="rId8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  <w:r>
        <w:rPr>
          <w:noProof/>
        </w:rPr>
        <w:drawing>
          <wp:inline distT="0" distB="0" distL="0" distR="0" wp14:anchorId="7DFDEF3E" wp14:editId="28398A8B">
            <wp:extent cx="5731510" cy="2786380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786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2BA35A" w14:textId="03B1F515" w:rsidR="00287876" w:rsidRPr="006F3279" w:rsidRDefault="00323334" w:rsidP="006F3279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Chemistry</w:t>
      </w:r>
      <w:r w:rsidR="006F3279" w:rsidRPr="00CA4B46">
        <w:rPr>
          <w:i/>
          <w:sz w:val="18"/>
          <w:szCs w:val="18"/>
        </w:rPr>
        <w:t xml:space="preserve"> &gt; </w:t>
      </w:r>
      <w:r w:rsidR="0007651D">
        <w:rPr>
          <w:i/>
          <w:sz w:val="18"/>
          <w:szCs w:val="18"/>
        </w:rPr>
        <w:t xml:space="preserve">Big idea </w:t>
      </w:r>
      <w:r w:rsidR="005E1CEC">
        <w:rPr>
          <w:i/>
          <w:sz w:val="18"/>
          <w:szCs w:val="18"/>
        </w:rPr>
        <w:t>CCR: Chemical reactions</w:t>
      </w:r>
      <w:r w:rsidR="0007651D">
        <w:rPr>
          <w:i/>
          <w:sz w:val="18"/>
          <w:szCs w:val="18"/>
        </w:rPr>
        <w:t xml:space="preserve"> &gt; Topic </w:t>
      </w:r>
      <w:r w:rsidR="005E1CEC">
        <w:rPr>
          <w:i/>
          <w:sz w:val="18"/>
          <w:szCs w:val="18"/>
        </w:rPr>
        <w:t>CCR1: Chemical change</w:t>
      </w:r>
      <w:r w:rsidR="006F3279" w:rsidRPr="00CA4B46">
        <w:rPr>
          <w:i/>
          <w:sz w:val="18"/>
          <w:szCs w:val="18"/>
        </w:rPr>
        <w:t xml:space="preserve"> &gt; </w:t>
      </w:r>
      <w:r w:rsidR="0007651D">
        <w:rPr>
          <w:i/>
          <w:sz w:val="18"/>
          <w:szCs w:val="18"/>
        </w:rPr>
        <w:t>Key concept</w:t>
      </w:r>
      <w:r w:rsidR="006F3279" w:rsidRPr="00CA4B46">
        <w:rPr>
          <w:i/>
          <w:sz w:val="18"/>
          <w:szCs w:val="18"/>
        </w:rPr>
        <w:t xml:space="preserve"> </w:t>
      </w:r>
      <w:r w:rsidR="005E1CEC">
        <w:rPr>
          <w:i/>
          <w:sz w:val="18"/>
          <w:szCs w:val="18"/>
        </w:rPr>
        <w:t>CCR1.1</w:t>
      </w:r>
      <w:r w:rsidR="005E1CEC" w:rsidRPr="005E1CEC">
        <w:rPr>
          <w:i/>
          <w:sz w:val="18"/>
          <w:szCs w:val="18"/>
        </w:rPr>
        <w:t>: Formation of new substances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14:paraId="7ED63B79" w14:textId="77777777" w:rsidTr="00323334">
        <w:tc>
          <w:tcPr>
            <w:tcW w:w="12021" w:type="dxa"/>
            <w:shd w:val="clear" w:color="auto" w:fill="FABF8F" w:themeFill="accent6" w:themeFillTint="99"/>
          </w:tcPr>
          <w:p w14:paraId="7826AD60" w14:textId="77777777" w:rsidR="006F3279" w:rsidRPr="00CA4B46" w:rsidRDefault="007C26E1" w:rsidP="00781BC6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4C5D20">
              <w:rPr>
                <w:b/>
                <w:sz w:val="40"/>
                <w:szCs w:val="40"/>
              </w:rPr>
              <w:t xml:space="preserve"> </w:t>
            </w:r>
            <w:r w:rsidR="00FA5B3A">
              <w:rPr>
                <w:b/>
                <w:sz w:val="40"/>
                <w:szCs w:val="40"/>
              </w:rPr>
              <w:t>question</w:t>
            </w:r>
          </w:p>
        </w:tc>
      </w:tr>
      <w:tr w:rsidR="006F3279" w14:paraId="5B200D65" w14:textId="77777777" w:rsidTr="00323334">
        <w:tc>
          <w:tcPr>
            <w:tcW w:w="12021" w:type="dxa"/>
            <w:shd w:val="clear" w:color="auto" w:fill="FBD4B4" w:themeFill="accent6" w:themeFillTint="66"/>
          </w:tcPr>
          <w:p w14:paraId="7BB49E0B" w14:textId="301793DE" w:rsidR="006F3279" w:rsidRPr="00CA4B46" w:rsidRDefault="003007BB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Heating a compound </w:t>
            </w:r>
          </w:p>
        </w:tc>
      </w:tr>
    </w:tbl>
    <w:p w14:paraId="77AED034" w14:textId="77777777" w:rsidR="006F3279" w:rsidRDefault="006F3279" w:rsidP="00E172C6">
      <w:pPr>
        <w:spacing w:after="180"/>
        <w:rPr>
          <w:b/>
        </w:rPr>
      </w:pPr>
    </w:p>
    <w:p w14:paraId="0876460B" w14:textId="77777777" w:rsidR="00402E34" w:rsidRPr="00402E34" w:rsidRDefault="00402E34" w:rsidP="00E172C6">
      <w:pPr>
        <w:spacing w:after="180"/>
        <w:rPr>
          <w:b/>
          <w:color w:val="E36C0A" w:themeColor="accent6" w:themeShade="BF"/>
        </w:rPr>
      </w:pPr>
      <w:r w:rsidRPr="00402E34">
        <w:rPr>
          <w:b/>
          <w:color w:val="E36C0A" w:themeColor="accent6" w:themeShade="BF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FA5B3A" w14:paraId="6A388DDF" w14:textId="77777777" w:rsidTr="003F16F9">
        <w:trPr>
          <w:trHeight w:val="340"/>
        </w:trPr>
        <w:tc>
          <w:tcPr>
            <w:tcW w:w="2196" w:type="dxa"/>
          </w:tcPr>
          <w:p w14:paraId="3C69BDE2" w14:textId="77777777" w:rsidR="00FA5B3A" w:rsidRDefault="00FA5B3A" w:rsidP="00FA5B3A">
            <w:pPr>
              <w:spacing w:before="60" w:after="60"/>
            </w:pPr>
            <w:r>
              <w:t>Learning focus:</w:t>
            </w:r>
          </w:p>
        </w:tc>
        <w:tc>
          <w:tcPr>
            <w:tcW w:w="6820" w:type="dxa"/>
          </w:tcPr>
          <w:p w14:paraId="3FA64F2F" w14:textId="6FA0909F" w:rsidR="00FA5B3A" w:rsidRPr="002633A2" w:rsidRDefault="005E1CEC" w:rsidP="00FA5B3A">
            <w:pPr>
              <w:spacing w:before="60" w:after="60"/>
            </w:pPr>
            <w:r w:rsidRPr="002633A2">
              <w:t>During a chemical reaction a new substance (or substances) are formed</w:t>
            </w:r>
            <w:r w:rsidR="008D7B85">
              <w:t xml:space="preserve"> with different properties</w:t>
            </w:r>
            <w:r w:rsidRPr="002633A2">
              <w:t>.</w:t>
            </w:r>
          </w:p>
        </w:tc>
      </w:tr>
      <w:tr w:rsidR="002633A2" w14:paraId="13E30801" w14:textId="77777777" w:rsidTr="003F16F9">
        <w:trPr>
          <w:trHeight w:val="340"/>
        </w:trPr>
        <w:tc>
          <w:tcPr>
            <w:tcW w:w="2196" w:type="dxa"/>
          </w:tcPr>
          <w:p w14:paraId="16A78F03" w14:textId="77777777" w:rsidR="002633A2" w:rsidRDefault="002633A2" w:rsidP="002633A2">
            <w:pPr>
              <w:spacing w:before="60" w:after="60"/>
            </w:pPr>
            <w:r>
              <w:t>Observable learning outcome:</w:t>
            </w:r>
          </w:p>
        </w:tc>
        <w:tc>
          <w:tcPr>
            <w:tcW w:w="6820" w:type="dxa"/>
          </w:tcPr>
          <w:p w14:paraId="35262841" w14:textId="075307BD" w:rsidR="002633A2" w:rsidRPr="002633A2" w:rsidRDefault="00BF19F3" w:rsidP="002633A2">
            <w:pPr>
              <w:spacing w:before="60" w:after="60"/>
              <w:rPr>
                <w:b/>
              </w:rPr>
            </w:pPr>
            <w:r>
              <w:t>Explain observations of a thermal decomposition reaction in terms of the formation of new substances.</w:t>
            </w:r>
          </w:p>
        </w:tc>
      </w:tr>
      <w:tr w:rsidR="002633A2" w14:paraId="7E7D6965" w14:textId="77777777" w:rsidTr="003F16F9">
        <w:trPr>
          <w:trHeight w:val="340"/>
        </w:trPr>
        <w:tc>
          <w:tcPr>
            <w:tcW w:w="2196" w:type="dxa"/>
          </w:tcPr>
          <w:p w14:paraId="07B6BF4C" w14:textId="77777777" w:rsidR="002633A2" w:rsidRDefault="002633A2" w:rsidP="002633A2">
            <w:pPr>
              <w:spacing w:before="60" w:after="60"/>
            </w:pPr>
            <w:r>
              <w:t>Question type:</w:t>
            </w:r>
          </w:p>
        </w:tc>
        <w:tc>
          <w:tcPr>
            <w:tcW w:w="6820" w:type="dxa"/>
          </w:tcPr>
          <w:p w14:paraId="08D56B2E" w14:textId="02C53C6D" w:rsidR="002633A2" w:rsidRPr="002633A2" w:rsidRDefault="00BB238E" w:rsidP="002633A2">
            <w:pPr>
              <w:spacing w:before="60" w:after="60"/>
            </w:pPr>
            <w:r>
              <w:t>t</w:t>
            </w:r>
            <w:r w:rsidR="008A4CEC">
              <w:t>alking heads</w:t>
            </w:r>
          </w:p>
        </w:tc>
      </w:tr>
      <w:tr w:rsidR="002633A2" w14:paraId="717A29F8" w14:textId="77777777" w:rsidTr="003F16F9">
        <w:trPr>
          <w:trHeight w:val="340"/>
        </w:trPr>
        <w:tc>
          <w:tcPr>
            <w:tcW w:w="2196" w:type="dxa"/>
          </w:tcPr>
          <w:p w14:paraId="2C4155E8" w14:textId="77777777" w:rsidR="002633A2" w:rsidRDefault="002633A2" w:rsidP="002633A2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14:paraId="618975D4" w14:textId="5913BB55" w:rsidR="002633A2" w:rsidRDefault="00BF19F3" w:rsidP="002633A2">
            <w:pPr>
              <w:spacing w:before="60" w:after="60"/>
            </w:pPr>
            <w:r>
              <w:t>substance, compound</w:t>
            </w:r>
          </w:p>
        </w:tc>
      </w:tr>
    </w:tbl>
    <w:p w14:paraId="76A8F4C5" w14:textId="77777777" w:rsidR="00E172C6" w:rsidRDefault="00E172C6" w:rsidP="00E172C6">
      <w:pPr>
        <w:spacing w:after="180"/>
      </w:pPr>
    </w:p>
    <w:p w14:paraId="7B278EEB" w14:textId="77777777" w:rsidR="00C05571" w:rsidRPr="00323334" w:rsidRDefault="00BB44B4" w:rsidP="00026DEC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What does the research say</w:t>
      </w:r>
      <w:r w:rsidR="00C05571" w:rsidRPr="00323334">
        <w:rPr>
          <w:b/>
          <w:color w:val="E36C0A" w:themeColor="accent6" w:themeShade="BF"/>
          <w:sz w:val="24"/>
        </w:rPr>
        <w:t>?</w:t>
      </w:r>
    </w:p>
    <w:p w14:paraId="72BEBB02" w14:textId="37609614" w:rsidR="00817955" w:rsidRPr="00BD641D" w:rsidRDefault="00817955" w:rsidP="00817955">
      <w:pPr>
        <w:spacing w:after="180"/>
      </w:pPr>
      <w:r w:rsidRPr="00BD641D">
        <w:t xml:space="preserve">A summary of research into students’ conceptions of matter </w:t>
      </w:r>
      <w:r w:rsidR="00B64C5E" w:rsidRPr="00BD641D">
        <w:fldChar w:fldCharType="begin"/>
      </w:r>
      <w:r w:rsidR="00B64C5E" w:rsidRPr="00BD641D">
        <w:instrText xml:space="preserve"> ADDIN EN.CITE &lt;EndNote&gt;&lt;Cite&gt;&lt;Author&gt;Andersson&lt;/Author&gt;&lt;Year&gt;1990&lt;/Year&gt;&lt;IDText&gt;Pupils&amp;apos; conceptions of matter and its transformations (age 12-16)&lt;/IDText&gt;&lt;DisplayText&gt;(Andersson, 1990)&lt;/DisplayText&gt;&lt;record&gt;&lt;titles&gt;&lt;title&gt;Pupils&amp;apos; conceptions of matter and its transformations (age 12-16)&lt;/title&gt;&lt;secondary-title&gt;Studies in Science Education&lt;/secondary-title&gt;&lt;/titles&gt;&lt;pages&gt;53-85&lt;/pages&gt;&lt;contributors&gt;&lt;authors&gt;&lt;author&gt;Andersson, Björn&lt;/author&gt;&lt;/authors&gt;&lt;/contributors&gt;&lt;added-date format="utc"&gt;1536935305&lt;/added-date&gt;&lt;ref-type name="Journal Article"&gt;17&lt;/ref-type&gt;&lt;dates&gt;&lt;year&gt;1990&lt;/year&gt;&lt;/dates&gt;&lt;rec-number&gt;22&lt;/rec-number&gt;&lt;last-updated-date format="utc"&gt;1537268574&lt;/last-updated-date&gt;&lt;volume&gt;18&lt;/volume&gt;&lt;/record&gt;&lt;/Cite&gt;&lt;/EndNote&gt;</w:instrText>
      </w:r>
      <w:r w:rsidR="00B64C5E" w:rsidRPr="00BD641D">
        <w:fldChar w:fldCharType="separate"/>
      </w:r>
      <w:r w:rsidR="00B64C5E" w:rsidRPr="00BD641D">
        <w:rPr>
          <w:noProof/>
        </w:rPr>
        <w:t>(Andersson, 1990)</w:t>
      </w:r>
      <w:r w:rsidR="00B64C5E" w:rsidRPr="00BD641D">
        <w:fldChar w:fldCharType="end"/>
      </w:r>
      <w:r w:rsidR="00B64C5E" w:rsidRPr="00BD641D">
        <w:t xml:space="preserve"> </w:t>
      </w:r>
      <w:r w:rsidRPr="00BD641D">
        <w:t>developed five categories of the types of answers students gave when explaining chemical reactions, only the last is scientifically correct</w:t>
      </w:r>
      <w:r w:rsidR="00BF19F3" w:rsidRPr="00BD641D">
        <w:t xml:space="preserve">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0"/>
        <w:gridCol w:w="4055"/>
        <w:gridCol w:w="3441"/>
      </w:tblGrid>
      <w:tr w:rsidR="00BB238E" w14:paraId="0C6D1DB1" w14:textId="77777777" w:rsidTr="00734B41">
        <w:tc>
          <w:tcPr>
            <w:tcW w:w="1520" w:type="dxa"/>
          </w:tcPr>
          <w:p w14:paraId="441725C8" w14:textId="77777777" w:rsidR="00BB238E" w:rsidRPr="00AD7E96" w:rsidRDefault="00BB238E" w:rsidP="00734B41">
            <w:pPr>
              <w:spacing w:after="180"/>
              <w:rPr>
                <w:b/>
              </w:rPr>
            </w:pPr>
            <w:r w:rsidRPr="00AD7E96">
              <w:rPr>
                <w:b/>
              </w:rPr>
              <w:t>Category of explanation</w:t>
            </w:r>
          </w:p>
        </w:tc>
        <w:tc>
          <w:tcPr>
            <w:tcW w:w="4055" w:type="dxa"/>
          </w:tcPr>
          <w:p w14:paraId="47114C56" w14:textId="77777777" w:rsidR="00BB238E" w:rsidRPr="00AD7E96" w:rsidRDefault="00BB238E" w:rsidP="00734B41">
            <w:pPr>
              <w:spacing w:after="180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3441" w:type="dxa"/>
          </w:tcPr>
          <w:p w14:paraId="7DAA618B" w14:textId="77777777" w:rsidR="00BB238E" w:rsidRPr="00AD7E96" w:rsidRDefault="00BB238E" w:rsidP="00734B41">
            <w:pPr>
              <w:spacing w:after="180"/>
              <w:rPr>
                <w:b/>
              </w:rPr>
            </w:pPr>
            <w:r>
              <w:rPr>
                <w:b/>
              </w:rPr>
              <w:t>Example</w:t>
            </w:r>
          </w:p>
        </w:tc>
      </w:tr>
      <w:tr w:rsidR="00BB238E" w14:paraId="2731B214" w14:textId="77777777" w:rsidTr="00734B41">
        <w:tc>
          <w:tcPr>
            <w:tcW w:w="1520" w:type="dxa"/>
          </w:tcPr>
          <w:p w14:paraId="5118BD15" w14:textId="77777777" w:rsidR="00BB238E" w:rsidRPr="00AD7E96" w:rsidRDefault="00BB238E" w:rsidP="00734B41">
            <w:pPr>
              <w:spacing w:after="180"/>
            </w:pPr>
            <w:r>
              <w:t>d</w:t>
            </w:r>
            <w:r w:rsidRPr="00AD7E96">
              <w:t>isappearance</w:t>
            </w:r>
          </w:p>
        </w:tc>
        <w:tc>
          <w:tcPr>
            <w:tcW w:w="4055" w:type="dxa"/>
          </w:tcPr>
          <w:p w14:paraId="3D1AA7CB" w14:textId="523304FE" w:rsidR="00BB238E" w:rsidRPr="00AD7E96" w:rsidRDefault="00BB238E" w:rsidP="00734B41">
            <w:pPr>
              <w:spacing w:after="180"/>
            </w:pPr>
            <w:r w:rsidRPr="00AD7E96">
              <w:t>The substance has simpl</w:t>
            </w:r>
            <w:r>
              <w:t>y</w:t>
            </w:r>
            <w:r w:rsidRPr="00AD7E96">
              <w:t xml:space="preserve"> gone</w:t>
            </w:r>
            <w:r w:rsidR="008D7B85">
              <w:t>.</w:t>
            </w:r>
          </w:p>
        </w:tc>
        <w:tc>
          <w:tcPr>
            <w:tcW w:w="3441" w:type="dxa"/>
          </w:tcPr>
          <w:p w14:paraId="42A3F66E" w14:textId="77777777" w:rsidR="00BB238E" w:rsidRPr="00AD7E96" w:rsidRDefault="00BB238E" w:rsidP="00734B41">
            <w:pPr>
              <w:spacing w:after="180"/>
            </w:pPr>
            <w:r>
              <w:t>P</w:t>
            </w:r>
            <w:r w:rsidRPr="00AD7E96">
              <w:t>etrol is ‘used up’.</w:t>
            </w:r>
          </w:p>
        </w:tc>
      </w:tr>
      <w:tr w:rsidR="00BB238E" w14:paraId="678FF2F1" w14:textId="77777777" w:rsidTr="00734B41">
        <w:tc>
          <w:tcPr>
            <w:tcW w:w="1520" w:type="dxa"/>
          </w:tcPr>
          <w:p w14:paraId="0A127CD9" w14:textId="44E5055A" w:rsidR="00BB238E" w:rsidRDefault="008D7B85" w:rsidP="00734B41">
            <w:pPr>
              <w:spacing w:after="180"/>
            </w:pPr>
            <w:r>
              <w:t>D</w:t>
            </w:r>
            <w:r w:rsidR="00BB238E" w:rsidRPr="00AD7E96">
              <w:t>isplacement</w:t>
            </w:r>
          </w:p>
          <w:p w14:paraId="3889741F" w14:textId="662FC8B0" w:rsidR="008D7B85" w:rsidRPr="00AD7E96" w:rsidRDefault="008D7B85" w:rsidP="00734B41">
            <w:pPr>
              <w:spacing w:after="180"/>
            </w:pPr>
            <w:r>
              <w:t>(movement)</w:t>
            </w:r>
          </w:p>
        </w:tc>
        <w:tc>
          <w:tcPr>
            <w:tcW w:w="4055" w:type="dxa"/>
          </w:tcPr>
          <w:p w14:paraId="0C388E59" w14:textId="77777777" w:rsidR="00BB238E" w:rsidRPr="00AD7E96" w:rsidRDefault="00BB238E" w:rsidP="00734B41">
            <w:pPr>
              <w:spacing w:after="180"/>
            </w:pPr>
            <w:r w:rsidRPr="00AD7E96">
              <w:t>The new product has moved from somewhere else.</w:t>
            </w:r>
          </w:p>
          <w:p w14:paraId="70B9B1F0" w14:textId="77777777" w:rsidR="00BB238E" w:rsidRPr="00AD7E96" w:rsidRDefault="00BB238E" w:rsidP="00734B41">
            <w:pPr>
              <w:spacing w:after="180"/>
            </w:pPr>
          </w:p>
        </w:tc>
        <w:tc>
          <w:tcPr>
            <w:tcW w:w="3441" w:type="dxa"/>
          </w:tcPr>
          <w:p w14:paraId="1EEC3A94" w14:textId="77777777" w:rsidR="00BB238E" w:rsidRPr="00AD7E96" w:rsidRDefault="00BB238E" w:rsidP="00734B41">
            <w:pPr>
              <w:spacing w:after="180"/>
            </w:pPr>
            <w:r w:rsidRPr="00AD7E96">
              <w:t>When solid lead nitrate and potassium iodide are mixed the yellow colour (lead iodide) comes out of the white grains of powder.</w:t>
            </w:r>
          </w:p>
        </w:tc>
      </w:tr>
      <w:tr w:rsidR="00BB238E" w14:paraId="53F478D7" w14:textId="77777777" w:rsidTr="00734B41">
        <w:tc>
          <w:tcPr>
            <w:tcW w:w="1520" w:type="dxa"/>
          </w:tcPr>
          <w:p w14:paraId="1867E3B7" w14:textId="77777777" w:rsidR="00BB238E" w:rsidRPr="00AD7E96" w:rsidRDefault="00BB238E" w:rsidP="00734B41">
            <w:pPr>
              <w:spacing w:after="180"/>
            </w:pPr>
            <w:r>
              <w:t>m</w:t>
            </w:r>
            <w:r w:rsidRPr="00AD7E96">
              <w:t>odification</w:t>
            </w:r>
          </w:p>
        </w:tc>
        <w:tc>
          <w:tcPr>
            <w:tcW w:w="4055" w:type="dxa"/>
          </w:tcPr>
          <w:p w14:paraId="6497A6FD" w14:textId="77777777" w:rsidR="00BB238E" w:rsidRPr="00AD7E96" w:rsidRDefault="00BB238E" w:rsidP="00734B41">
            <w:pPr>
              <w:spacing w:after="180"/>
            </w:pPr>
            <w:r w:rsidRPr="00AD7E96">
              <w:t>The original substance keeps its identity</w:t>
            </w:r>
            <w:r>
              <w:t>,</w:t>
            </w:r>
            <w:r w:rsidRPr="00AD7E96">
              <w:t xml:space="preserve"> but its properties change.</w:t>
            </w:r>
          </w:p>
        </w:tc>
        <w:tc>
          <w:tcPr>
            <w:tcW w:w="3441" w:type="dxa"/>
          </w:tcPr>
          <w:p w14:paraId="28EE2B00" w14:textId="77777777" w:rsidR="00BB238E" w:rsidRPr="00AD7E96" w:rsidRDefault="00BB238E" w:rsidP="00734B41">
            <w:pPr>
              <w:spacing w:after="180"/>
            </w:pPr>
            <w:r w:rsidRPr="00AD7E96">
              <w:t>When alcohol burns it turns into alcohol vapour.</w:t>
            </w:r>
          </w:p>
        </w:tc>
      </w:tr>
      <w:tr w:rsidR="00BB238E" w14:paraId="35E9773A" w14:textId="77777777" w:rsidTr="00734B41">
        <w:tc>
          <w:tcPr>
            <w:tcW w:w="1520" w:type="dxa"/>
          </w:tcPr>
          <w:p w14:paraId="64CCA1C6" w14:textId="77777777" w:rsidR="00BB238E" w:rsidRPr="00AD7E96" w:rsidRDefault="00BB238E" w:rsidP="00734B41">
            <w:pPr>
              <w:spacing w:after="180"/>
            </w:pPr>
            <w:r>
              <w:t>t</w:t>
            </w:r>
            <w:r w:rsidRPr="00AD7E96">
              <w:t>ransmutation</w:t>
            </w:r>
          </w:p>
        </w:tc>
        <w:tc>
          <w:tcPr>
            <w:tcW w:w="4055" w:type="dxa"/>
          </w:tcPr>
          <w:p w14:paraId="196728AF" w14:textId="77777777" w:rsidR="00BB238E" w:rsidRPr="00AD7E96" w:rsidRDefault="00BB238E" w:rsidP="00734B41">
            <w:pPr>
              <w:spacing w:after="180"/>
            </w:pPr>
            <w:r>
              <w:t>A substance changes into another substance or a substance is changed (partly) into energy.</w:t>
            </w:r>
          </w:p>
        </w:tc>
        <w:tc>
          <w:tcPr>
            <w:tcW w:w="3441" w:type="dxa"/>
          </w:tcPr>
          <w:p w14:paraId="25908FCD" w14:textId="77777777" w:rsidR="00BB238E" w:rsidRDefault="00BB238E" w:rsidP="00734B41">
            <w:pPr>
              <w:spacing w:after="180"/>
            </w:pPr>
            <w:r>
              <w:t>When magnesium burns it turns into energy.</w:t>
            </w:r>
          </w:p>
        </w:tc>
      </w:tr>
      <w:tr w:rsidR="00BB238E" w14:paraId="0C7F2BA5" w14:textId="77777777" w:rsidTr="00734B41">
        <w:tc>
          <w:tcPr>
            <w:tcW w:w="1520" w:type="dxa"/>
          </w:tcPr>
          <w:p w14:paraId="588FB80C" w14:textId="77777777" w:rsidR="00BB238E" w:rsidRDefault="00BB238E" w:rsidP="00734B41">
            <w:pPr>
              <w:spacing w:after="180"/>
            </w:pPr>
            <w:r>
              <w:t>chemical interactions</w:t>
            </w:r>
          </w:p>
        </w:tc>
        <w:tc>
          <w:tcPr>
            <w:tcW w:w="4055" w:type="dxa"/>
          </w:tcPr>
          <w:p w14:paraId="1C94853F" w14:textId="77777777" w:rsidR="00BB238E" w:rsidRDefault="00BB238E" w:rsidP="00734B41">
            <w:pPr>
              <w:spacing w:after="180"/>
            </w:pPr>
            <w:r>
              <w:t>Substances combine to form a new substance (or split up to create two or more substances).</w:t>
            </w:r>
          </w:p>
        </w:tc>
        <w:tc>
          <w:tcPr>
            <w:tcW w:w="3441" w:type="dxa"/>
          </w:tcPr>
          <w:p w14:paraId="08C8700C" w14:textId="77777777" w:rsidR="00BB238E" w:rsidRDefault="00BB238E" w:rsidP="00734B41">
            <w:pPr>
              <w:spacing w:after="180"/>
            </w:pPr>
            <w:r>
              <w:t>Magnesium reacts with oxygen forming magnesium oxide.</w:t>
            </w:r>
          </w:p>
        </w:tc>
      </w:tr>
    </w:tbl>
    <w:p w14:paraId="477332CF" w14:textId="77777777" w:rsidR="00BD641D" w:rsidRDefault="00BD641D" w:rsidP="00817955">
      <w:pPr>
        <w:spacing w:after="180"/>
      </w:pPr>
    </w:p>
    <w:p w14:paraId="6FD7E7F5" w14:textId="476ED770" w:rsidR="00817955" w:rsidRPr="00BD641D" w:rsidRDefault="00B64C5E" w:rsidP="00817955">
      <w:pPr>
        <w:spacing w:after="180"/>
      </w:pPr>
      <w:r w:rsidRPr="00BD641D">
        <w:t xml:space="preserve">Some student explanations of observed chemical changes considered that the change was as a result of the mixing of the two starting substances </w:t>
      </w:r>
      <w:r w:rsidRPr="00BD641D">
        <w:fldChar w:fldCharType="begin"/>
      </w:r>
      <w:r w:rsidRPr="00BD641D">
        <w:instrText xml:space="preserve"> ADDIN EN.CITE &lt;EndNote&gt;&lt;Cite&gt;&lt;Author&gt;Johnson&lt;/Author&gt;&lt;Year&gt;2000&lt;/Year&gt;&lt;IDText&gt;Children&amp;apos;s understanding of substances, part 1: recognizing chemical change&lt;/IDText&gt;&lt;DisplayText&gt;(Johnson, 2000)&lt;/DisplayText&gt;&lt;record&gt;&lt;titles&gt;&lt;title&gt;Children&amp;apos;s understanding of substances, part 1: recognizing chemical change&lt;/title&gt;&lt;secondary-title&gt;International Journal of Science Education&lt;/secondary-title&gt;&lt;/titles&gt;&lt;pages&gt;719-737&lt;/pages&gt;&lt;number&gt;7&lt;/number&gt;&lt;contributors&gt;&lt;authors&gt;&lt;author&gt;Johnson, Philip&lt;/author&gt;&lt;/authors&gt;&lt;/contributors&gt;&lt;added-date format="utc"&gt;1531841650&lt;/added-date&gt;&lt;ref-type name="Journal Article"&gt;17&lt;/ref-type&gt;&lt;dates&gt;&lt;year&gt;2000&lt;/year&gt;&lt;/dates&gt;&lt;rec-number&gt;7&lt;/rec-number&gt;&lt;last-updated-date format="utc"&gt;1536662819&lt;/last-updated-date&gt;&lt;volume&gt;22&lt;/volume&gt;&lt;/record&gt;&lt;/Cite&gt;&lt;/EndNote&gt;</w:instrText>
      </w:r>
      <w:r w:rsidRPr="00BD641D">
        <w:fldChar w:fldCharType="separate"/>
      </w:r>
      <w:r w:rsidRPr="00BD641D">
        <w:rPr>
          <w:noProof/>
        </w:rPr>
        <w:t>(Johnson, 2000)</w:t>
      </w:r>
      <w:r w:rsidRPr="00BD641D">
        <w:fldChar w:fldCharType="end"/>
      </w:r>
      <w:r w:rsidRPr="00BD641D">
        <w:t>. These students thought that the substances mixed, rather than that they combined to form new substances. Interestingly the same students did not seem to consider ‘unmixing’ as a possibility</w:t>
      </w:r>
      <w:r w:rsidR="00BD641D" w:rsidRPr="00BD641D">
        <w:t>. It could therefore be inferred that the idea of decomposition may not have occurred to these students.</w:t>
      </w:r>
    </w:p>
    <w:p w14:paraId="701B7A50" w14:textId="48EA4866" w:rsidR="00BD641D" w:rsidRPr="00BD641D" w:rsidRDefault="00BD641D" w:rsidP="00817955">
      <w:pPr>
        <w:spacing w:after="180"/>
      </w:pPr>
      <w:r w:rsidRPr="00BD641D">
        <w:t xml:space="preserve">Other research </w:t>
      </w:r>
      <w:r w:rsidRPr="00BD641D">
        <w:fldChar w:fldCharType="begin"/>
      </w:r>
      <w:r w:rsidRPr="00BD641D">
        <w:instrText xml:space="preserve"> ADDIN EN.CITE &lt;EndNote&gt;&lt;Cite&gt;&lt;Author&gt;Stavridou&lt;/Author&gt;&lt;Year&gt;1998&lt;/Year&gt;&lt;IDText&gt;Conceptual reorganization and the construction of the chemical reaction concept during secondary education.&lt;/IDText&gt;&lt;DisplayText&gt;(Stavridou and Solomonidou, 1998)&lt;/DisplayText&gt;&lt;record&gt;&lt;titles&gt;&lt;title&gt;Conceptual reorganization and the construction of the chemical reaction concept during secondary education.&lt;/title&gt;&lt;secondary-title&gt;International Journal of Science Education&lt;/secondary-title&gt;&lt;/titles&gt;&lt;pages&gt;205-221&lt;/pages&gt;&lt;number&gt;2&lt;/number&gt;&lt;contributors&gt;&lt;authors&gt;&lt;author&gt;Stavridou, Heleni&lt;/author&gt;&lt;author&gt;Solomonidou, Christina&lt;/author&gt;&lt;/authors&gt;&lt;/contributors&gt;&lt;added-date format="utc"&gt;1536664131&lt;/added-date&gt;&lt;ref-type name="Journal Article"&gt;17&lt;/ref-type&gt;&lt;dates&gt;&lt;year&gt;1998&lt;/year&gt;&lt;/dates&gt;&lt;rec-number&gt;18&lt;/rec-number&gt;&lt;last-updated-date format="utc"&gt;1536664224&lt;/last-updated-date&gt;&lt;volume&gt;20&lt;/volume&gt;&lt;/record&gt;&lt;/Cite&gt;&lt;/EndNote&gt;</w:instrText>
      </w:r>
      <w:r w:rsidRPr="00BD641D">
        <w:fldChar w:fldCharType="separate"/>
      </w:r>
      <w:r w:rsidRPr="00BD641D">
        <w:rPr>
          <w:noProof/>
        </w:rPr>
        <w:t>(Stavridou and Solomonidou, 1998)</w:t>
      </w:r>
      <w:r w:rsidRPr="00BD641D">
        <w:fldChar w:fldCharType="end"/>
      </w:r>
      <w:r w:rsidRPr="00BD641D">
        <w:t xml:space="preserve"> found that even where students acknowledged that the formation of new substance was the distinguishing feature of a chemical reaction they added the additional requirement that there must be two starting substances. For these students the idea of thermal decomposition may </w:t>
      </w:r>
      <w:r w:rsidR="00F4421D">
        <w:t xml:space="preserve">also </w:t>
      </w:r>
      <w:r w:rsidRPr="00BD641D">
        <w:t xml:space="preserve">be problematic. </w:t>
      </w:r>
    </w:p>
    <w:p w14:paraId="7D27C587" w14:textId="77777777" w:rsidR="007A748B" w:rsidRPr="00323334" w:rsidRDefault="007A748B" w:rsidP="00026DEC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 xml:space="preserve">Ways to use this </w:t>
      </w:r>
      <w:r w:rsidR="00C1460B">
        <w:rPr>
          <w:b/>
          <w:color w:val="E36C0A" w:themeColor="accent6" w:themeShade="BF"/>
          <w:sz w:val="24"/>
        </w:rPr>
        <w:t>question</w:t>
      </w:r>
    </w:p>
    <w:p w14:paraId="2701FFFE" w14:textId="02FA59C0" w:rsidR="00817955" w:rsidRDefault="006E75E9" w:rsidP="00402E34">
      <w:pPr>
        <w:spacing w:after="180"/>
      </w:pPr>
      <w:r>
        <w:t>Whilst this question could be use as a pen and paper exercise you may wish to consider showing ‘before and after’ samples of copper carbonate and copper oxide.</w:t>
      </w:r>
    </w:p>
    <w:p w14:paraId="19C9A87C" w14:textId="48E4871F" w:rsidR="006E75E9" w:rsidRDefault="006E75E9" w:rsidP="00402E34">
      <w:pPr>
        <w:spacing w:after="180"/>
      </w:pPr>
      <w:r>
        <w:t xml:space="preserve">You may also wish to demonstrate the thermal decomposition of copper carbonate. See </w:t>
      </w:r>
      <w:hyperlink r:id="rId10" w:history="1">
        <w:r w:rsidRPr="002644F1">
          <w:rPr>
            <w:rStyle w:val="Hyperlink"/>
          </w:rPr>
          <w:t>http://www.rsc.org/learn-chemistry/resource/res00000450/thermal-decomposition-of-metal-carbonates?cmpid=CMP00005971</w:t>
        </w:r>
      </w:hyperlink>
      <w:r>
        <w:t xml:space="preserve"> </w:t>
      </w:r>
    </w:p>
    <w:p w14:paraId="37E87BE4" w14:textId="77777777" w:rsidR="008D7B85" w:rsidRDefault="008D7B85" w:rsidP="008D7B85">
      <w:pPr>
        <w:spacing w:after="180"/>
        <w:rPr>
          <w:b/>
          <w:color w:val="76923C" w:themeColor="accent3" w:themeShade="BF"/>
          <w:sz w:val="24"/>
        </w:rPr>
      </w:pPr>
      <w:r w:rsidRPr="002454AC">
        <w:t xml:space="preserve">Practical work should be carried out in accordance with local health and safety </w:t>
      </w:r>
      <w:r>
        <w:t>requirements</w:t>
      </w:r>
      <w:r w:rsidRPr="002454AC">
        <w:t>, guidance from manufacturers and sup</w:t>
      </w:r>
      <w:r>
        <w:t>p</w:t>
      </w:r>
      <w:r w:rsidRPr="002454AC">
        <w:t>liers, and guidance available from CLEAPSS</w:t>
      </w:r>
      <w:r>
        <w:t>.</w:t>
      </w:r>
    </w:p>
    <w:p w14:paraId="2435D5CC" w14:textId="019B1ED6" w:rsidR="00BF19F3" w:rsidRPr="00BF19F3" w:rsidRDefault="00BF19F3" w:rsidP="00402E34">
      <w:pPr>
        <w:spacing w:after="180"/>
      </w:pPr>
      <w:r w:rsidRPr="00BF19F3">
        <w:t>The specifics of the thermal decomposition reaction are covered in key concept: CPS3.1 Rearrangement of atoms</w:t>
      </w:r>
      <w:r w:rsidR="006E75E9">
        <w:t xml:space="preserve"> so the focus of discussion should be on whether the student explanations </w:t>
      </w:r>
      <w:r w:rsidR="006E75E9" w:rsidRPr="006E75E9">
        <w:rPr>
          <w:i/>
        </w:rPr>
        <w:t>could</w:t>
      </w:r>
      <w:r w:rsidR="006E75E9">
        <w:t xml:space="preserve"> be correct</w:t>
      </w:r>
      <w:r w:rsidR="00AB0D49">
        <w:t xml:space="preserve"> in terms of understanding that a chemical reaction forms a new substance (or substances).</w:t>
      </w:r>
    </w:p>
    <w:p w14:paraId="65A7E5A3" w14:textId="77777777" w:rsidR="00E172C6" w:rsidRPr="00323334" w:rsidRDefault="00BB44B4" w:rsidP="00026DEC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Expected answers</w:t>
      </w:r>
    </w:p>
    <w:p w14:paraId="503C1282" w14:textId="7F38FE02" w:rsidR="00BF19F3" w:rsidRDefault="00BF19F3" w:rsidP="00BF6C8A">
      <w:pPr>
        <w:spacing w:after="180"/>
      </w:pPr>
      <w:r w:rsidRPr="00BF19F3">
        <w:t xml:space="preserve">Students should be able to recognise that </w:t>
      </w:r>
      <w:r w:rsidR="00AB0D49">
        <w:t>Danny and Amy</w:t>
      </w:r>
      <w:r w:rsidRPr="00BF19F3">
        <w:t xml:space="preserve"> are </w:t>
      </w:r>
      <w:r>
        <w:t xml:space="preserve">definitely </w:t>
      </w:r>
      <w:r w:rsidRPr="00BF19F3">
        <w:t>wrong</w:t>
      </w:r>
      <w:r w:rsidR="00475CAC">
        <w:t>,</w:t>
      </w:r>
      <w:r w:rsidRPr="00BF19F3">
        <w:t xml:space="preserve"> but that </w:t>
      </w:r>
      <w:r w:rsidR="00AB0D49">
        <w:t xml:space="preserve">Kyle or </w:t>
      </w:r>
      <w:r w:rsidR="00D87185">
        <w:t>Sujata</w:t>
      </w:r>
      <w:r w:rsidR="00AB0D49">
        <w:t xml:space="preserve"> </w:t>
      </w:r>
      <w:r w:rsidRPr="00BF19F3">
        <w:t>could be correct</w:t>
      </w:r>
      <w:r w:rsidR="00F4421D">
        <w:t xml:space="preserve"> in terms of correctly recognising that a new substance has been formed.</w:t>
      </w:r>
    </w:p>
    <w:p w14:paraId="0FEA2C3D" w14:textId="762BF93C" w:rsidR="00F4421D" w:rsidRDefault="00F4421D" w:rsidP="00BF6C8A">
      <w:pPr>
        <w:spacing w:after="180"/>
      </w:pPr>
      <w:r>
        <w:t xml:space="preserve">Kyle’s answer is </w:t>
      </w:r>
      <w:r w:rsidR="008D7B85">
        <w:t xml:space="preserve">scientifically </w:t>
      </w:r>
      <w:r>
        <w:t>correct.</w:t>
      </w:r>
    </w:p>
    <w:p w14:paraId="258DC322" w14:textId="77777777" w:rsidR="006A4440" w:rsidRPr="00323334" w:rsidRDefault="004C5D20" w:rsidP="00BF6C8A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How to respond - w</w:t>
      </w:r>
      <w:r w:rsidR="006A4440" w:rsidRPr="00323334">
        <w:rPr>
          <w:b/>
          <w:color w:val="E36C0A" w:themeColor="accent6" w:themeShade="BF"/>
          <w:sz w:val="24"/>
        </w:rPr>
        <w:t>h</w:t>
      </w:r>
      <w:r w:rsidRPr="00323334">
        <w:rPr>
          <w:b/>
          <w:color w:val="E36C0A" w:themeColor="accent6" w:themeShade="BF"/>
          <w:sz w:val="24"/>
        </w:rPr>
        <w:t>at</w:t>
      </w:r>
      <w:r w:rsidR="006A4440" w:rsidRPr="00323334">
        <w:rPr>
          <w:b/>
          <w:color w:val="E36C0A" w:themeColor="accent6" w:themeShade="BF"/>
          <w:sz w:val="24"/>
        </w:rPr>
        <w:t xml:space="preserve"> next?</w:t>
      </w:r>
    </w:p>
    <w:p w14:paraId="4A83A839" w14:textId="61B9B16F" w:rsidR="004F039C" w:rsidRPr="00365D49" w:rsidRDefault="00817955" w:rsidP="006A4440">
      <w:pPr>
        <w:spacing w:after="180"/>
      </w:pPr>
      <w:r w:rsidRPr="00365D49">
        <w:t>A student who thinks that</w:t>
      </w:r>
      <w:r w:rsidR="006E75E9">
        <w:t xml:space="preserve"> Danny</w:t>
      </w:r>
      <w:r w:rsidRPr="00365D49">
        <w:t xml:space="preserve"> is correct may be explaining the observed change in terms of a modification to the original substance. The substance is regarded as the same but with changed properties (colour).</w:t>
      </w:r>
    </w:p>
    <w:p w14:paraId="1F4692F0" w14:textId="58C11678" w:rsidR="00817955" w:rsidRPr="00365D49" w:rsidRDefault="006E75E9" w:rsidP="006A4440">
      <w:pPr>
        <w:spacing w:after="180"/>
      </w:pPr>
      <w:r>
        <w:t xml:space="preserve">Thinking that Amy is correct, </w:t>
      </w:r>
      <w:r w:rsidR="00817955" w:rsidRPr="00365D49">
        <w:t>indicates</w:t>
      </w:r>
      <w:r w:rsidR="00F4421D">
        <w:t xml:space="preserve"> that</w:t>
      </w:r>
      <w:r w:rsidR="00817955" w:rsidRPr="00365D49">
        <w:t xml:space="preserve"> the student </w:t>
      </w:r>
      <w:r w:rsidR="00F4421D">
        <w:t xml:space="preserve">may be </w:t>
      </w:r>
      <w:r w:rsidR="00817955" w:rsidRPr="00365D49">
        <w:t xml:space="preserve">explaining the </w:t>
      </w:r>
      <w:r>
        <w:t xml:space="preserve">observed </w:t>
      </w:r>
      <w:r w:rsidR="00817955" w:rsidRPr="00365D49">
        <w:t>change in terms of displacement (movement) of the observed produc</w:t>
      </w:r>
      <w:r w:rsidR="008D7B85">
        <w:t>t</w:t>
      </w:r>
      <w:r w:rsidR="00817955" w:rsidRPr="00365D49">
        <w:t xml:space="preserve"> from elsewhere,</w:t>
      </w:r>
      <w:r w:rsidR="00F4421D">
        <w:t xml:space="preserve"> potentially</w:t>
      </w:r>
      <w:r w:rsidR="00817955" w:rsidRPr="00365D49">
        <w:t xml:space="preserve"> implying </w:t>
      </w:r>
      <w:r w:rsidR="00F4421D">
        <w:t xml:space="preserve">that </w:t>
      </w:r>
      <w:r w:rsidR="00817955" w:rsidRPr="00365D49">
        <w:t>they think the product has always been in existence but has now become apparent.</w:t>
      </w:r>
    </w:p>
    <w:p w14:paraId="7079AB2E" w14:textId="67182922" w:rsidR="00BF19F3" w:rsidRPr="00365D49" w:rsidRDefault="00BF19F3" w:rsidP="006A4440">
      <w:pPr>
        <w:spacing w:after="180"/>
      </w:pPr>
      <w:r>
        <w:t>A student who does not think that</w:t>
      </w:r>
      <w:r w:rsidR="006E75E9">
        <w:t xml:space="preserve"> Kyle’s explanation</w:t>
      </w:r>
      <w:r>
        <w:t xml:space="preserve"> could be correct may consider that a chemical reaction can only take place when there are two substances at the start. Alternatively</w:t>
      </w:r>
      <w:r w:rsidR="00475CAC">
        <w:t>,</w:t>
      </w:r>
      <w:r>
        <w:t xml:space="preserve"> they may not have considered that a product may form that is in the gas state</w:t>
      </w:r>
      <w:r w:rsidR="00AB0D49">
        <w:t xml:space="preserve"> and therefore may not be observed.</w:t>
      </w:r>
    </w:p>
    <w:p w14:paraId="0FEA4A06" w14:textId="6C696EE5" w:rsidR="00475CAC" w:rsidRPr="00B64C5E" w:rsidRDefault="004F039C" w:rsidP="006A4440">
      <w:pPr>
        <w:spacing w:after="180"/>
      </w:pPr>
      <w:r w:rsidRPr="00B64C5E">
        <w:t>If students have m</w:t>
      </w:r>
      <w:r w:rsidR="00475CAC" w:rsidRPr="00B64C5E">
        <w:t xml:space="preserve">isunderstandings about the causes of </w:t>
      </w:r>
      <w:r w:rsidR="00B64C5E" w:rsidRPr="00B64C5E">
        <w:t xml:space="preserve">the </w:t>
      </w:r>
      <w:r w:rsidR="00475CAC" w:rsidRPr="00B64C5E">
        <w:t xml:space="preserve">observed </w:t>
      </w:r>
      <w:r w:rsidR="00B64C5E" w:rsidRPr="00B64C5E">
        <w:t>colour change then</w:t>
      </w:r>
      <w:r w:rsidR="00475CAC" w:rsidRPr="00B64C5E">
        <w:t xml:space="preserve"> it may be beneficial to make them aware of the specific misconceptions described above. Key concept:3.1</w:t>
      </w:r>
      <w:r w:rsidR="00B64C5E" w:rsidRPr="00B64C5E">
        <w:t xml:space="preserve"> </w:t>
      </w:r>
      <w:r w:rsidR="00475CAC" w:rsidRPr="00B64C5E">
        <w:t xml:space="preserve">Rearrangement of atoms </w:t>
      </w:r>
      <w:r w:rsidR="00B64C5E" w:rsidRPr="00B64C5E">
        <w:t xml:space="preserve">may be used to find out how students perceive the same change at the sub-microscopic level. If they do not already think in terms of the rearrangement of atoms, then this may help them understand how </w:t>
      </w:r>
      <w:r w:rsidR="008D7B85">
        <w:t xml:space="preserve">thermal </w:t>
      </w:r>
      <w:r w:rsidR="00B64C5E" w:rsidRPr="00B64C5E">
        <w:t>decomposition</w:t>
      </w:r>
      <w:r w:rsidR="008D7B85">
        <w:t xml:space="preserve"> can also</w:t>
      </w:r>
      <w:r w:rsidR="00B64C5E" w:rsidRPr="00B64C5E">
        <w:t xml:space="preserve"> create new substances.</w:t>
      </w:r>
    </w:p>
    <w:p w14:paraId="37D96760" w14:textId="13A73007" w:rsidR="005F1A7B" w:rsidRPr="00B64C5E" w:rsidRDefault="004F039C" w:rsidP="006A4440">
      <w:pPr>
        <w:spacing w:after="180"/>
      </w:pPr>
      <w:r w:rsidRPr="00B64C5E">
        <w:t xml:space="preserve"> The following </w:t>
      </w:r>
      <w:r w:rsidR="005F1A7B" w:rsidRPr="00B64C5E">
        <w:t xml:space="preserve">BEST </w:t>
      </w:r>
      <w:r w:rsidR="004C5D20" w:rsidRPr="00B64C5E">
        <w:t xml:space="preserve">‘response </w:t>
      </w:r>
      <w:r w:rsidR="00C1460B" w:rsidRPr="00B64C5E">
        <w:t>activities</w:t>
      </w:r>
      <w:r w:rsidR="004C5D20" w:rsidRPr="00B64C5E">
        <w:t>’</w:t>
      </w:r>
      <w:r w:rsidR="005F1A7B" w:rsidRPr="00B64C5E">
        <w:t xml:space="preserve"> </w:t>
      </w:r>
      <w:r w:rsidR="004C5D20" w:rsidRPr="00B64C5E">
        <w:t>c</w:t>
      </w:r>
      <w:r w:rsidR="005F1A7B" w:rsidRPr="00B64C5E">
        <w:t xml:space="preserve">ould </w:t>
      </w:r>
      <w:r w:rsidR="004C5D20" w:rsidRPr="00B64C5E">
        <w:t>be used in follow-up to this diagnostic question</w:t>
      </w:r>
      <w:r w:rsidRPr="00B64C5E">
        <w:t>:</w:t>
      </w:r>
    </w:p>
    <w:p w14:paraId="2A5FB175" w14:textId="4CE7E569" w:rsidR="00A6111E" w:rsidRPr="00B64C5E" w:rsidRDefault="00BF19F3" w:rsidP="00402E34">
      <w:pPr>
        <w:pStyle w:val="ListParagraph"/>
        <w:numPr>
          <w:ilvl w:val="0"/>
          <w:numId w:val="1"/>
        </w:numPr>
        <w:spacing w:after="180"/>
      </w:pPr>
      <w:r w:rsidRPr="00B64C5E">
        <w:t>Copper compounds</w:t>
      </w:r>
    </w:p>
    <w:p w14:paraId="0794E7EC" w14:textId="77777777" w:rsidR="008D7B85" w:rsidRDefault="008D7B85" w:rsidP="00026DEC">
      <w:pPr>
        <w:spacing w:after="180"/>
        <w:rPr>
          <w:b/>
          <w:color w:val="E36C0A" w:themeColor="accent6" w:themeShade="BF"/>
          <w:sz w:val="24"/>
        </w:rPr>
      </w:pPr>
    </w:p>
    <w:p w14:paraId="5B70FF2C" w14:textId="77777777" w:rsidR="008D7B85" w:rsidRDefault="008D7B85" w:rsidP="00026DEC">
      <w:pPr>
        <w:spacing w:after="180"/>
        <w:rPr>
          <w:b/>
          <w:color w:val="E36C0A" w:themeColor="accent6" w:themeShade="BF"/>
          <w:sz w:val="24"/>
        </w:rPr>
      </w:pPr>
    </w:p>
    <w:p w14:paraId="34279857" w14:textId="76920905" w:rsidR="003117F6" w:rsidRPr="00323334" w:rsidRDefault="00CC78A5" w:rsidP="00026DEC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Acknowledgments</w:t>
      </w:r>
    </w:p>
    <w:p w14:paraId="6E0C1C57" w14:textId="02C8668F" w:rsidR="00D278E8" w:rsidRPr="00BF19F3" w:rsidRDefault="00D278E8" w:rsidP="00E172C6">
      <w:pPr>
        <w:spacing w:after="180"/>
      </w:pPr>
      <w:r w:rsidRPr="00BF19F3">
        <w:t xml:space="preserve">Developed </w:t>
      </w:r>
      <w:r w:rsidR="0015356E" w:rsidRPr="00BF19F3">
        <w:t xml:space="preserve">by </w:t>
      </w:r>
      <w:r w:rsidR="00491644" w:rsidRPr="00BF19F3">
        <w:t>Helen Harden</w:t>
      </w:r>
      <w:r w:rsidR="00B64C5E">
        <w:t xml:space="preserve"> </w:t>
      </w:r>
      <w:r w:rsidR="0015356E" w:rsidRPr="00BF19F3">
        <w:t>(UYSEG)</w:t>
      </w:r>
      <w:r w:rsidR="00BF19F3" w:rsidRPr="00BF19F3">
        <w:t>.</w:t>
      </w:r>
    </w:p>
    <w:p w14:paraId="418D9075" w14:textId="18FA2CA7" w:rsidR="00F4421D" w:rsidRDefault="00D278E8" w:rsidP="00E172C6">
      <w:pPr>
        <w:spacing w:after="180"/>
      </w:pPr>
      <w:r w:rsidRPr="00BF19F3">
        <w:t xml:space="preserve">Images: </w:t>
      </w:r>
      <w:r w:rsidR="00491644" w:rsidRPr="00BF19F3">
        <w:t xml:space="preserve"> </w:t>
      </w:r>
      <w:r w:rsidR="006E75E9">
        <w:t>None</w:t>
      </w:r>
      <w:bookmarkStart w:id="0" w:name="_GoBack"/>
      <w:bookmarkEnd w:id="0"/>
    </w:p>
    <w:p w14:paraId="0CF43A39" w14:textId="77777777" w:rsidR="003117F6" w:rsidRPr="00323334" w:rsidRDefault="003117F6" w:rsidP="00026DEC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References</w:t>
      </w:r>
    </w:p>
    <w:p w14:paraId="4AB26101" w14:textId="77777777" w:rsidR="00BD641D" w:rsidRPr="00BD641D" w:rsidRDefault="00365D49" w:rsidP="00BD641D">
      <w:pPr>
        <w:pStyle w:val="EndNoteBibliography"/>
      </w:pPr>
      <w:r>
        <w:fldChar w:fldCharType="begin"/>
      </w:r>
      <w:r>
        <w:instrText xml:space="preserve"> ADDIN EN.REFLIST </w:instrText>
      </w:r>
      <w:r>
        <w:fldChar w:fldCharType="separate"/>
      </w:r>
      <w:r w:rsidR="00BD641D" w:rsidRPr="00BD641D">
        <w:t xml:space="preserve">Andersson, B. (1990). Pupils' conceptions of matter and its transformations (age 12-16). </w:t>
      </w:r>
      <w:r w:rsidR="00BD641D" w:rsidRPr="00BD641D">
        <w:rPr>
          <w:i/>
        </w:rPr>
        <w:t>Studies in Science Education,</w:t>
      </w:r>
      <w:r w:rsidR="00BD641D" w:rsidRPr="00BD641D">
        <w:t xml:space="preserve"> 18</w:t>
      </w:r>
      <w:r w:rsidR="00BD641D" w:rsidRPr="00BD641D">
        <w:rPr>
          <w:b/>
        </w:rPr>
        <w:t>,</w:t>
      </w:r>
      <w:r w:rsidR="00BD641D" w:rsidRPr="00BD641D">
        <w:t xml:space="preserve"> 53-85.</w:t>
      </w:r>
    </w:p>
    <w:p w14:paraId="2AB5596E" w14:textId="77777777" w:rsidR="00BD641D" w:rsidRPr="00BD641D" w:rsidRDefault="00BD641D" w:rsidP="00BD641D">
      <w:pPr>
        <w:pStyle w:val="EndNoteBibliography"/>
      </w:pPr>
      <w:r w:rsidRPr="00BD641D">
        <w:t xml:space="preserve">Johnson, P. (2000). Children's understanding of substances, part 1: recognizing chemical change. </w:t>
      </w:r>
      <w:r w:rsidRPr="00BD641D">
        <w:rPr>
          <w:i/>
        </w:rPr>
        <w:t>International Journal of Science Education,</w:t>
      </w:r>
      <w:r w:rsidRPr="00BD641D">
        <w:t xml:space="preserve"> 22(7)</w:t>
      </w:r>
      <w:r w:rsidRPr="00BD641D">
        <w:rPr>
          <w:b/>
        </w:rPr>
        <w:t>,</w:t>
      </w:r>
      <w:r w:rsidRPr="00BD641D">
        <w:t xml:space="preserve"> 719-737.</w:t>
      </w:r>
    </w:p>
    <w:p w14:paraId="1D2B1E74" w14:textId="77777777" w:rsidR="00BD641D" w:rsidRPr="00BD641D" w:rsidRDefault="00BD641D" w:rsidP="00BD641D">
      <w:pPr>
        <w:pStyle w:val="EndNoteBibliography"/>
      </w:pPr>
      <w:r w:rsidRPr="00BD641D">
        <w:t xml:space="preserve">Stavridou, H. and Solomonidou, C. (1998). Conceptual reorganization and the construction of the chemical reaction concept during secondary education. </w:t>
      </w:r>
      <w:r w:rsidRPr="00BD641D">
        <w:rPr>
          <w:i/>
        </w:rPr>
        <w:t>International Journal of Science Education,</w:t>
      </w:r>
      <w:r w:rsidRPr="00BD641D">
        <w:t xml:space="preserve"> 20(2)</w:t>
      </w:r>
      <w:r w:rsidRPr="00BD641D">
        <w:rPr>
          <w:b/>
        </w:rPr>
        <w:t>,</w:t>
      </w:r>
      <w:r w:rsidRPr="00BD641D">
        <w:t xml:space="preserve"> 205-221.</w:t>
      </w:r>
    </w:p>
    <w:p w14:paraId="106A5701" w14:textId="0A348DA8" w:rsidR="00B46FF9" w:rsidRDefault="00365D49" w:rsidP="00B64C5E">
      <w:r>
        <w:fldChar w:fldCharType="end"/>
      </w:r>
    </w:p>
    <w:sectPr w:rsidR="00B46FF9" w:rsidSect="00642ECD">
      <w:headerReference w:type="default" r:id="rId11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68E6ED" w14:textId="77777777" w:rsidR="00694A20" w:rsidRDefault="00694A20" w:rsidP="000B473B">
      <w:r>
        <w:separator/>
      </w:r>
    </w:p>
  </w:endnote>
  <w:endnote w:type="continuationSeparator" w:id="0">
    <w:p w14:paraId="7D6C2F45" w14:textId="77777777" w:rsidR="00694A20" w:rsidRDefault="00694A20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399F05" w14:textId="47F138D1"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47B21EE4" wp14:editId="1757F0D0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E1355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5D06E1">
      <w:rPr>
        <w:noProof/>
      </w:rPr>
      <w:t>3</w:t>
    </w:r>
    <w:r>
      <w:rPr>
        <w:noProof/>
      </w:rPr>
      <w:fldChar w:fldCharType="end"/>
    </w:r>
  </w:p>
  <w:p w14:paraId="0C9630D3" w14:textId="77777777"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C1460B">
      <w:rPr>
        <w:sz w:val="16"/>
        <w:szCs w:val="16"/>
      </w:rPr>
      <w:t>question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14:paraId="78DBD65B" w14:textId="77777777" w:rsidR="00F12C3B" w:rsidRPr="00201AC2" w:rsidRDefault="00201AC2" w:rsidP="00201AC2">
    <w:pPr>
      <w:pStyle w:val="Footer"/>
      <w:rPr>
        <w:sz w:val="16"/>
        <w:szCs w:val="16"/>
      </w:rPr>
    </w:pPr>
    <w:r>
      <w:rPr>
        <w:sz w:val="16"/>
        <w:szCs w:val="16"/>
      </w:rPr>
      <w:t>© University of York Science Education Group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2E3E31" w14:textId="77777777" w:rsidR="00694A20" w:rsidRDefault="00694A20" w:rsidP="000B473B">
      <w:r>
        <w:separator/>
      </w:r>
    </w:p>
  </w:footnote>
  <w:footnote w:type="continuationSeparator" w:id="0">
    <w:p w14:paraId="381CB81C" w14:textId="77777777" w:rsidR="00694A20" w:rsidRDefault="00694A20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0A12E4" w14:textId="77777777"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 wp14:anchorId="52A77A4B" wp14:editId="7E0B772B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8E7AA5A" wp14:editId="0A7F10BF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E5A7C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950443" w14:textId="77777777"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3BE2931" wp14:editId="513EF72B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779D1990" wp14:editId="60EAAD8F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EE6EE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C1460B"/>
    <w:rsid w:val="00015578"/>
    <w:rsid w:val="00020DAD"/>
    <w:rsid w:val="00024731"/>
    <w:rsid w:val="00026DEC"/>
    <w:rsid w:val="000505CA"/>
    <w:rsid w:val="0007651D"/>
    <w:rsid w:val="0009089A"/>
    <w:rsid w:val="000947E2"/>
    <w:rsid w:val="00095E04"/>
    <w:rsid w:val="000B45C3"/>
    <w:rsid w:val="000B473B"/>
    <w:rsid w:val="000D0E89"/>
    <w:rsid w:val="000E2689"/>
    <w:rsid w:val="000F2460"/>
    <w:rsid w:val="00142613"/>
    <w:rsid w:val="00144DA7"/>
    <w:rsid w:val="0015356E"/>
    <w:rsid w:val="00161D3F"/>
    <w:rsid w:val="001915D4"/>
    <w:rsid w:val="001A1FED"/>
    <w:rsid w:val="001A40E2"/>
    <w:rsid w:val="001C4805"/>
    <w:rsid w:val="00201AC2"/>
    <w:rsid w:val="00214608"/>
    <w:rsid w:val="0021607B"/>
    <w:rsid w:val="002178AC"/>
    <w:rsid w:val="0022547C"/>
    <w:rsid w:val="00242736"/>
    <w:rsid w:val="0025410A"/>
    <w:rsid w:val="002633A2"/>
    <w:rsid w:val="0027553E"/>
    <w:rsid w:val="0028012F"/>
    <w:rsid w:val="002828DF"/>
    <w:rsid w:val="00287876"/>
    <w:rsid w:val="00292236"/>
    <w:rsid w:val="00292C53"/>
    <w:rsid w:val="00294E22"/>
    <w:rsid w:val="002C22EA"/>
    <w:rsid w:val="002C59BA"/>
    <w:rsid w:val="003007BB"/>
    <w:rsid w:val="00301AA9"/>
    <w:rsid w:val="003117F6"/>
    <w:rsid w:val="00323334"/>
    <w:rsid w:val="003533B8"/>
    <w:rsid w:val="00365D49"/>
    <w:rsid w:val="003752BE"/>
    <w:rsid w:val="003A346A"/>
    <w:rsid w:val="003B2917"/>
    <w:rsid w:val="003B541B"/>
    <w:rsid w:val="003E2B2F"/>
    <w:rsid w:val="003E6046"/>
    <w:rsid w:val="003F16F9"/>
    <w:rsid w:val="00402E34"/>
    <w:rsid w:val="00430C1F"/>
    <w:rsid w:val="00432A0B"/>
    <w:rsid w:val="00442595"/>
    <w:rsid w:val="0045323E"/>
    <w:rsid w:val="00457BF5"/>
    <w:rsid w:val="00472D41"/>
    <w:rsid w:val="00475CAC"/>
    <w:rsid w:val="004776CB"/>
    <w:rsid w:val="00491644"/>
    <w:rsid w:val="004B0EE1"/>
    <w:rsid w:val="004C5D20"/>
    <w:rsid w:val="004D0D83"/>
    <w:rsid w:val="004E1DF1"/>
    <w:rsid w:val="004E5592"/>
    <w:rsid w:val="004F039C"/>
    <w:rsid w:val="0050055B"/>
    <w:rsid w:val="00512179"/>
    <w:rsid w:val="005125BA"/>
    <w:rsid w:val="00524710"/>
    <w:rsid w:val="005373D0"/>
    <w:rsid w:val="00555342"/>
    <w:rsid w:val="005560E2"/>
    <w:rsid w:val="005A452E"/>
    <w:rsid w:val="005A6EE7"/>
    <w:rsid w:val="005D06E1"/>
    <w:rsid w:val="005E1CEC"/>
    <w:rsid w:val="005F1A7B"/>
    <w:rsid w:val="006355D8"/>
    <w:rsid w:val="00642ECD"/>
    <w:rsid w:val="006502A0"/>
    <w:rsid w:val="006772F5"/>
    <w:rsid w:val="00694A20"/>
    <w:rsid w:val="00695159"/>
    <w:rsid w:val="006970C7"/>
    <w:rsid w:val="006A4440"/>
    <w:rsid w:val="006B0615"/>
    <w:rsid w:val="006D166B"/>
    <w:rsid w:val="006E75E9"/>
    <w:rsid w:val="006F3279"/>
    <w:rsid w:val="006F6C6B"/>
    <w:rsid w:val="00704AEE"/>
    <w:rsid w:val="00722F9A"/>
    <w:rsid w:val="0074753A"/>
    <w:rsid w:val="00754539"/>
    <w:rsid w:val="00772368"/>
    <w:rsid w:val="00781BC6"/>
    <w:rsid w:val="007A3C86"/>
    <w:rsid w:val="007A683E"/>
    <w:rsid w:val="007A748B"/>
    <w:rsid w:val="007C26E1"/>
    <w:rsid w:val="007D1D65"/>
    <w:rsid w:val="007E0A9E"/>
    <w:rsid w:val="007E5309"/>
    <w:rsid w:val="007F5D5D"/>
    <w:rsid w:val="00800DE1"/>
    <w:rsid w:val="008113E8"/>
    <w:rsid w:val="00813F47"/>
    <w:rsid w:val="00817955"/>
    <w:rsid w:val="008450D6"/>
    <w:rsid w:val="00856FCA"/>
    <w:rsid w:val="00873B8C"/>
    <w:rsid w:val="00880E3B"/>
    <w:rsid w:val="008A405F"/>
    <w:rsid w:val="008A4CEC"/>
    <w:rsid w:val="008C7F34"/>
    <w:rsid w:val="008D7B85"/>
    <w:rsid w:val="008E580C"/>
    <w:rsid w:val="0090047A"/>
    <w:rsid w:val="00925026"/>
    <w:rsid w:val="00931264"/>
    <w:rsid w:val="00942A4B"/>
    <w:rsid w:val="00961D59"/>
    <w:rsid w:val="009B2CE4"/>
    <w:rsid w:val="009B2D55"/>
    <w:rsid w:val="009C0343"/>
    <w:rsid w:val="009E0D11"/>
    <w:rsid w:val="009F6BAE"/>
    <w:rsid w:val="00A24A16"/>
    <w:rsid w:val="00A31BC9"/>
    <w:rsid w:val="00A37D14"/>
    <w:rsid w:val="00A42C0B"/>
    <w:rsid w:val="00A6111E"/>
    <w:rsid w:val="00A6168B"/>
    <w:rsid w:val="00A62028"/>
    <w:rsid w:val="00A83AA8"/>
    <w:rsid w:val="00AA6236"/>
    <w:rsid w:val="00AB0D49"/>
    <w:rsid w:val="00AB6AE7"/>
    <w:rsid w:val="00AD21F5"/>
    <w:rsid w:val="00AD798D"/>
    <w:rsid w:val="00B02229"/>
    <w:rsid w:val="00B06225"/>
    <w:rsid w:val="00B23C7A"/>
    <w:rsid w:val="00B305F5"/>
    <w:rsid w:val="00B46FF9"/>
    <w:rsid w:val="00B47E1D"/>
    <w:rsid w:val="00B64C5E"/>
    <w:rsid w:val="00B738D9"/>
    <w:rsid w:val="00B75483"/>
    <w:rsid w:val="00BA7952"/>
    <w:rsid w:val="00BB238E"/>
    <w:rsid w:val="00BB44B4"/>
    <w:rsid w:val="00BD641D"/>
    <w:rsid w:val="00BF0BBF"/>
    <w:rsid w:val="00BF19F3"/>
    <w:rsid w:val="00BF6C8A"/>
    <w:rsid w:val="00C05571"/>
    <w:rsid w:val="00C1460B"/>
    <w:rsid w:val="00C246CE"/>
    <w:rsid w:val="00C54711"/>
    <w:rsid w:val="00C57FA2"/>
    <w:rsid w:val="00CA1BE6"/>
    <w:rsid w:val="00CC2E4D"/>
    <w:rsid w:val="00CC78A5"/>
    <w:rsid w:val="00CC7B16"/>
    <w:rsid w:val="00CE15FE"/>
    <w:rsid w:val="00CE3952"/>
    <w:rsid w:val="00D02E15"/>
    <w:rsid w:val="00D14F44"/>
    <w:rsid w:val="00D278E8"/>
    <w:rsid w:val="00D421E8"/>
    <w:rsid w:val="00D44604"/>
    <w:rsid w:val="00D479B3"/>
    <w:rsid w:val="00D52283"/>
    <w:rsid w:val="00D524E5"/>
    <w:rsid w:val="00D72FEF"/>
    <w:rsid w:val="00D755FA"/>
    <w:rsid w:val="00D87185"/>
    <w:rsid w:val="00DC4A4E"/>
    <w:rsid w:val="00DD1874"/>
    <w:rsid w:val="00DD63BD"/>
    <w:rsid w:val="00DF05DB"/>
    <w:rsid w:val="00DF7E20"/>
    <w:rsid w:val="00E172C6"/>
    <w:rsid w:val="00E24309"/>
    <w:rsid w:val="00E53D82"/>
    <w:rsid w:val="00E9330A"/>
    <w:rsid w:val="00EA43F1"/>
    <w:rsid w:val="00EE6B97"/>
    <w:rsid w:val="00F12C3B"/>
    <w:rsid w:val="00F26884"/>
    <w:rsid w:val="00F4421D"/>
    <w:rsid w:val="00F72ECC"/>
    <w:rsid w:val="00F8355F"/>
    <w:rsid w:val="00FA3196"/>
    <w:rsid w:val="00FA5B3A"/>
    <w:rsid w:val="00FD25CD"/>
    <w:rsid w:val="00FF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934F7A"/>
  <w15:docId w15:val="{826AF3FB-7FFC-4F05-AA79-9E4AA49A2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paragraph" w:styleId="Heading1">
    <w:name w:val="heading 1"/>
    <w:basedOn w:val="Normal"/>
    <w:link w:val="Heading1Char"/>
    <w:uiPriority w:val="9"/>
    <w:qFormat/>
    <w:rsid w:val="00491644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91644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customStyle="1" w:styleId="EndNoteBibliographyTitle">
    <w:name w:val="EndNote Bibliography Title"/>
    <w:basedOn w:val="Normal"/>
    <w:link w:val="EndNoteBibliographyTitleChar"/>
    <w:rsid w:val="00365D49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365D49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365D49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365D49"/>
    <w:rPr>
      <w:rFonts w:ascii="Calibri" w:hAnsi="Calibri" w:cs="Calibri"/>
      <w:noProof/>
      <w:lang w:val="en-US"/>
    </w:rPr>
  </w:style>
  <w:style w:type="paragraph" w:styleId="NoSpacing">
    <w:name w:val="No Spacing"/>
    <w:uiPriority w:val="1"/>
    <w:qFormat/>
    <w:rsid w:val="00BD641D"/>
    <w:pPr>
      <w:spacing w:after="0" w:line="240" w:lineRule="auto"/>
    </w:pPr>
    <w:rPr>
      <w:rFonts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B738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738D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738D9"/>
    <w:rPr>
      <w:rFonts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38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38D9"/>
    <w:rPr>
      <w:rFonts w:cs="Arial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6E75E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E75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yperlink" Target="http://www.rsc.org/learn-chemistry/resource/res00000450/thermal-decomposition-of-metal-carbonates?cmpid=CMP00005971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1229</Words>
  <Characters>7009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8222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HEC Harden</cp:lastModifiedBy>
  <cp:revision>9</cp:revision>
  <cp:lastPrinted>2018-10-04T16:34:00Z</cp:lastPrinted>
  <dcterms:created xsi:type="dcterms:W3CDTF">2018-10-02T10:47:00Z</dcterms:created>
  <dcterms:modified xsi:type="dcterms:W3CDTF">2018-11-27T10:11:00Z</dcterms:modified>
</cp:coreProperties>
</file>