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C1BF8" w14:textId="3FD0F397" w:rsidR="00201AC2" w:rsidRPr="000B51C9" w:rsidRDefault="003C1BC9" w:rsidP="00201AC2">
      <w:pPr>
        <w:spacing w:after="180"/>
        <w:rPr>
          <w:b/>
          <w:sz w:val="44"/>
          <w:szCs w:val="44"/>
        </w:rPr>
      </w:pPr>
      <w:r>
        <w:rPr>
          <w:b/>
          <w:sz w:val="44"/>
          <w:szCs w:val="44"/>
        </w:rPr>
        <w:t>Which change?</w:t>
      </w:r>
    </w:p>
    <w:p w14:paraId="3149BEDA" w14:textId="77777777" w:rsidR="00201AC2" w:rsidRPr="000B51C9" w:rsidRDefault="00201AC2" w:rsidP="00201AC2">
      <w:pPr>
        <w:spacing w:after="180"/>
      </w:pPr>
    </w:p>
    <w:p w14:paraId="1A6B7575" w14:textId="6BAE7319" w:rsidR="000B51C9" w:rsidRPr="000B51C9" w:rsidRDefault="000B51C9" w:rsidP="00201AC2">
      <w:pPr>
        <w:spacing w:after="180"/>
      </w:pPr>
      <w:r w:rsidRPr="000B51C9">
        <w:t>Here is a list of changes.</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08"/>
        <w:gridCol w:w="4508"/>
      </w:tblGrid>
      <w:tr w:rsidR="000B51C9" w:rsidRPr="000B51C9" w14:paraId="3B80A83D" w14:textId="77777777" w:rsidTr="00912294">
        <w:tc>
          <w:tcPr>
            <w:tcW w:w="4508" w:type="dxa"/>
          </w:tcPr>
          <w:p w14:paraId="1E76C73B" w14:textId="62BDEAE8" w:rsidR="000B51C9" w:rsidRPr="00912294" w:rsidRDefault="000B51C9" w:rsidP="00912294">
            <w:pPr>
              <w:spacing w:after="180"/>
              <w:rPr>
                <w:b/>
                <w:sz w:val="24"/>
              </w:rPr>
            </w:pPr>
            <w:r w:rsidRPr="00912294">
              <w:rPr>
                <w:b/>
                <w:sz w:val="24"/>
              </w:rPr>
              <w:t>wax melting</w:t>
            </w:r>
          </w:p>
        </w:tc>
        <w:tc>
          <w:tcPr>
            <w:tcW w:w="4508" w:type="dxa"/>
          </w:tcPr>
          <w:p w14:paraId="4DC5E21F" w14:textId="430C3E5E" w:rsidR="000B51C9" w:rsidRPr="00912294" w:rsidRDefault="000B51C9" w:rsidP="00912294">
            <w:pPr>
              <w:spacing w:after="180"/>
              <w:rPr>
                <w:b/>
                <w:sz w:val="24"/>
              </w:rPr>
            </w:pPr>
            <w:r w:rsidRPr="00912294">
              <w:rPr>
                <w:b/>
                <w:sz w:val="24"/>
              </w:rPr>
              <w:t>nail rusting</w:t>
            </w:r>
          </w:p>
        </w:tc>
      </w:tr>
      <w:tr w:rsidR="000B51C9" w:rsidRPr="000B51C9" w14:paraId="79F1D210" w14:textId="77777777" w:rsidTr="00912294">
        <w:tc>
          <w:tcPr>
            <w:tcW w:w="4508" w:type="dxa"/>
          </w:tcPr>
          <w:p w14:paraId="51C2F1FE" w14:textId="6BEBAE26" w:rsidR="000B51C9" w:rsidRPr="00912294" w:rsidRDefault="000B51C9" w:rsidP="00912294">
            <w:pPr>
              <w:spacing w:after="180"/>
              <w:rPr>
                <w:b/>
                <w:sz w:val="24"/>
              </w:rPr>
            </w:pPr>
            <w:r w:rsidRPr="00912294">
              <w:rPr>
                <w:b/>
                <w:sz w:val="24"/>
              </w:rPr>
              <w:t>wood burning</w:t>
            </w:r>
          </w:p>
        </w:tc>
        <w:tc>
          <w:tcPr>
            <w:tcW w:w="4508" w:type="dxa"/>
          </w:tcPr>
          <w:p w14:paraId="3ECA8234" w14:textId="2AE9A285" w:rsidR="000B51C9" w:rsidRPr="00912294" w:rsidRDefault="000B51C9" w:rsidP="00912294">
            <w:pPr>
              <w:spacing w:after="180"/>
              <w:rPr>
                <w:b/>
                <w:sz w:val="24"/>
              </w:rPr>
            </w:pPr>
            <w:r w:rsidRPr="00912294">
              <w:rPr>
                <w:b/>
                <w:sz w:val="24"/>
              </w:rPr>
              <w:t>water boiling</w:t>
            </w:r>
          </w:p>
        </w:tc>
      </w:tr>
      <w:tr w:rsidR="000B51C9" w:rsidRPr="000B51C9" w14:paraId="58AB9ADB" w14:textId="77777777" w:rsidTr="00912294">
        <w:tc>
          <w:tcPr>
            <w:tcW w:w="4508" w:type="dxa"/>
          </w:tcPr>
          <w:p w14:paraId="4D14B376" w14:textId="600C92CB" w:rsidR="000B51C9" w:rsidRPr="00912294" w:rsidRDefault="000B51C9" w:rsidP="00912294">
            <w:pPr>
              <w:spacing w:after="180"/>
              <w:rPr>
                <w:b/>
                <w:sz w:val="24"/>
              </w:rPr>
            </w:pPr>
            <w:r w:rsidRPr="00912294">
              <w:rPr>
                <w:b/>
                <w:sz w:val="24"/>
              </w:rPr>
              <w:t>perfume evaporating</w:t>
            </w:r>
          </w:p>
        </w:tc>
        <w:tc>
          <w:tcPr>
            <w:tcW w:w="4508" w:type="dxa"/>
          </w:tcPr>
          <w:p w14:paraId="2E359541" w14:textId="10A0D455" w:rsidR="000B51C9" w:rsidRPr="00912294" w:rsidRDefault="000B51C9" w:rsidP="00912294">
            <w:pPr>
              <w:spacing w:after="180"/>
              <w:rPr>
                <w:b/>
                <w:sz w:val="24"/>
              </w:rPr>
            </w:pPr>
            <w:r w:rsidRPr="00912294">
              <w:rPr>
                <w:b/>
                <w:sz w:val="24"/>
              </w:rPr>
              <w:t>milk turning sour</w:t>
            </w:r>
          </w:p>
        </w:tc>
      </w:tr>
      <w:tr w:rsidR="000B51C9" w:rsidRPr="000B51C9" w14:paraId="1A7EB5C7" w14:textId="77777777" w:rsidTr="00912294">
        <w:tc>
          <w:tcPr>
            <w:tcW w:w="4508" w:type="dxa"/>
          </w:tcPr>
          <w:p w14:paraId="4A609EE5" w14:textId="5D6864B7" w:rsidR="000B51C9" w:rsidRPr="00912294" w:rsidRDefault="000B51C9" w:rsidP="00912294">
            <w:pPr>
              <w:spacing w:after="180"/>
              <w:rPr>
                <w:b/>
                <w:sz w:val="24"/>
              </w:rPr>
            </w:pPr>
            <w:r w:rsidRPr="00912294">
              <w:rPr>
                <w:b/>
                <w:sz w:val="24"/>
              </w:rPr>
              <w:t>meat cooking in an oven</w:t>
            </w:r>
          </w:p>
        </w:tc>
        <w:tc>
          <w:tcPr>
            <w:tcW w:w="4508" w:type="dxa"/>
          </w:tcPr>
          <w:p w14:paraId="77BCA123" w14:textId="78D78A84" w:rsidR="000B51C9" w:rsidRPr="00912294" w:rsidRDefault="000B51C9" w:rsidP="00912294">
            <w:pPr>
              <w:spacing w:after="180"/>
              <w:rPr>
                <w:b/>
                <w:sz w:val="24"/>
              </w:rPr>
            </w:pPr>
            <w:r w:rsidRPr="00912294">
              <w:rPr>
                <w:b/>
                <w:sz w:val="24"/>
              </w:rPr>
              <w:t>salt added to soup</w:t>
            </w:r>
          </w:p>
        </w:tc>
      </w:tr>
      <w:tr w:rsidR="000B51C9" w:rsidRPr="000B51C9" w14:paraId="23FC3875" w14:textId="77777777" w:rsidTr="00912294">
        <w:tc>
          <w:tcPr>
            <w:tcW w:w="4508" w:type="dxa"/>
          </w:tcPr>
          <w:p w14:paraId="0A1042BA" w14:textId="08EC9AB3" w:rsidR="000B51C9" w:rsidRPr="00912294" w:rsidRDefault="000B51C9" w:rsidP="00912294">
            <w:pPr>
              <w:spacing w:after="180"/>
              <w:rPr>
                <w:b/>
                <w:sz w:val="24"/>
              </w:rPr>
            </w:pPr>
            <w:r w:rsidRPr="00912294">
              <w:rPr>
                <w:b/>
                <w:sz w:val="24"/>
              </w:rPr>
              <w:t>sugar added to tea</w:t>
            </w:r>
          </w:p>
        </w:tc>
        <w:tc>
          <w:tcPr>
            <w:tcW w:w="4508" w:type="dxa"/>
          </w:tcPr>
          <w:p w14:paraId="2CDC8C39" w14:textId="49CFE3B2" w:rsidR="000B51C9" w:rsidRPr="00912294" w:rsidRDefault="000B51C9" w:rsidP="00912294">
            <w:pPr>
              <w:spacing w:after="180"/>
              <w:rPr>
                <w:b/>
                <w:sz w:val="24"/>
              </w:rPr>
            </w:pPr>
            <w:r w:rsidRPr="00912294">
              <w:rPr>
                <w:b/>
                <w:sz w:val="24"/>
              </w:rPr>
              <w:t>egg boiling</w:t>
            </w:r>
          </w:p>
        </w:tc>
      </w:tr>
    </w:tbl>
    <w:p w14:paraId="50F7979F" w14:textId="77F76CD0" w:rsidR="000B51C9" w:rsidRDefault="000B51C9" w:rsidP="00201AC2">
      <w:pPr>
        <w:spacing w:after="180"/>
        <w:rPr>
          <w:highlight w:val="yellow"/>
        </w:rPr>
      </w:pPr>
    </w:p>
    <w:p w14:paraId="7050DA5A" w14:textId="68D5A6CE" w:rsidR="00B975D9" w:rsidRDefault="00CC1946" w:rsidP="00912294">
      <w:pPr>
        <w:spacing w:after="180"/>
      </w:pPr>
      <w:r>
        <w:t xml:space="preserve">Decide whether each change is a </w:t>
      </w:r>
      <w:r w:rsidRPr="00CC1946">
        <w:rPr>
          <w:b/>
        </w:rPr>
        <w:t>physical change</w:t>
      </w:r>
      <w:r>
        <w:t xml:space="preserve"> or a </w:t>
      </w:r>
      <w:r w:rsidR="00A51CB5">
        <w:rPr>
          <w:b/>
        </w:rPr>
        <w:t>chemical change.</w:t>
      </w:r>
      <w:r w:rsidR="00B975D9">
        <w:rPr>
          <w:b/>
        </w:rPr>
        <w:t xml:space="preserve"> </w:t>
      </w:r>
      <w:r w:rsidR="00A51CB5">
        <w:rPr>
          <w:b/>
        </w:rPr>
        <w:fldChar w:fldCharType="begin"/>
      </w:r>
      <w:r w:rsidR="00A51CB5">
        <w:rPr>
          <w:b/>
        </w:rPr>
        <w:instrText xml:space="preserve"> ADDIN EN.CITE &lt;EndNote&gt;&lt;Cite&gt;&lt;Author&gt;Stavridou&lt;/Author&gt;&lt;Year&gt;1998&lt;/Year&gt;&lt;IDText&gt;Conceptual reorganization and the construction of the chemical reaction concept during secondary education.&lt;/IDText&gt;&lt;DisplayText&gt;(Stavridou and Solomonidou, 1998)&lt;/DisplayText&gt;&lt;record&gt;&lt;titles&gt;&lt;title&gt;Conceptual reorganization and the construction of the chemical reaction concept during secondary education.&lt;/title&gt;&lt;secondary-title&gt;International Journal of Science Education&lt;/secondary-title&gt;&lt;/titles&gt;&lt;pages&gt;205-221&lt;/pages&gt;&lt;number&gt;2&lt;/number&gt;&lt;contributors&gt;&lt;authors&gt;&lt;author&gt;Stavridou, Heleni&lt;/author&gt;&lt;author&gt;Solomonidou, Christina&lt;/author&gt;&lt;/authors&gt;&lt;/contributors&gt;&lt;added-date format="utc"&gt;1536664131&lt;/added-date&gt;&lt;ref-type name="Journal Article"&gt;17&lt;/ref-type&gt;&lt;dates&gt;&lt;year&gt;1998&lt;/year&gt;&lt;/dates&gt;&lt;rec-number&gt;18&lt;/rec-number&gt;&lt;last-updated-date format="utc"&gt;1536664224&lt;/last-updated-date&gt;&lt;volume&gt;20&lt;/volume&gt;&lt;/record&gt;&lt;/Cite&gt;&lt;/EndNote&gt;</w:instrText>
      </w:r>
      <w:r w:rsidR="00A51CB5">
        <w:rPr>
          <w:b/>
        </w:rPr>
        <w:fldChar w:fldCharType="end"/>
      </w:r>
    </w:p>
    <w:p w14:paraId="173B197E" w14:textId="6B608164" w:rsidR="00CC1946" w:rsidRDefault="00CC1946" w:rsidP="00912294">
      <w:pPr>
        <w:spacing w:after="180"/>
      </w:pPr>
      <w:r>
        <w:t>Write your answers in the table below.</w:t>
      </w:r>
    </w:p>
    <w:p w14:paraId="6A1652B5" w14:textId="77777777" w:rsidR="00912294" w:rsidRPr="000B51C9" w:rsidRDefault="00912294" w:rsidP="00201AC2">
      <w:pPr>
        <w:spacing w:after="180"/>
        <w:rPr>
          <w:highlight w:val="yellow"/>
        </w:rPr>
      </w:pPr>
    </w:p>
    <w:tbl>
      <w:tblPr>
        <w:tblStyle w:val="TableGrid"/>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508"/>
        <w:gridCol w:w="4508"/>
      </w:tblGrid>
      <w:tr w:rsidR="003C1BC9" w:rsidRPr="000B51C9" w14:paraId="45FF5A88" w14:textId="77777777" w:rsidTr="00271806">
        <w:tc>
          <w:tcPr>
            <w:tcW w:w="4508" w:type="dxa"/>
          </w:tcPr>
          <w:p w14:paraId="770D2FCF" w14:textId="77777777" w:rsidR="003C1BC9" w:rsidRPr="00912294" w:rsidRDefault="003C1BC9" w:rsidP="00271806">
            <w:pPr>
              <w:spacing w:after="180"/>
              <w:rPr>
                <w:b/>
                <w:sz w:val="24"/>
              </w:rPr>
            </w:pPr>
            <w:r>
              <w:rPr>
                <w:b/>
                <w:sz w:val="24"/>
              </w:rPr>
              <w:t>Physical changes</w:t>
            </w:r>
          </w:p>
        </w:tc>
        <w:tc>
          <w:tcPr>
            <w:tcW w:w="4508" w:type="dxa"/>
          </w:tcPr>
          <w:p w14:paraId="4FF00512" w14:textId="77777777" w:rsidR="003C1BC9" w:rsidRPr="00912294" w:rsidRDefault="003C1BC9" w:rsidP="00271806">
            <w:pPr>
              <w:spacing w:after="180"/>
              <w:rPr>
                <w:b/>
                <w:sz w:val="24"/>
              </w:rPr>
            </w:pPr>
            <w:r>
              <w:rPr>
                <w:b/>
                <w:sz w:val="24"/>
              </w:rPr>
              <w:t>Chemical changes</w:t>
            </w:r>
          </w:p>
        </w:tc>
      </w:tr>
      <w:tr w:rsidR="003C1BC9" w:rsidRPr="000B51C9" w14:paraId="3ABCEEDD" w14:textId="77777777" w:rsidTr="00271806">
        <w:tc>
          <w:tcPr>
            <w:tcW w:w="4508" w:type="dxa"/>
          </w:tcPr>
          <w:p w14:paraId="7040E8D2" w14:textId="5605B529" w:rsidR="003C1BC9" w:rsidRPr="003C1BC9" w:rsidRDefault="003C1BC9" w:rsidP="00271806">
            <w:pPr>
              <w:spacing w:after="180"/>
              <w:rPr>
                <w:sz w:val="24"/>
              </w:rPr>
            </w:pPr>
          </w:p>
        </w:tc>
        <w:tc>
          <w:tcPr>
            <w:tcW w:w="4508" w:type="dxa"/>
          </w:tcPr>
          <w:p w14:paraId="0530C331" w14:textId="2DEF726E" w:rsidR="003C1BC9" w:rsidRPr="003C1BC9" w:rsidRDefault="003C1BC9" w:rsidP="00271806">
            <w:pPr>
              <w:spacing w:after="180"/>
              <w:rPr>
                <w:sz w:val="24"/>
              </w:rPr>
            </w:pPr>
          </w:p>
        </w:tc>
      </w:tr>
      <w:tr w:rsidR="003C1BC9" w:rsidRPr="000B51C9" w14:paraId="0B3EC121" w14:textId="77777777" w:rsidTr="00271806">
        <w:tc>
          <w:tcPr>
            <w:tcW w:w="4508" w:type="dxa"/>
          </w:tcPr>
          <w:p w14:paraId="7D2479BC" w14:textId="0ED6C15C" w:rsidR="003C1BC9" w:rsidRPr="003C1BC9" w:rsidRDefault="003C1BC9" w:rsidP="00271806">
            <w:pPr>
              <w:spacing w:after="180"/>
              <w:rPr>
                <w:sz w:val="24"/>
              </w:rPr>
            </w:pPr>
          </w:p>
        </w:tc>
        <w:tc>
          <w:tcPr>
            <w:tcW w:w="4508" w:type="dxa"/>
          </w:tcPr>
          <w:p w14:paraId="7B5F1F3F" w14:textId="3403BF83" w:rsidR="003C1BC9" w:rsidRPr="003C1BC9" w:rsidRDefault="003C1BC9" w:rsidP="00271806">
            <w:pPr>
              <w:spacing w:after="180"/>
              <w:rPr>
                <w:sz w:val="24"/>
              </w:rPr>
            </w:pPr>
          </w:p>
        </w:tc>
      </w:tr>
      <w:tr w:rsidR="003C1BC9" w:rsidRPr="000B51C9" w14:paraId="3A32A539" w14:textId="77777777" w:rsidTr="00271806">
        <w:tc>
          <w:tcPr>
            <w:tcW w:w="4508" w:type="dxa"/>
          </w:tcPr>
          <w:p w14:paraId="0183D19B" w14:textId="1619E9AB" w:rsidR="003C1BC9" w:rsidRPr="003C1BC9" w:rsidRDefault="003C1BC9" w:rsidP="00271806">
            <w:pPr>
              <w:spacing w:after="180"/>
              <w:rPr>
                <w:sz w:val="24"/>
              </w:rPr>
            </w:pPr>
          </w:p>
        </w:tc>
        <w:tc>
          <w:tcPr>
            <w:tcW w:w="4508" w:type="dxa"/>
          </w:tcPr>
          <w:p w14:paraId="390CC6C7" w14:textId="5FC4A5CF" w:rsidR="003C1BC9" w:rsidRPr="003C1BC9" w:rsidRDefault="003C1BC9" w:rsidP="00271806">
            <w:pPr>
              <w:spacing w:after="180"/>
              <w:rPr>
                <w:sz w:val="24"/>
              </w:rPr>
            </w:pPr>
          </w:p>
        </w:tc>
      </w:tr>
      <w:tr w:rsidR="003C1BC9" w:rsidRPr="000B51C9" w14:paraId="73CE758B" w14:textId="77777777" w:rsidTr="00271806">
        <w:tc>
          <w:tcPr>
            <w:tcW w:w="4508" w:type="dxa"/>
          </w:tcPr>
          <w:p w14:paraId="43F95459" w14:textId="7A37BD54" w:rsidR="003C1BC9" w:rsidRPr="003C1BC9" w:rsidRDefault="003C1BC9" w:rsidP="00271806">
            <w:pPr>
              <w:spacing w:after="180"/>
              <w:rPr>
                <w:sz w:val="24"/>
              </w:rPr>
            </w:pPr>
          </w:p>
        </w:tc>
        <w:tc>
          <w:tcPr>
            <w:tcW w:w="4508" w:type="dxa"/>
          </w:tcPr>
          <w:p w14:paraId="4F25AF9A" w14:textId="7B25F512" w:rsidR="003C1BC9" w:rsidRPr="003C1BC9" w:rsidRDefault="003C1BC9" w:rsidP="00271806">
            <w:pPr>
              <w:spacing w:after="180"/>
              <w:rPr>
                <w:sz w:val="24"/>
              </w:rPr>
            </w:pPr>
          </w:p>
        </w:tc>
      </w:tr>
      <w:tr w:rsidR="003C1BC9" w:rsidRPr="000B51C9" w14:paraId="10C6C91D" w14:textId="77777777" w:rsidTr="00271806">
        <w:tc>
          <w:tcPr>
            <w:tcW w:w="4508" w:type="dxa"/>
          </w:tcPr>
          <w:p w14:paraId="52804417" w14:textId="47674137" w:rsidR="003C1BC9" w:rsidRPr="003C1BC9" w:rsidRDefault="003C1BC9" w:rsidP="00271806">
            <w:pPr>
              <w:spacing w:after="180"/>
              <w:rPr>
                <w:sz w:val="24"/>
              </w:rPr>
            </w:pPr>
          </w:p>
        </w:tc>
        <w:tc>
          <w:tcPr>
            <w:tcW w:w="4508" w:type="dxa"/>
          </w:tcPr>
          <w:p w14:paraId="1DC10418" w14:textId="77777777" w:rsidR="003C1BC9" w:rsidRPr="003C1BC9" w:rsidRDefault="003C1BC9" w:rsidP="00271806">
            <w:pPr>
              <w:spacing w:after="180"/>
              <w:rPr>
                <w:sz w:val="24"/>
              </w:rPr>
            </w:pPr>
          </w:p>
        </w:tc>
      </w:tr>
      <w:tr w:rsidR="003C1BC9" w:rsidRPr="000B51C9" w14:paraId="39E554B5" w14:textId="77777777" w:rsidTr="00271806">
        <w:tc>
          <w:tcPr>
            <w:tcW w:w="4508" w:type="dxa"/>
          </w:tcPr>
          <w:p w14:paraId="351E2072" w14:textId="5F3DC501" w:rsidR="003C1BC9" w:rsidRPr="003C1BC9" w:rsidRDefault="003C1BC9" w:rsidP="00271806">
            <w:pPr>
              <w:spacing w:after="180"/>
              <w:rPr>
                <w:sz w:val="24"/>
              </w:rPr>
            </w:pPr>
          </w:p>
        </w:tc>
        <w:tc>
          <w:tcPr>
            <w:tcW w:w="4508" w:type="dxa"/>
          </w:tcPr>
          <w:p w14:paraId="5FCF971E" w14:textId="77777777" w:rsidR="003C1BC9" w:rsidRPr="00912294" w:rsidRDefault="003C1BC9" w:rsidP="00271806">
            <w:pPr>
              <w:spacing w:after="180"/>
              <w:rPr>
                <w:b/>
                <w:sz w:val="24"/>
              </w:rPr>
            </w:pPr>
          </w:p>
        </w:tc>
      </w:tr>
    </w:tbl>
    <w:p w14:paraId="231FC2D5" w14:textId="77777777" w:rsidR="007C26E1" w:rsidRDefault="007C26E1" w:rsidP="00201AC2">
      <w:pPr>
        <w:spacing w:after="180"/>
      </w:pPr>
    </w:p>
    <w:p w14:paraId="2B28F865" w14:textId="77777777" w:rsidR="00201AC2" w:rsidRPr="00201AC2" w:rsidRDefault="00201AC2" w:rsidP="006F3279">
      <w:pPr>
        <w:spacing w:after="240"/>
        <w:rPr>
          <w:szCs w:val="18"/>
        </w:rPr>
      </w:pPr>
    </w:p>
    <w:p w14:paraId="5DCE0BFD" w14:textId="77777777" w:rsidR="00201AC2" w:rsidRPr="00201AC2" w:rsidRDefault="00201AC2" w:rsidP="006F3279">
      <w:pPr>
        <w:spacing w:after="240"/>
        <w:rPr>
          <w:szCs w:val="18"/>
        </w:rPr>
      </w:pPr>
    </w:p>
    <w:p w14:paraId="44AEC5D2" w14:textId="77777777"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7FE7EC1E" w14:textId="089CB861"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0B51C9">
        <w:rPr>
          <w:i/>
          <w:sz w:val="18"/>
          <w:szCs w:val="18"/>
        </w:rPr>
        <w:t>CCR: Chemical reactions</w:t>
      </w:r>
      <w:r w:rsidR="0007651D">
        <w:rPr>
          <w:i/>
          <w:sz w:val="18"/>
          <w:szCs w:val="18"/>
        </w:rPr>
        <w:t xml:space="preserve"> &gt; Topic </w:t>
      </w:r>
      <w:r w:rsidR="000B51C9">
        <w:rPr>
          <w:i/>
          <w:sz w:val="18"/>
          <w:szCs w:val="18"/>
        </w:rPr>
        <w:t>CCR1: Chemical change</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0B51C9">
        <w:rPr>
          <w:i/>
          <w:sz w:val="18"/>
          <w:szCs w:val="18"/>
        </w:rPr>
        <w:t>CCR1.1: Formation of new substance</w:t>
      </w:r>
      <w:r w:rsidR="00AC5CC9">
        <w:rPr>
          <w:i/>
          <w:sz w:val="18"/>
          <w:szCs w:val="18"/>
        </w:rPr>
        <w:t>s</w:t>
      </w:r>
      <w:bookmarkStart w:id="0" w:name="_GoBack"/>
      <w:bookmarkEnd w:id="0"/>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4135E1D0" w14:textId="77777777" w:rsidTr="00323334">
        <w:tc>
          <w:tcPr>
            <w:tcW w:w="12021" w:type="dxa"/>
            <w:shd w:val="clear" w:color="auto" w:fill="FABF8F" w:themeFill="accent6" w:themeFillTint="99"/>
          </w:tcPr>
          <w:p w14:paraId="7F5A2B23"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rsidRPr="00AE2D3C" w14:paraId="5D9BAB92" w14:textId="77777777" w:rsidTr="00323334">
        <w:tc>
          <w:tcPr>
            <w:tcW w:w="12021" w:type="dxa"/>
            <w:shd w:val="clear" w:color="auto" w:fill="FBD4B4" w:themeFill="accent6" w:themeFillTint="66"/>
          </w:tcPr>
          <w:p w14:paraId="4B24CB64" w14:textId="00035559" w:rsidR="006F3279" w:rsidRPr="00AE2D3C" w:rsidRDefault="003C1BC9" w:rsidP="006F3279">
            <w:pPr>
              <w:spacing w:after="60"/>
              <w:ind w:left="1304"/>
              <w:rPr>
                <w:b/>
                <w:sz w:val="40"/>
                <w:szCs w:val="40"/>
              </w:rPr>
            </w:pPr>
            <w:r>
              <w:rPr>
                <w:b/>
                <w:sz w:val="40"/>
                <w:szCs w:val="40"/>
              </w:rPr>
              <w:t>Which change?</w:t>
            </w:r>
          </w:p>
        </w:tc>
      </w:tr>
    </w:tbl>
    <w:p w14:paraId="3811DDA0" w14:textId="77777777" w:rsidR="006F3279" w:rsidRPr="00AE2D3C" w:rsidRDefault="006F3279" w:rsidP="00E172C6">
      <w:pPr>
        <w:spacing w:after="180"/>
        <w:rPr>
          <w:b/>
        </w:rPr>
      </w:pPr>
    </w:p>
    <w:p w14:paraId="207017F2" w14:textId="77777777" w:rsidR="00402E34" w:rsidRPr="00AE2D3C" w:rsidRDefault="00402E34" w:rsidP="00E172C6">
      <w:pPr>
        <w:spacing w:after="180"/>
        <w:rPr>
          <w:b/>
          <w:color w:val="E36C0A" w:themeColor="accent6" w:themeShade="BF"/>
        </w:rPr>
      </w:pPr>
      <w:r w:rsidRPr="00AE2D3C">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rsidRPr="00AE2D3C" w14:paraId="259AC6D7" w14:textId="77777777" w:rsidTr="003F16F9">
        <w:trPr>
          <w:trHeight w:val="340"/>
        </w:trPr>
        <w:tc>
          <w:tcPr>
            <w:tcW w:w="2196" w:type="dxa"/>
          </w:tcPr>
          <w:p w14:paraId="07536A12" w14:textId="77777777" w:rsidR="00FA5B3A" w:rsidRPr="00AE2D3C" w:rsidRDefault="00FA5B3A" w:rsidP="00FA5B3A">
            <w:pPr>
              <w:spacing w:before="60" w:after="60"/>
            </w:pPr>
            <w:r w:rsidRPr="00AE2D3C">
              <w:t>Learning focus:</w:t>
            </w:r>
          </w:p>
        </w:tc>
        <w:tc>
          <w:tcPr>
            <w:tcW w:w="6820" w:type="dxa"/>
          </w:tcPr>
          <w:p w14:paraId="2618EF23" w14:textId="747C5589" w:rsidR="00FA5B3A" w:rsidRPr="00AE2D3C" w:rsidRDefault="00D40DB1" w:rsidP="00FA5B3A">
            <w:pPr>
              <w:spacing w:before="60" w:after="60"/>
            </w:pPr>
            <w:r w:rsidRPr="00AE2D3C">
              <w:t>During a chemical reaction a new substance (or substances</w:t>
            </w:r>
            <w:r w:rsidR="00C9667A">
              <w:t>)</w:t>
            </w:r>
            <w:r w:rsidRPr="00AE2D3C">
              <w:t xml:space="preserve"> are formed</w:t>
            </w:r>
            <w:r w:rsidR="00C9667A">
              <w:t xml:space="preserve"> with different properties</w:t>
            </w:r>
            <w:r w:rsidRPr="00AE2D3C">
              <w:t>.</w:t>
            </w:r>
          </w:p>
        </w:tc>
      </w:tr>
      <w:tr w:rsidR="00FA5B3A" w:rsidRPr="00AE2D3C" w14:paraId="18334205" w14:textId="77777777" w:rsidTr="003F16F9">
        <w:trPr>
          <w:trHeight w:val="340"/>
        </w:trPr>
        <w:tc>
          <w:tcPr>
            <w:tcW w:w="2196" w:type="dxa"/>
          </w:tcPr>
          <w:p w14:paraId="3DCAF7A1" w14:textId="77777777" w:rsidR="00FA5B3A" w:rsidRPr="00AE2D3C" w:rsidRDefault="00FA5B3A" w:rsidP="00FA5B3A">
            <w:pPr>
              <w:spacing w:before="60" w:after="60"/>
            </w:pPr>
            <w:r w:rsidRPr="00AE2D3C">
              <w:t>Observable learning outcome:</w:t>
            </w:r>
          </w:p>
        </w:tc>
        <w:tc>
          <w:tcPr>
            <w:tcW w:w="6820" w:type="dxa"/>
          </w:tcPr>
          <w:p w14:paraId="2E8AA6F1" w14:textId="0C768153" w:rsidR="00FA5B3A" w:rsidRPr="00AE2D3C" w:rsidRDefault="00C9667A" w:rsidP="00FA5B3A">
            <w:pPr>
              <w:spacing w:before="60" w:after="60"/>
              <w:rPr>
                <w:b/>
              </w:rPr>
            </w:pPr>
            <w:r>
              <w:t>Distinguish examples of physical change from chemical change.</w:t>
            </w:r>
          </w:p>
        </w:tc>
      </w:tr>
      <w:tr w:rsidR="00FA5B3A" w:rsidRPr="00AE2D3C" w14:paraId="2A659D6E" w14:textId="77777777" w:rsidTr="003F16F9">
        <w:trPr>
          <w:trHeight w:val="340"/>
        </w:trPr>
        <w:tc>
          <w:tcPr>
            <w:tcW w:w="2196" w:type="dxa"/>
          </w:tcPr>
          <w:p w14:paraId="017884D3" w14:textId="77777777" w:rsidR="00FA5B3A" w:rsidRPr="00AE2D3C" w:rsidRDefault="007F5D5D" w:rsidP="00FA5B3A">
            <w:pPr>
              <w:spacing w:before="60" w:after="60"/>
            </w:pPr>
            <w:r w:rsidRPr="00AE2D3C">
              <w:t>Question</w:t>
            </w:r>
            <w:r w:rsidR="00FA5B3A" w:rsidRPr="00AE2D3C">
              <w:t xml:space="preserve"> type:</w:t>
            </w:r>
          </w:p>
        </w:tc>
        <w:tc>
          <w:tcPr>
            <w:tcW w:w="6820" w:type="dxa"/>
          </w:tcPr>
          <w:p w14:paraId="078C3F50" w14:textId="65902268" w:rsidR="00FA5B3A" w:rsidRPr="00AE2D3C" w:rsidRDefault="00A51CB5" w:rsidP="00FA5B3A">
            <w:pPr>
              <w:spacing w:before="60" w:after="60"/>
            </w:pPr>
            <w:r>
              <w:t>categorising</w:t>
            </w:r>
          </w:p>
        </w:tc>
      </w:tr>
      <w:tr w:rsidR="00FA5B3A" w:rsidRPr="00AE2D3C" w14:paraId="6ABCC646" w14:textId="77777777" w:rsidTr="003F16F9">
        <w:trPr>
          <w:trHeight w:val="340"/>
        </w:trPr>
        <w:tc>
          <w:tcPr>
            <w:tcW w:w="2196" w:type="dxa"/>
          </w:tcPr>
          <w:p w14:paraId="1755613D" w14:textId="77777777" w:rsidR="00FA5B3A" w:rsidRPr="00AE2D3C" w:rsidRDefault="00FA5B3A" w:rsidP="00FA5B3A">
            <w:pPr>
              <w:spacing w:before="60" w:after="60"/>
            </w:pPr>
            <w:r w:rsidRPr="00AE2D3C">
              <w:t>Key words:</w:t>
            </w:r>
          </w:p>
        </w:tc>
        <w:tc>
          <w:tcPr>
            <w:tcW w:w="6820" w:type="dxa"/>
            <w:tcBorders>
              <w:bottom w:val="dotted" w:sz="4" w:space="0" w:color="auto"/>
            </w:tcBorders>
          </w:tcPr>
          <w:p w14:paraId="41801BF1" w14:textId="5E1445B1" w:rsidR="00FA5B3A" w:rsidRPr="00AE2D3C" w:rsidRDefault="00D40DB1" w:rsidP="00FA5B3A">
            <w:pPr>
              <w:spacing w:before="60" w:after="60"/>
            </w:pPr>
            <w:r w:rsidRPr="00AE2D3C">
              <w:t xml:space="preserve">melting, boiling, </w:t>
            </w:r>
          </w:p>
        </w:tc>
      </w:tr>
    </w:tbl>
    <w:p w14:paraId="55B5169E" w14:textId="4AC27E54" w:rsidR="0009089A" w:rsidRPr="00AE2D3C" w:rsidRDefault="0009089A" w:rsidP="000505CA">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14:paraId="5E956653" w14:textId="77777777" w:rsidTr="00323334">
        <w:tc>
          <w:tcPr>
            <w:tcW w:w="709" w:type="dxa"/>
            <w:shd w:val="clear" w:color="auto" w:fill="FABF8F" w:themeFill="accent6" w:themeFillTint="99"/>
            <w:tcMar>
              <w:left w:w="28" w:type="dxa"/>
              <w:bottom w:w="57" w:type="dxa"/>
              <w:right w:w="28" w:type="dxa"/>
            </w:tcMar>
            <w:vAlign w:val="center"/>
          </w:tcPr>
          <w:p w14:paraId="1F318E4E" w14:textId="77777777" w:rsidR="005A6EE7" w:rsidRPr="00AE2D3C" w:rsidRDefault="00C54711" w:rsidP="00F72ECC">
            <w:pPr>
              <w:jc w:val="center"/>
              <w:rPr>
                <w:b/>
                <w:color w:val="FFFFFF" w:themeColor="background1"/>
                <w:sz w:val="40"/>
              </w:rPr>
            </w:pPr>
            <w:r w:rsidRPr="00AE2D3C">
              <w:rPr>
                <w:b/>
                <w:color w:val="FFFFFF" w:themeColor="background1"/>
                <w:sz w:val="56"/>
              </w:rPr>
              <w:t>P</w:t>
            </w:r>
          </w:p>
        </w:tc>
        <w:tc>
          <w:tcPr>
            <w:tcW w:w="8307" w:type="dxa"/>
            <w:tcMar>
              <w:left w:w="170" w:type="dxa"/>
            </w:tcMar>
            <w:vAlign w:val="center"/>
          </w:tcPr>
          <w:p w14:paraId="4B2D172F" w14:textId="77777777" w:rsidR="00F72ECC" w:rsidRPr="00AE2D3C" w:rsidRDefault="00C54711" w:rsidP="00F72ECC">
            <w:pPr>
              <w:spacing w:after="60"/>
              <w:rPr>
                <w:color w:val="E36C0A" w:themeColor="accent6" w:themeShade="BF"/>
                <w:sz w:val="20"/>
              </w:rPr>
            </w:pPr>
            <w:r w:rsidRPr="00AE2D3C">
              <w:rPr>
                <w:b/>
                <w:color w:val="E36C0A" w:themeColor="accent6" w:themeShade="BF"/>
              </w:rPr>
              <w:t>PRIOR UNDERSTANDING</w:t>
            </w:r>
            <w:r w:rsidR="00FA5B3A" w:rsidRPr="00AE2D3C">
              <w:rPr>
                <w:b/>
                <w:color w:val="E36C0A" w:themeColor="accent6" w:themeShade="BF"/>
              </w:rPr>
              <w:t xml:space="preserve"> </w:t>
            </w:r>
          </w:p>
          <w:p w14:paraId="1BDF3F8B" w14:textId="77777777" w:rsidR="005A6EE7" w:rsidRDefault="00FA5B3A" w:rsidP="007C26E1">
            <w:r w:rsidRPr="00AE2D3C">
              <w:rPr>
                <w:sz w:val="20"/>
              </w:rPr>
              <w:t xml:space="preserve">This diagnostic question </w:t>
            </w:r>
            <w:r w:rsidR="007C26E1" w:rsidRPr="00AE2D3C">
              <w:rPr>
                <w:sz w:val="20"/>
              </w:rPr>
              <w:t xml:space="preserve">probes understanding of </w:t>
            </w:r>
            <w:r w:rsidR="004C5D20" w:rsidRPr="00AE2D3C">
              <w:rPr>
                <w:sz w:val="20"/>
              </w:rPr>
              <w:t xml:space="preserve">ideas that are usually taught at age 5-11, to aid transition from earlier </w:t>
            </w:r>
            <w:r w:rsidR="00C54711" w:rsidRPr="00AE2D3C">
              <w:rPr>
                <w:sz w:val="20"/>
              </w:rPr>
              <w:t xml:space="preserve">stages of </w:t>
            </w:r>
            <w:r w:rsidR="004C5D20" w:rsidRPr="00AE2D3C">
              <w:rPr>
                <w:sz w:val="20"/>
              </w:rPr>
              <w:t>learning.</w:t>
            </w:r>
            <w:r w:rsidR="00F72ECC" w:rsidRPr="00F72ECC">
              <w:rPr>
                <w:sz w:val="20"/>
              </w:rPr>
              <w:t xml:space="preserve"> </w:t>
            </w:r>
          </w:p>
        </w:tc>
      </w:tr>
    </w:tbl>
    <w:p w14:paraId="24836C26" w14:textId="77777777" w:rsidR="005A6EE7" w:rsidRDefault="005A6EE7" w:rsidP="00F72ECC"/>
    <w:p w14:paraId="7FAE20DA" w14:textId="77777777" w:rsidR="00F72ECC" w:rsidRDefault="00F72ECC" w:rsidP="00F72ECC"/>
    <w:p w14:paraId="562F537D"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2F672A3F" w14:textId="7E19AE59" w:rsidR="00B04C5B" w:rsidRPr="000403C9" w:rsidRDefault="00AE2D3C" w:rsidP="00E84B89">
      <w:pPr>
        <w:spacing w:after="180"/>
      </w:pPr>
      <w:r w:rsidRPr="000403C9">
        <w:t xml:space="preserve">This diagnostic question was inspired by a task </w:t>
      </w:r>
      <w:r w:rsidR="00A51CB5">
        <w:t>created by</w:t>
      </w:r>
      <w:r w:rsidR="00CC1946">
        <w:t xml:space="preserve"> </w:t>
      </w:r>
      <w:r w:rsidR="00A51CB5">
        <w:t xml:space="preserve">Stavridou and Solomonidou </w:t>
      </w:r>
      <w:r w:rsidR="00A51CB5" w:rsidRPr="000403C9">
        <w:fldChar w:fldCharType="begin"/>
      </w:r>
      <w:r w:rsidR="00A51CB5">
        <w:instrText xml:space="preserve"> ADDIN EN.CITE &lt;EndNote&gt;&lt;Cite ExcludeAuth="1"&gt;&lt;Author&gt;Stavridou&lt;/Author&gt;&lt;Year&gt;1998&lt;/Year&gt;&lt;IDText&gt;Conceptual reorganization and the construction of the chemical reaction concept during secondary education.&lt;/IDText&gt;&lt;DisplayText&gt;(1998)&lt;/DisplayText&gt;&lt;record&gt;&lt;titles&gt;&lt;title&gt;Conceptual reorganization and the construction of the chemical reaction concept during secondary education.&lt;/title&gt;&lt;secondary-title&gt;International Journal of Science Education&lt;/secondary-title&gt;&lt;/titles&gt;&lt;pages&gt;205-221&lt;/pages&gt;&lt;number&gt;2&lt;/number&gt;&lt;contributors&gt;&lt;authors&gt;&lt;author&gt;Stavridou, Heleni&lt;/author&gt;&lt;author&gt;Solomonidou, Christina&lt;/author&gt;&lt;/authors&gt;&lt;/contributors&gt;&lt;added-date format="utc"&gt;1536664131&lt;/added-date&gt;&lt;ref-type name="Journal Article"&gt;17&lt;/ref-type&gt;&lt;dates&gt;&lt;year&gt;1998&lt;/year&gt;&lt;/dates&gt;&lt;rec-number&gt;18&lt;/rec-number&gt;&lt;last-updated-date format="utc"&gt;1536664224&lt;/last-updated-date&gt;&lt;volume&gt;20&lt;/volume&gt;&lt;/record&gt;&lt;/Cite&gt;&lt;/EndNote&gt;</w:instrText>
      </w:r>
      <w:r w:rsidR="00A51CB5" w:rsidRPr="000403C9">
        <w:fldChar w:fldCharType="separate"/>
      </w:r>
      <w:r w:rsidR="00A51CB5">
        <w:rPr>
          <w:noProof/>
        </w:rPr>
        <w:t>(1998)</w:t>
      </w:r>
      <w:r w:rsidR="00A51CB5" w:rsidRPr="000403C9">
        <w:fldChar w:fldCharType="end"/>
      </w:r>
      <w:r w:rsidR="00A51CB5">
        <w:t xml:space="preserve">. This formed part of research into </w:t>
      </w:r>
      <w:r w:rsidRPr="000403C9">
        <w:t xml:space="preserve">the conceptual reorganisation </w:t>
      </w:r>
      <w:r w:rsidR="00A51CB5">
        <w:t>that students require in order to</w:t>
      </w:r>
      <w:r w:rsidRPr="000403C9">
        <w:t xml:space="preserve"> understand the concept of chemical reactions</w:t>
      </w:r>
      <w:r w:rsidR="000403C9" w:rsidRPr="000403C9">
        <w:t xml:space="preserve">. </w:t>
      </w:r>
      <w:r w:rsidR="003C1BC9">
        <w:t xml:space="preserve">Students were asked to identify examples of chemical reactions from the given list of changes. Students were also asked </w:t>
      </w:r>
      <w:r w:rsidR="00A51CB5">
        <w:t>to write</w:t>
      </w:r>
      <w:r w:rsidR="00B04C5B">
        <w:t xml:space="preserve"> a definition of </w:t>
      </w:r>
      <w:r w:rsidR="00A51CB5">
        <w:t xml:space="preserve">a </w:t>
      </w:r>
      <w:r w:rsidR="00B04C5B">
        <w:t xml:space="preserve">chemical reaction. The research found that there was an improvement in the ability to recognise a chemical </w:t>
      </w:r>
      <w:r w:rsidR="00C9667A">
        <w:t>reaction</w:t>
      </w:r>
      <w:r w:rsidR="00B04C5B">
        <w:t xml:space="preserve"> as students moved through the school. </w:t>
      </w:r>
    </w:p>
    <w:p w14:paraId="30729A06" w14:textId="77777777" w:rsidR="007A748B" w:rsidRPr="000403C9" w:rsidRDefault="007A748B" w:rsidP="00026DEC">
      <w:pPr>
        <w:spacing w:after="180"/>
        <w:rPr>
          <w:b/>
          <w:color w:val="E36C0A" w:themeColor="accent6" w:themeShade="BF"/>
          <w:sz w:val="24"/>
        </w:rPr>
      </w:pPr>
      <w:r w:rsidRPr="000403C9">
        <w:rPr>
          <w:b/>
          <w:color w:val="E36C0A" w:themeColor="accent6" w:themeShade="BF"/>
          <w:sz w:val="24"/>
        </w:rPr>
        <w:t xml:space="preserve">Ways to use this </w:t>
      </w:r>
      <w:r w:rsidR="00C1460B" w:rsidRPr="000403C9">
        <w:rPr>
          <w:b/>
          <w:color w:val="E36C0A" w:themeColor="accent6" w:themeShade="BF"/>
          <w:sz w:val="24"/>
        </w:rPr>
        <w:t>question</w:t>
      </w:r>
    </w:p>
    <w:p w14:paraId="378BA488" w14:textId="6F0BC99F" w:rsidR="00402E34" w:rsidRDefault="00281895" w:rsidP="00402E34">
      <w:pPr>
        <w:spacing w:after="180"/>
      </w:pPr>
      <w:r>
        <w:t xml:space="preserve">The aim of this task is to explore how students set about categorising a series of everyday changes as physical or chemical changes. </w:t>
      </w:r>
      <w:r w:rsidR="00540965">
        <w:t xml:space="preserve">Students should be familiar with the changes </w:t>
      </w:r>
      <w:r w:rsidR="00A51CB5">
        <w:t>but if they are not, these changes could be omitted.</w:t>
      </w:r>
    </w:p>
    <w:p w14:paraId="5726C3D6" w14:textId="2F38D9A2" w:rsidR="00540965" w:rsidRDefault="00A51CB5" w:rsidP="00402E34">
      <w:pPr>
        <w:spacing w:after="180"/>
      </w:pPr>
      <w:r>
        <w:t>Af</w:t>
      </w:r>
      <w:r w:rsidR="00540965">
        <w:t>ter completing the task students could be asked to explain how they made their selections.</w:t>
      </w:r>
    </w:p>
    <w:p w14:paraId="4BDE34CD" w14:textId="77777777" w:rsidR="00540965" w:rsidRDefault="00540965" w:rsidP="00540965">
      <w:pPr>
        <w:spacing w:after="180"/>
        <w:rPr>
          <w:rFonts w:cstheme="minorHAnsi"/>
          <w:i/>
        </w:rPr>
      </w:pPr>
      <w:r w:rsidRPr="00AE7928">
        <w:rPr>
          <w:rFonts w:cstheme="minorHAnsi"/>
          <w:i/>
        </w:rPr>
        <w:t>Differentiation</w:t>
      </w:r>
    </w:p>
    <w:p w14:paraId="5D3EC37B" w14:textId="6C2B4AC4" w:rsidR="00540965" w:rsidRDefault="00540965" w:rsidP="00402E34">
      <w:pPr>
        <w:spacing w:after="180"/>
      </w:pPr>
      <w:r>
        <w:t>In the original research a similar activity was carried out through student interviews in which the student was presented a series of cards with each change on. These were discussed one by one. If the student was unfamiliar with the change it was rejected. This sort of approach could be adapted to working with an individual or small group of students.</w:t>
      </w:r>
    </w:p>
    <w:p w14:paraId="53E03F15" w14:textId="5CE0E876" w:rsidR="001D2868" w:rsidRDefault="001D2868" w:rsidP="00402E34">
      <w:pPr>
        <w:spacing w:after="180"/>
      </w:pPr>
    </w:p>
    <w:p w14:paraId="3B42DCEC" w14:textId="0F220C59" w:rsidR="001D2868" w:rsidRDefault="001D2868" w:rsidP="00402E34">
      <w:pPr>
        <w:spacing w:after="180"/>
      </w:pPr>
    </w:p>
    <w:p w14:paraId="2840782B" w14:textId="4C4EC830" w:rsidR="001D2868" w:rsidRDefault="001D2868" w:rsidP="00402E34">
      <w:pPr>
        <w:spacing w:after="180"/>
      </w:pPr>
    </w:p>
    <w:p w14:paraId="0562A69E" w14:textId="77777777" w:rsidR="001D2868" w:rsidRPr="00AE2D3C" w:rsidRDefault="001D2868" w:rsidP="00402E34">
      <w:pPr>
        <w:spacing w:after="180"/>
      </w:pPr>
    </w:p>
    <w:p w14:paraId="33D4C542" w14:textId="77777777" w:rsidR="00E172C6" w:rsidRPr="00AE2D3C" w:rsidRDefault="00BB44B4" w:rsidP="00026DEC">
      <w:pPr>
        <w:spacing w:after="180"/>
        <w:rPr>
          <w:b/>
          <w:color w:val="E36C0A" w:themeColor="accent6" w:themeShade="BF"/>
          <w:sz w:val="24"/>
        </w:rPr>
      </w:pPr>
      <w:r w:rsidRPr="00AE2D3C">
        <w:rPr>
          <w:b/>
          <w:color w:val="E36C0A" w:themeColor="accent6" w:themeShade="BF"/>
          <w:sz w:val="24"/>
        </w:rPr>
        <w:t>Expected answers</w:t>
      </w:r>
    </w:p>
    <w:tbl>
      <w:tblPr>
        <w:tblStyle w:val="TableGrid"/>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508"/>
        <w:gridCol w:w="4508"/>
      </w:tblGrid>
      <w:tr w:rsidR="003C1BC9" w:rsidRPr="000B51C9" w14:paraId="2A09C121" w14:textId="77777777" w:rsidTr="003C1BC9">
        <w:tc>
          <w:tcPr>
            <w:tcW w:w="4508" w:type="dxa"/>
          </w:tcPr>
          <w:p w14:paraId="10F9A4AB" w14:textId="3DA70968" w:rsidR="003C1BC9" w:rsidRPr="00912294" w:rsidRDefault="003C1BC9" w:rsidP="00271806">
            <w:pPr>
              <w:spacing w:after="180"/>
              <w:rPr>
                <w:b/>
                <w:sz w:val="24"/>
              </w:rPr>
            </w:pPr>
            <w:r>
              <w:rPr>
                <w:b/>
                <w:sz w:val="24"/>
              </w:rPr>
              <w:t>Physical changes</w:t>
            </w:r>
          </w:p>
        </w:tc>
        <w:tc>
          <w:tcPr>
            <w:tcW w:w="4508" w:type="dxa"/>
          </w:tcPr>
          <w:p w14:paraId="542EFF6C" w14:textId="67D5509A" w:rsidR="003C1BC9" w:rsidRPr="00912294" w:rsidRDefault="003C1BC9" w:rsidP="00271806">
            <w:pPr>
              <w:spacing w:after="180"/>
              <w:rPr>
                <w:b/>
                <w:sz w:val="24"/>
              </w:rPr>
            </w:pPr>
            <w:r>
              <w:rPr>
                <w:b/>
                <w:sz w:val="24"/>
              </w:rPr>
              <w:t>Chemical changes</w:t>
            </w:r>
          </w:p>
        </w:tc>
      </w:tr>
      <w:tr w:rsidR="003C1BC9" w:rsidRPr="000B51C9" w14:paraId="48B7D071" w14:textId="77777777" w:rsidTr="003C1BC9">
        <w:tc>
          <w:tcPr>
            <w:tcW w:w="4508" w:type="dxa"/>
          </w:tcPr>
          <w:p w14:paraId="5EB5346F" w14:textId="5B63A05F" w:rsidR="003C1BC9" w:rsidRPr="003C1BC9" w:rsidRDefault="003C1BC9" w:rsidP="00271806">
            <w:pPr>
              <w:spacing w:after="180"/>
              <w:rPr>
                <w:sz w:val="24"/>
              </w:rPr>
            </w:pPr>
            <w:r w:rsidRPr="003C1BC9">
              <w:rPr>
                <w:sz w:val="24"/>
              </w:rPr>
              <w:t>wax melting</w:t>
            </w:r>
          </w:p>
        </w:tc>
        <w:tc>
          <w:tcPr>
            <w:tcW w:w="4508" w:type="dxa"/>
          </w:tcPr>
          <w:p w14:paraId="68A979F0" w14:textId="0CBBBC46" w:rsidR="003C1BC9" w:rsidRPr="003C1BC9" w:rsidRDefault="003C1BC9" w:rsidP="00271806">
            <w:pPr>
              <w:spacing w:after="180"/>
              <w:rPr>
                <w:sz w:val="24"/>
              </w:rPr>
            </w:pPr>
            <w:r w:rsidRPr="003C1BC9">
              <w:rPr>
                <w:sz w:val="24"/>
              </w:rPr>
              <w:t>wood burning</w:t>
            </w:r>
          </w:p>
        </w:tc>
      </w:tr>
      <w:tr w:rsidR="003C1BC9" w:rsidRPr="000B51C9" w14:paraId="0D3978F4" w14:textId="77777777" w:rsidTr="003C1BC9">
        <w:tc>
          <w:tcPr>
            <w:tcW w:w="4508" w:type="dxa"/>
          </w:tcPr>
          <w:p w14:paraId="5342E23C" w14:textId="64E27E1A" w:rsidR="003C1BC9" w:rsidRPr="003C1BC9" w:rsidRDefault="003C1BC9" w:rsidP="00271806">
            <w:pPr>
              <w:spacing w:after="180"/>
              <w:rPr>
                <w:sz w:val="24"/>
              </w:rPr>
            </w:pPr>
            <w:r w:rsidRPr="003C1BC9">
              <w:rPr>
                <w:sz w:val="24"/>
              </w:rPr>
              <w:t>water boiling</w:t>
            </w:r>
          </w:p>
        </w:tc>
        <w:tc>
          <w:tcPr>
            <w:tcW w:w="4508" w:type="dxa"/>
          </w:tcPr>
          <w:p w14:paraId="47EDEA11" w14:textId="45ACDC17" w:rsidR="003C1BC9" w:rsidRPr="003C1BC9" w:rsidRDefault="003C1BC9" w:rsidP="00271806">
            <w:pPr>
              <w:spacing w:after="180"/>
              <w:rPr>
                <w:sz w:val="24"/>
              </w:rPr>
            </w:pPr>
            <w:r w:rsidRPr="003C1BC9">
              <w:rPr>
                <w:sz w:val="24"/>
              </w:rPr>
              <w:t>nail rusting</w:t>
            </w:r>
          </w:p>
        </w:tc>
      </w:tr>
      <w:tr w:rsidR="003C1BC9" w:rsidRPr="000B51C9" w14:paraId="463A3194" w14:textId="77777777" w:rsidTr="003C1BC9">
        <w:tc>
          <w:tcPr>
            <w:tcW w:w="4508" w:type="dxa"/>
          </w:tcPr>
          <w:p w14:paraId="70E1D5E5" w14:textId="77777777" w:rsidR="003C1BC9" w:rsidRPr="003C1BC9" w:rsidRDefault="003C1BC9" w:rsidP="00271806">
            <w:pPr>
              <w:spacing w:after="180"/>
              <w:rPr>
                <w:sz w:val="24"/>
              </w:rPr>
            </w:pPr>
            <w:r w:rsidRPr="003C1BC9">
              <w:rPr>
                <w:sz w:val="24"/>
              </w:rPr>
              <w:t>perfume evaporating</w:t>
            </w:r>
          </w:p>
        </w:tc>
        <w:tc>
          <w:tcPr>
            <w:tcW w:w="4508" w:type="dxa"/>
          </w:tcPr>
          <w:p w14:paraId="22D7A74E" w14:textId="77777777" w:rsidR="003C1BC9" w:rsidRPr="003C1BC9" w:rsidRDefault="003C1BC9" w:rsidP="00271806">
            <w:pPr>
              <w:spacing w:after="180"/>
              <w:rPr>
                <w:sz w:val="24"/>
              </w:rPr>
            </w:pPr>
            <w:r w:rsidRPr="003C1BC9">
              <w:rPr>
                <w:sz w:val="24"/>
              </w:rPr>
              <w:t>milk turning sour</w:t>
            </w:r>
          </w:p>
        </w:tc>
      </w:tr>
      <w:tr w:rsidR="003C1BC9" w:rsidRPr="000B51C9" w14:paraId="00A363C0" w14:textId="77777777" w:rsidTr="003C1BC9">
        <w:tc>
          <w:tcPr>
            <w:tcW w:w="4508" w:type="dxa"/>
          </w:tcPr>
          <w:p w14:paraId="418CD73A" w14:textId="23C4293E" w:rsidR="003C1BC9" w:rsidRPr="003C1BC9" w:rsidRDefault="003C1BC9" w:rsidP="00271806">
            <w:pPr>
              <w:spacing w:after="180"/>
              <w:rPr>
                <w:sz w:val="24"/>
              </w:rPr>
            </w:pPr>
            <w:r w:rsidRPr="003C1BC9">
              <w:rPr>
                <w:sz w:val="24"/>
              </w:rPr>
              <w:t>salt added to soup</w:t>
            </w:r>
          </w:p>
        </w:tc>
        <w:tc>
          <w:tcPr>
            <w:tcW w:w="4508" w:type="dxa"/>
          </w:tcPr>
          <w:p w14:paraId="5329AB74" w14:textId="376EF582" w:rsidR="003C1BC9" w:rsidRPr="003C1BC9" w:rsidRDefault="003C1BC9" w:rsidP="00271806">
            <w:pPr>
              <w:spacing w:after="180"/>
              <w:rPr>
                <w:sz w:val="24"/>
              </w:rPr>
            </w:pPr>
            <w:r w:rsidRPr="003C1BC9">
              <w:rPr>
                <w:sz w:val="24"/>
              </w:rPr>
              <w:t>meat cooking in an oven</w:t>
            </w:r>
          </w:p>
        </w:tc>
      </w:tr>
      <w:tr w:rsidR="003C1BC9" w:rsidRPr="000B51C9" w14:paraId="3B33CDBA" w14:textId="77777777" w:rsidTr="003C1BC9">
        <w:tc>
          <w:tcPr>
            <w:tcW w:w="4508" w:type="dxa"/>
          </w:tcPr>
          <w:p w14:paraId="173671BA" w14:textId="77777777" w:rsidR="003C1BC9" w:rsidRPr="003C1BC9" w:rsidRDefault="003C1BC9" w:rsidP="00271806">
            <w:pPr>
              <w:spacing w:after="180"/>
              <w:rPr>
                <w:sz w:val="24"/>
              </w:rPr>
            </w:pPr>
            <w:r w:rsidRPr="003C1BC9">
              <w:rPr>
                <w:sz w:val="24"/>
              </w:rPr>
              <w:t>sugar added to tea</w:t>
            </w:r>
          </w:p>
        </w:tc>
        <w:tc>
          <w:tcPr>
            <w:tcW w:w="4508" w:type="dxa"/>
          </w:tcPr>
          <w:p w14:paraId="1EB5B029" w14:textId="50414983" w:rsidR="003C1BC9" w:rsidRPr="003C1BC9" w:rsidRDefault="00281895" w:rsidP="00271806">
            <w:pPr>
              <w:spacing w:after="180"/>
              <w:rPr>
                <w:sz w:val="24"/>
              </w:rPr>
            </w:pPr>
            <w:r w:rsidRPr="003C1BC9">
              <w:rPr>
                <w:sz w:val="24"/>
              </w:rPr>
              <w:t>egg boiling</w:t>
            </w:r>
          </w:p>
        </w:tc>
      </w:tr>
    </w:tbl>
    <w:p w14:paraId="16494EBF" w14:textId="77777777" w:rsidR="00281895" w:rsidRDefault="00281895" w:rsidP="00BF6C8A">
      <w:pPr>
        <w:spacing w:after="180"/>
        <w:rPr>
          <w:b/>
          <w:color w:val="E36C0A" w:themeColor="accent6" w:themeShade="BF"/>
          <w:sz w:val="24"/>
        </w:rPr>
      </w:pPr>
    </w:p>
    <w:p w14:paraId="12087B9D" w14:textId="1E073A03" w:rsidR="006A4440" w:rsidRDefault="004C5D20" w:rsidP="00BF6C8A">
      <w:pPr>
        <w:spacing w:after="180"/>
        <w:rPr>
          <w:b/>
          <w:color w:val="E36C0A" w:themeColor="accent6" w:themeShade="BF"/>
          <w:sz w:val="24"/>
        </w:rPr>
      </w:pPr>
      <w:r w:rsidRPr="00AE2D3C">
        <w:rPr>
          <w:b/>
          <w:color w:val="E36C0A" w:themeColor="accent6" w:themeShade="BF"/>
          <w:sz w:val="24"/>
        </w:rPr>
        <w:t>How to respond - w</w:t>
      </w:r>
      <w:r w:rsidR="006A4440" w:rsidRPr="00AE2D3C">
        <w:rPr>
          <w:b/>
          <w:color w:val="E36C0A" w:themeColor="accent6" w:themeShade="BF"/>
          <w:sz w:val="24"/>
        </w:rPr>
        <w:t>h</w:t>
      </w:r>
      <w:r w:rsidRPr="00AE2D3C">
        <w:rPr>
          <w:b/>
          <w:color w:val="E36C0A" w:themeColor="accent6" w:themeShade="BF"/>
          <w:sz w:val="24"/>
        </w:rPr>
        <w:t>at</w:t>
      </w:r>
      <w:r w:rsidR="006A4440" w:rsidRPr="00AE2D3C">
        <w:rPr>
          <w:b/>
          <w:color w:val="E36C0A" w:themeColor="accent6" w:themeShade="BF"/>
          <w:sz w:val="24"/>
        </w:rPr>
        <w:t xml:space="preserve"> next?</w:t>
      </w:r>
    </w:p>
    <w:p w14:paraId="6989F3D1" w14:textId="6C57D4A4" w:rsidR="003C1BC9" w:rsidRPr="00540965" w:rsidRDefault="00832D08" w:rsidP="003C1BC9">
      <w:pPr>
        <w:spacing w:after="180"/>
      </w:pPr>
      <w:r w:rsidRPr="00540965">
        <w:t xml:space="preserve">The </w:t>
      </w:r>
      <w:r w:rsidR="00754DD5">
        <w:t>categorisation</w:t>
      </w:r>
      <w:r w:rsidRPr="00540965">
        <w:t xml:space="preserve"> of answers will depend upon students’ underlying understanding of what is meant by the term chemical </w:t>
      </w:r>
      <w:r w:rsidR="00281895" w:rsidRPr="00540965">
        <w:t>change.</w:t>
      </w:r>
      <w:r w:rsidRPr="00540965">
        <w:t xml:space="preserve">  </w:t>
      </w:r>
      <w:r w:rsidR="00281895" w:rsidRPr="00540965">
        <w:t>Further information on student thinking could be gained by asking students to write down their own definitions of physical change and chemical change.</w:t>
      </w:r>
    </w:p>
    <w:p w14:paraId="6EAE735B" w14:textId="4E82C6B5" w:rsidR="00281895" w:rsidRPr="00540965" w:rsidRDefault="00281895" w:rsidP="003C1BC9">
      <w:pPr>
        <w:spacing w:after="180"/>
      </w:pPr>
      <w:r w:rsidRPr="00540965">
        <w:t xml:space="preserve">Even if some students are aware that a chemical </w:t>
      </w:r>
      <w:r w:rsidR="00AC5CC9">
        <w:t>change</w:t>
      </w:r>
      <w:r w:rsidRPr="00540965">
        <w:t xml:space="preserve"> produces new products</w:t>
      </w:r>
      <w:r w:rsidR="00754DD5">
        <w:t>,</w:t>
      </w:r>
      <w:r w:rsidRPr="00540965">
        <w:t xml:space="preserve"> some may focus on a requirement for two initial reactants. This may cause them to think that </w:t>
      </w:r>
      <w:r w:rsidR="00754DD5">
        <w:t xml:space="preserve">a </w:t>
      </w:r>
      <w:r w:rsidRPr="00540965">
        <w:t>change with</w:t>
      </w:r>
      <w:r w:rsidR="00754DD5">
        <w:t xml:space="preserve"> </w:t>
      </w:r>
      <w:r w:rsidRPr="00540965">
        <w:t xml:space="preserve">only one </w:t>
      </w:r>
      <w:r w:rsidR="00754DD5">
        <w:t>starting material</w:t>
      </w:r>
      <w:r w:rsidRPr="00540965">
        <w:t xml:space="preserve"> (for example milk turning sour) is not a chemical change. Conversely a change with two starting materials (for example sugar and tea) may be regarded as fitting the criteria for a chemical change. Other students may think that the new product may be anything that is different to the starting material. This means that these students would categorise adding sugar to tea or salt to soup as a chemical </w:t>
      </w:r>
      <w:r w:rsidR="00AC5CC9">
        <w:t>change</w:t>
      </w:r>
      <w:r w:rsidRPr="00540965">
        <w:t>.</w:t>
      </w:r>
    </w:p>
    <w:p w14:paraId="76D52218" w14:textId="13CADB5F" w:rsidR="003C1BC9" w:rsidRPr="001B05FB" w:rsidRDefault="003C1BC9" w:rsidP="00BF6C8A">
      <w:pPr>
        <w:spacing w:after="180"/>
      </w:pPr>
      <w:r w:rsidRPr="004F039C">
        <w:t xml:space="preserve">If students have misconceptions about </w:t>
      </w:r>
      <w:r w:rsidR="001B05FB">
        <w:t xml:space="preserve">distinguishing </w:t>
      </w:r>
      <w:r w:rsidR="00540965" w:rsidRPr="001B05FB">
        <w:t>physical or chemical change it may help to consolidate understanding of physical change first by making links with work on changes of state and dissolving</w:t>
      </w:r>
      <w:r w:rsidR="00754DD5">
        <w:t xml:space="preserve"> (see </w:t>
      </w:r>
      <w:r w:rsidR="001D2868">
        <w:t xml:space="preserve">topic: Substances and mixtures). </w:t>
      </w:r>
      <w:r w:rsidR="001B05FB" w:rsidRPr="001B05FB">
        <w:t xml:space="preserve">Understanding of chemical change is </w:t>
      </w:r>
      <w:r w:rsidR="001B05FB">
        <w:t xml:space="preserve">more </w:t>
      </w:r>
      <w:r w:rsidR="001B05FB" w:rsidRPr="001B05FB">
        <w:t>complex</w:t>
      </w:r>
      <w:r w:rsidR="001B05FB">
        <w:t xml:space="preserve"> a</w:t>
      </w:r>
      <w:r w:rsidR="001D2868">
        <w:t>s</w:t>
      </w:r>
      <w:r w:rsidR="001B05FB">
        <w:t xml:space="preserve"> it requires the ability to </w:t>
      </w:r>
      <w:r w:rsidR="00AC5CC9">
        <w:t>recognise</w:t>
      </w:r>
      <w:r w:rsidR="001B05FB">
        <w:t xml:space="preserve"> that the final product substances are different to those at the start. </w:t>
      </w:r>
      <w:r w:rsidR="00AC5CC9">
        <w:t>Familiarity with a range of different types of reaction may help with this.</w:t>
      </w:r>
      <w:r w:rsidR="001B05FB" w:rsidRPr="001B05FB">
        <w:t xml:space="preserve"> The building blocks </w:t>
      </w:r>
      <w:r w:rsidR="00AC5CC9">
        <w:t xml:space="preserve">needed for this </w:t>
      </w:r>
      <w:r w:rsidR="001B05FB" w:rsidRPr="001B05FB">
        <w:t xml:space="preserve">understanding are developed through the remaining outcomes of </w:t>
      </w:r>
      <w:r w:rsidR="001B05FB">
        <w:t xml:space="preserve">both this </w:t>
      </w:r>
      <w:r w:rsidR="001B05FB" w:rsidRPr="001B05FB">
        <w:t>progression pathway</w:t>
      </w:r>
      <w:r w:rsidR="001B05FB">
        <w:t xml:space="preserve"> and other key concepts in the big idea of chemical reactions.</w:t>
      </w:r>
    </w:p>
    <w:p w14:paraId="21A5AC1A"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6BC8221B" w14:textId="0B94F297" w:rsidR="00D278E8" w:rsidRPr="00444401" w:rsidRDefault="00D278E8" w:rsidP="00E172C6">
      <w:pPr>
        <w:spacing w:after="180"/>
      </w:pPr>
      <w:r w:rsidRPr="00444401">
        <w:t xml:space="preserve">Developed </w:t>
      </w:r>
      <w:r w:rsidR="0015356E" w:rsidRPr="00444401">
        <w:t xml:space="preserve">by </w:t>
      </w:r>
      <w:r w:rsidR="00D40DB1" w:rsidRPr="00444401">
        <w:t xml:space="preserve">Helen Harden </w:t>
      </w:r>
      <w:r w:rsidR="0015356E" w:rsidRPr="00444401">
        <w:t xml:space="preserve">(UYSEG), </w:t>
      </w:r>
      <w:r w:rsidR="002E0B5F">
        <w:t xml:space="preserve">from an idea by </w:t>
      </w:r>
      <w:r w:rsidR="00D40DB1" w:rsidRPr="00444401">
        <w:t>Heleni Stavridou (University of Thessaly) and Christine Solomonidou (Department of Primary Education, Volos, Greece).</w:t>
      </w:r>
    </w:p>
    <w:p w14:paraId="77D15CA4" w14:textId="70416137" w:rsidR="00CC78A5" w:rsidRPr="00D40DB1" w:rsidRDefault="00D278E8" w:rsidP="00E172C6">
      <w:pPr>
        <w:spacing w:after="180"/>
        <w:rPr>
          <w:color w:val="FF0000"/>
        </w:rPr>
      </w:pPr>
      <w:r w:rsidRPr="00444401">
        <w:t xml:space="preserve">Images: </w:t>
      </w:r>
      <w:r w:rsidR="00D40DB1" w:rsidRPr="00444401">
        <w:t>None</w:t>
      </w:r>
    </w:p>
    <w:p w14:paraId="1F3CA98C" w14:textId="2736AFB4" w:rsidR="00AE2D3C" w:rsidRDefault="003117F6" w:rsidP="00E24309">
      <w:pPr>
        <w:spacing w:after="180"/>
        <w:rPr>
          <w:b/>
          <w:color w:val="E36C0A" w:themeColor="accent6" w:themeShade="BF"/>
          <w:sz w:val="24"/>
        </w:rPr>
      </w:pPr>
      <w:r w:rsidRPr="00323334">
        <w:rPr>
          <w:b/>
          <w:color w:val="E36C0A" w:themeColor="accent6" w:themeShade="BF"/>
          <w:sz w:val="24"/>
        </w:rPr>
        <w:t>References</w:t>
      </w:r>
    </w:p>
    <w:p w14:paraId="1EF0E3E5" w14:textId="77777777" w:rsidR="00A51CB5" w:rsidRPr="00A51CB5" w:rsidRDefault="00AE2D3C" w:rsidP="00A51CB5">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00A51CB5" w:rsidRPr="00A51CB5">
        <w:t xml:space="preserve">Stavridou, H. and Solomonidou, C. (1998). Conceptual reorganization and the construction of the chemical reaction concept during secondary education. </w:t>
      </w:r>
      <w:r w:rsidR="00A51CB5" w:rsidRPr="00A51CB5">
        <w:rPr>
          <w:i/>
        </w:rPr>
        <w:t>International Journal of Science Education,</w:t>
      </w:r>
      <w:r w:rsidR="00A51CB5" w:rsidRPr="00A51CB5">
        <w:t xml:space="preserve"> 20(2)</w:t>
      </w:r>
      <w:r w:rsidR="00A51CB5" w:rsidRPr="00A51CB5">
        <w:rPr>
          <w:b/>
        </w:rPr>
        <w:t>,</w:t>
      </w:r>
      <w:r w:rsidR="00A51CB5" w:rsidRPr="00A51CB5">
        <w:t xml:space="preserve"> 205-221.</w:t>
      </w:r>
    </w:p>
    <w:p w14:paraId="35DC0314" w14:textId="2211C64B" w:rsidR="00B46FF9" w:rsidRPr="001E4950" w:rsidRDefault="00AE2D3C" w:rsidP="00E24309">
      <w:pPr>
        <w:spacing w:after="180"/>
        <w:rPr>
          <w:b/>
          <w:color w:val="E36C0A" w:themeColor="accent6" w:themeShade="BF"/>
          <w:sz w:val="24"/>
        </w:rPr>
      </w:pPr>
      <w:r>
        <w:rPr>
          <w:b/>
          <w:color w:val="E36C0A" w:themeColor="accent6" w:themeShade="BF"/>
          <w:sz w:val="24"/>
        </w:rPr>
        <w:fldChar w:fldCharType="end"/>
      </w:r>
    </w:p>
    <w:sectPr w:rsidR="00B46FF9" w:rsidRPr="001E4950"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FE0BB5" w14:textId="77777777" w:rsidR="00B018DA" w:rsidRDefault="00B018DA" w:rsidP="000B473B">
      <w:r>
        <w:separator/>
      </w:r>
    </w:p>
  </w:endnote>
  <w:endnote w:type="continuationSeparator" w:id="0">
    <w:p w14:paraId="7F358A70" w14:textId="77777777" w:rsidR="00B018DA" w:rsidRDefault="00B018D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E763A"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13F5E645" wp14:editId="5B8FA34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F2E83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E4950">
      <w:rPr>
        <w:noProof/>
      </w:rPr>
      <w:t>3</w:t>
    </w:r>
    <w:r>
      <w:rPr>
        <w:noProof/>
      </w:rPr>
      <w:fldChar w:fldCharType="end"/>
    </w:r>
  </w:p>
  <w:p w14:paraId="142A44CC"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1460B">
      <w:rPr>
        <w:sz w:val="16"/>
        <w:szCs w:val="16"/>
      </w:rPr>
      <w:t>question</w:t>
    </w:r>
    <w:r>
      <w:rPr>
        <w:sz w:val="16"/>
        <w:szCs w:val="16"/>
      </w:rPr>
      <w:t xml:space="preserve"> may have been edited. Download the original from </w:t>
    </w:r>
    <w:r w:rsidRPr="00ED4562">
      <w:rPr>
        <w:b/>
        <w:sz w:val="16"/>
        <w:szCs w:val="16"/>
      </w:rPr>
      <w:t>www.BestEvidenceScienceTeaching.org</w:t>
    </w:r>
  </w:p>
  <w:p w14:paraId="349E02A8"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CD2028" w14:textId="77777777" w:rsidR="00B018DA" w:rsidRDefault="00B018DA" w:rsidP="000B473B">
      <w:r>
        <w:separator/>
      </w:r>
    </w:p>
  </w:footnote>
  <w:footnote w:type="continuationSeparator" w:id="0">
    <w:p w14:paraId="6D650EBC" w14:textId="77777777" w:rsidR="00B018DA" w:rsidRDefault="00B018D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5040C"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7C1212D4" wp14:editId="5C6956DC">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50361BE6" wp14:editId="46D92890">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C5502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5C6B8"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076EBAD" wp14:editId="5D3C1760">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65599B4F" wp14:editId="39A812F2">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AB7ED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B2F84"/>
    <w:rsid w:val="00015578"/>
    <w:rsid w:val="00024731"/>
    <w:rsid w:val="00026DEC"/>
    <w:rsid w:val="000403C9"/>
    <w:rsid w:val="000505CA"/>
    <w:rsid w:val="0007651D"/>
    <w:rsid w:val="0009089A"/>
    <w:rsid w:val="000947E2"/>
    <w:rsid w:val="00095E04"/>
    <w:rsid w:val="000B45C3"/>
    <w:rsid w:val="000B473B"/>
    <w:rsid w:val="000B51C9"/>
    <w:rsid w:val="000D0E89"/>
    <w:rsid w:val="000E2689"/>
    <w:rsid w:val="000F765A"/>
    <w:rsid w:val="00142613"/>
    <w:rsid w:val="00144DA7"/>
    <w:rsid w:val="0015356E"/>
    <w:rsid w:val="00161D3F"/>
    <w:rsid w:val="001915D4"/>
    <w:rsid w:val="001A1FED"/>
    <w:rsid w:val="001A40E2"/>
    <w:rsid w:val="001B05FB"/>
    <w:rsid w:val="001B59EA"/>
    <w:rsid w:val="001C4805"/>
    <w:rsid w:val="001D2868"/>
    <w:rsid w:val="001E4950"/>
    <w:rsid w:val="00201AC2"/>
    <w:rsid w:val="00214608"/>
    <w:rsid w:val="0021607B"/>
    <w:rsid w:val="002178AC"/>
    <w:rsid w:val="0022547C"/>
    <w:rsid w:val="00242736"/>
    <w:rsid w:val="0025410A"/>
    <w:rsid w:val="0027553E"/>
    <w:rsid w:val="0028012F"/>
    <w:rsid w:val="00281895"/>
    <w:rsid w:val="002828DF"/>
    <w:rsid w:val="00287876"/>
    <w:rsid w:val="00292C53"/>
    <w:rsid w:val="00294E22"/>
    <w:rsid w:val="002C22EA"/>
    <w:rsid w:val="002C59BA"/>
    <w:rsid w:val="002E0B5F"/>
    <w:rsid w:val="00301AA9"/>
    <w:rsid w:val="003117F6"/>
    <w:rsid w:val="00323334"/>
    <w:rsid w:val="003533B8"/>
    <w:rsid w:val="003544CC"/>
    <w:rsid w:val="003752BE"/>
    <w:rsid w:val="003A346A"/>
    <w:rsid w:val="003B2917"/>
    <w:rsid w:val="003B541B"/>
    <w:rsid w:val="003C1BC9"/>
    <w:rsid w:val="003E2B2F"/>
    <w:rsid w:val="003E6046"/>
    <w:rsid w:val="003F16F9"/>
    <w:rsid w:val="00402E34"/>
    <w:rsid w:val="00430C1F"/>
    <w:rsid w:val="00442595"/>
    <w:rsid w:val="00444401"/>
    <w:rsid w:val="0045323E"/>
    <w:rsid w:val="004B0EE1"/>
    <w:rsid w:val="004C5D20"/>
    <w:rsid w:val="004C77C5"/>
    <w:rsid w:val="004D0D83"/>
    <w:rsid w:val="004E1DF1"/>
    <w:rsid w:val="004E5592"/>
    <w:rsid w:val="004F039C"/>
    <w:rsid w:val="0050055B"/>
    <w:rsid w:val="00524710"/>
    <w:rsid w:val="00540965"/>
    <w:rsid w:val="00555342"/>
    <w:rsid w:val="005560E2"/>
    <w:rsid w:val="005A452E"/>
    <w:rsid w:val="005A6EE7"/>
    <w:rsid w:val="005F1A7B"/>
    <w:rsid w:val="006355D8"/>
    <w:rsid w:val="00642ECD"/>
    <w:rsid w:val="006502A0"/>
    <w:rsid w:val="006732FB"/>
    <w:rsid w:val="006772F5"/>
    <w:rsid w:val="00695159"/>
    <w:rsid w:val="006A4440"/>
    <w:rsid w:val="006B0615"/>
    <w:rsid w:val="006D166B"/>
    <w:rsid w:val="006F3279"/>
    <w:rsid w:val="006F6C6B"/>
    <w:rsid w:val="007007EF"/>
    <w:rsid w:val="00704AEE"/>
    <w:rsid w:val="00722F9A"/>
    <w:rsid w:val="00754539"/>
    <w:rsid w:val="00754DD5"/>
    <w:rsid w:val="00781BC6"/>
    <w:rsid w:val="00792E54"/>
    <w:rsid w:val="007A3C86"/>
    <w:rsid w:val="007A683E"/>
    <w:rsid w:val="007A748B"/>
    <w:rsid w:val="007C26E1"/>
    <w:rsid w:val="007C2D1D"/>
    <w:rsid w:val="007D1D65"/>
    <w:rsid w:val="007E0A9E"/>
    <w:rsid w:val="007E5309"/>
    <w:rsid w:val="007F5D5D"/>
    <w:rsid w:val="00800DE1"/>
    <w:rsid w:val="00813F47"/>
    <w:rsid w:val="00832D08"/>
    <w:rsid w:val="008450D6"/>
    <w:rsid w:val="00856FCA"/>
    <w:rsid w:val="00873B8C"/>
    <w:rsid w:val="00880E3B"/>
    <w:rsid w:val="008A405F"/>
    <w:rsid w:val="008C7F34"/>
    <w:rsid w:val="008E580C"/>
    <w:rsid w:val="0090047A"/>
    <w:rsid w:val="00912294"/>
    <w:rsid w:val="00925026"/>
    <w:rsid w:val="00931264"/>
    <w:rsid w:val="00942A4B"/>
    <w:rsid w:val="00961D59"/>
    <w:rsid w:val="009B2CE4"/>
    <w:rsid w:val="009B2D55"/>
    <w:rsid w:val="009B2F84"/>
    <w:rsid w:val="009C0343"/>
    <w:rsid w:val="009E0D11"/>
    <w:rsid w:val="00A24A16"/>
    <w:rsid w:val="00A37D14"/>
    <w:rsid w:val="00A42C0B"/>
    <w:rsid w:val="00A51CB5"/>
    <w:rsid w:val="00A6111E"/>
    <w:rsid w:val="00A6168B"/>
    <w:rsid w:val="00A62028"/>
    <w:rsid w:val="00A66635"/>
    <w:rsid w:val="00AA6236"/>
    <w:rsid w:val="00AB6AE7"/>
    <w:rsid w:val="00AC5CC9"/>
    <w:rsid w:val="00AD21F5"/>
    <w:rsid w:val="00AE2D3C"/>
    <w:rsid w:val="00B018DA"/>
    <w:rsid w:val="00B04C5B"/>
    <w:rsid w:val="00B06225"/>
    <w:rsid w:val="00B23C7A"/>
    <w:rsid w:val="00B305F5"/>
    <w:rsid w:val="00B46FF9"/>
    <w:rsid w:val="00B47E1D"/>
    <w:rsid w:val="00B56F02"/>
    <w:rsid w:val="00B72047"/>
    <w:rsid w:val="00B75483"/>
    <w:rsid w:val="00B975D9"/>
    <w:rsid w:val="00BA7952"/>
    <w:rsid w:val="00BB44B4"/>
    <w:rsid w:val="00BF0BBF"/>
    <w:rsid w:val="00BF6C8A"/>
    <w:rsid w:val="00C05571"/>
    <w:rsid w:val="00C1460B"/>
    <w:rsid w:val="00C246CE"/>
    <w:rsid w:val="00C54711"/>
    <w:rsid w:val="00C57FA2"/>
    <w:rsid w:val="00C66BD8"/>
    <w:rsid w:val="00C9667A"/>
    <w:rsid w:val="00CC1946"/>
    <w:rsid w:val="00CC2E4D"/>
    <w:rsid w:val="00CC78A5"/>
    <w:rsid w:val="00CC7B16"/>
    <w:rsid w:val="00CE15FE"/>
    <w:rsid w:val="00D02E15"/>
    <w:rsid w:val="00D14F44"/>
    <w:rsid w:val="00D278E8"/>
    <w:rsid w:val="00D40DB1"/>
    <w:rsid w:val="00D421E8"/>
    <w:rsid w:val="00D44604"/>
    <w:rsid w:val="00D479B3"/>
    <w:rsid w:val="00D52283"/>
    <w:rsid w:val="00D524E5"/>
    <w:rsid w:val="00D72FEF"/>
    <w:rsid w:val="00D755FA"/>
    <w:rsid w:val="00DC4A4E"/>
    <w:rsid w:val="00DD1874"/>
    <w:rsid w:val="00DD63BD"/>
    <w:rsid w:val="00DF05DB"/>
    <w:rsid w:val="00DF7E20"/>
    <w:rsid w:val="00E172C6"/>
    <w:rsid w:val="00E2207F"/>
    <w:rsid w:val="00E24309"/>
    <w:rsid w:val="00E53D82"/>
    <w:rsid w:val="00E84B89"/>
    <w:rsid w:val="00E9330A"/>
    <w:rsid w:val="00EE6B97"/>
    <w:rsid w:val="00F12C3B"/>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9833E9"/>
  <w15:docId w15:val="{FAA4A5CF-FFA5-43F4-9A7B-FAB53576D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AE2D3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E2D3C"/>
    <w:rPr>
      <w:rFonts w:ascii="Calibri" w:hAnsi="Calibri" w:cs="Calibri"/>
      <w:noProof/>
      <w:lang w:val="en-US"/>
    </w:rPr>
  </w:style>
  <w:style w:type="paragraph" w:customStyle="1" w:styleId="EndNoteBibliography">
    <w:name w:val="EndNote Bibliography"/>
    <w:basedOn w:val="Normal"/>
    <w:link w:val="EndNoteBibliographyChar"/>
    <w:rsid w:val="00AE2D3C"/>
    <w:rPr>
      <w:rFonts w:ascii="Calibri" w:hAnsi="Calibri" w:cs="Calibri"/>
      <w:noProof/>
      <w:lang w:val="en-US"/>
    </w:rPr>
  </w:style>
  <w:style w:type="character" w:customStyle="1" w:styleId="EndNoteBibliographyChar">
    <w:name w:val="EndNote Bibliography Char"/>
    <w:basedOn w:val="DefaultParagraphFont"/>
    <w:link w:val="EndNoteBibliography"/>
    <w:rsid w:val="00AE2D3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430</TotalTime>
  <Pages>3</Pages>
  <Words>946</Words>
  <Characters>5395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11</cp:revision>
  <cp:lastPrinted>2018-10-04T09:37:00Z</cp:lastPrinted>
  <dcterms:created xsi:type="dcterms:W3CDTF">2018-09-13T08:16:00Z</dcterms:created>
  <dcterms:modified xsi:type="dcterms:W3CDTF">2018-11-27T09:09:00Z</dcterms:modified>
</cp:coreProperties>
</file>