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417E9F" w14:textId="2010EE32" w:rsidR="00201AC2" w:rsidRPr="006A1E3E" w:rsidRDefault="006A1E3E" w:rsidP="00201AC2">
      <w:pPr>
        <w:spacing w:after="180"/>
        <w:rPr>
          <w:b/>
          <w:sz w:val="44"/>
          <w:szCs w:val="44"/>
        </w:rPr>
      </w:pPr>
      <w:r w:rsidRPr="006A1E3E">
        <w:rPr>
          <w:b/>
          <w:sz w:val="44"/>
          <w:szCs w:val="44"/>
        </w:rPr>
        <w:t>Categorising reactions</w:t>
      </w:r>
    </w:p>
    <w:p w14:paraId="1FA36AE9" w14:textId="77777777" w:rsidR="00201AC2" w:rsidRPr="006A1E3E" w:rsidRDefault="00201AC2" w:rsidP="00201AC2">
      <w:pPr>
        <w:spacing w:after="180"/>
      </w:pPr>
    </w:p>
    <w:p w14:paraId="5B493B9E" w14:textId="79A9F883" w:rsidR="00201AC2" w:rsidRDefault="006A1E3E" w:rsidP="00201AC2">
      <w:pPr>
        <w:spacing w:after="180"/>
      </w:pPr>
      <w:r w:rsidRPr="006A1E3E">
        <w:t>Match each chemical equation with the type of reaction it represents.</w:t>
      </w:r>
    </w:p>
    <w:p w14:paraId="23810779" w14:textId="77777777" w:rsidR="00B23B31" w:rsidRDefault="00B23B31" w:rsidP="00201AC2">
      <w:pPr>
        <w:spacing w:after="180"/>
      </w:pPr>
    </w:p>
    <w:p w14:paraId="1251605F" w14:textId="6E4E4E81" w:rsidR="002F41B2" w:rsidRDefault="0016036A" w:rsidP="002F41B2">
      <w:pPr>
        <w:spacing w:after="180"/>
      </w:pPr>
      <w:r>
        <w:rPr>
          <w:noProof/>
        </w:rPr>
        <w:drawing>
          <wp:inline distT="0" distB="0" distL="0" distR="0" wp14:anchorId="4D26AD9D" wp14:editId="391EF97B">
            <wp:extent cx="5731510" cy="3329940"/>
            <wp:effectExtent l="0" t="0" r="254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t="1687"/>
                    <a:stretch/>
                  </pic:blipFill>
                  <pic:spPr bwMode="auto">
                    <a:xfrm>
                      <a:off x="0" y="0"/>
                      <a:ext cx="5731510" cy="3329940"/>
                    </a:xfrm>
                    <a:prstGeom prst="rect">
                      <a:avLst/>
                    </a:prstGeom>
                    <a:ln>
                      <a:noFill/>
                    </a:ln>
                    <a:extLst>
                      <a:ext uri="{53640926-AAD7-44D8-BBD7-CCE9431645EC}">
                        <a14:shadowObscured xmlns:a14="http://schemas.microsoft.com/office/drawing/2010/main"/>
                      </a:ext>
                    </a:extLst>
                  </pic:spPr>
                </pic:pic>
              </a:graphicData>
            </a:graphic>
          </wp:inline>
        </w:drawing>
      </w:r>
    </w:p>
    <w:p w14:paraId="25237DCF" w14:textId="77777777" w:rsidR="00201AC2" w:rsidRPr="00201AC2" w:rsidRDefault="00201AC2" w:rsidP="006F3279">
      <w:pPr>
        <w:spacing w:after="240"/>
        <w:rPr>
          <w:szCs w:val="18"/>
        </w:rPr>
      </w:pPr>
    </w:p>
    <w:p w14:paraId="5D9E2844" w14:textId="77777777" w:rsidR="00201AC2" w:rsidRPr="00201AC2" w:rsidRDefault="00201AC2" w:rsidP="006F3279">
      <w:pPr>
        <w:spacing w:after="240"/>
        <w:rPr>
          <w:szCs w:val="18"/>
        </w:rPr>
      </w:pPr>
    </w:p>
    <w:p w14:paraId="177BB024" w14:textId="77777777"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bookmarkStart w:id="0" w:name="_GoBack"/>
      <w:bookmarkEnd w:id="0"/>
    </w:p>
    <w:p w14:paraId="7F211D15" w14:textId="550F151E" w:rsidR="00287876" w:rsidRPr="006F3279" w:rsidRDefault="001C2E59" w:rsidP="006F3279">
      <w:pPr>
        <w:spacing w:after="240"/>
        <w:rPr>
          <w:i/>
          <w:sz w:val="18"/>
          <w:szCs w:val="18"/>
        </w:rPr>
      </w:pPr>
      <w:r>
        <w:rPr>
          <w:i/>
          <w:sz w:val="18"/>
          <w:szCs w:val="18"/>
        </w:rPr>
        <w:lastRenderedPageBreak/>
        <w:t>Chemistry</w:t>
      </w:r>
      <w:r w:rsidRPr="00CA4B46">
        <w:rPr>
          <w:i/>
          <w:sz w:val="18"/>
          <w:szCs w:val="18"/>
        </w:rPr>
        <w:t xml:space="preserve"> &gt; </w:t>
      </w:r>
      <w:r>
        <w:rPr>
          <w:i/>
          <w:sz w:val="18"/>
          <w:szCs w:val="18"/>
        </w:rPr>
        <w:t xml:space="preserve">Big idea </w:t>
      </w:r>
      <w:r w:rsidR="0016558E">
        <w:rPr>
          <w:i/>
          <w:sz w:val="18"/>
          <w:szCs w:val="18"/>
        </w:rPr>
        <w:t>CPS: Particles and structure</w:t>
      </w:r>
      <w:r>
        <w:rPr>
          <w:i/>
          <w:sz w:val="18"/>
          <w:szCs w:val="18"/>
        </w:rPr>
        <w:t xml:space="preserve"> &gt; Topic </w:t>
      </w:r>
      <w:r w:rsidR="0016558E">
        <w:rPr>
          <w:i/>
          <w:sz w:val="18"/>
          <w:szCs w:val="18"/>
        </w:rPr>
        <w:t>CPS4: Understanding reactions</w:t>
      </w:r>
      <w:r w:rsidRPr="00CA4B46">
        <w:rPr>
          <w:i/>
          <w:sz w:val="18"/>
          <w:szCs w:val="18"/>
        </w:rPr>
        <w:t xml:space="preserve"> &gt; </w:t>
      </w:r>
      <w:r>
        <w:rPr>
          <w:i/>
          <w:sz w:val="18"/>
          <w:szCs w:val="18"/>
        </w:rPr>
        <w:t>Key concept</w:t>
      </w:r>
      <w:r w:rsidRPr="00CA4B46">
        <w:rPr>
          <w:i/>
          <w:sz w:val="18"/>
          <w:szCs w:val="18"/>
        </w:rPr>
        <w:t xml:space="preserve"> </w:t>
      </w:r>
      <w:r w:rsidR="00FC1434">
        <w:rPr>
          <w:i/>
          <w:sz w:val="18"/>
          <w:szCs w:val="18"/>
        </w:rPr>
        <w:t>CPS4.1:</w:t>
      </w:r>
      <w:r w:rsidR="006A1E3E">
        <w:rPr>
          <w:i/>
          <w:sz w:val="18"/>
          <w:szCs w:val="18"/>
        </w:rPr>
        <w:t xml:space="preserve"> </w:t>
      </w:r>
      <w:r w:rsidR="00FC1434">
        <w:rPr>
          <w:i/>
          <w:sz w:val="18"/>
          <w:szCs w:val="18"/>
        </w:rPr>
        <w:t>Understanding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39647069" w14:textId="77777777" w:rsidTr="001C2E59">
        <w:tc>
          <w:tcPr>
            <w:tcW w:w="12021" w:type="dxa"/>
            <w:shd w:val="clear" w:color="auto" w:fill="FABF8F" w:themeFill="accent6" w:themeFillTint="99"/>
          </w:tcPr>
          <w:p w14:paraId="34659DD3" w14:textId="77777777" w:rsidR="006F3279" w:rsidRPr="00CA4B46" w:rsidRDefault="00806B12" w:rsidP="00781BC6">
            <w:pPr>
              <w:ind w:left="1304"/>
              <w:rPr>
                <w:b/>
                <w:sz w:val="40"/>
                <w:szCs w:val="40"/>
              </w:rPr>
            </w:pPr>
            <w:r>
              <w:rPr>
                <w:b/>
                <w:sz w:val="40"/>
                <w:szCs w:val="40"/>
              </w:rPr>
              <w:t xml:space="preserve">Response </w:t>
            </w:r>
            <w:r w:rsidR="006A320F">
              <w:rPr>
                <w:b/>
                <w:sz w:val="40"/>
                <w:szCs w:val="40"/>
              </w:rPr>
              <w:t>activity</w:t>
            </w:r>
          </w:p>
        </w:tc>
      </w:tr>
      <w:tr w:rsidR="006F3279" w:rsidRPr="006A1E3E" w14:paraId="75A3EFBB" w14:textId="77777777" w:rsidTr="001C2E59">
        <w:tc>
          <w:tcPr>
            <w:tcW w:w="12021" w:type="dxa"/>
            <w:shd w:val="clear" w:color="auto" w:fill="FBD4B4" w:themeFill="accent6" w:themeFillTint="66"/>
          </w:tcPr>
          <w:p w14:paraId="5D392DEE" w14:textId="12FDB643" w:rsidR="006F3279" w:rsidRPr="006A1E3E" w:rsidRDefault="00FC1434" w:rsidP="006F3279">
            <w:pPr>
              <w:spacing w:after="60"/>
              <w:ind w:left="1304"/>
              <w:rPr>
                <w:b/>
                <w:sz w:val="40"/>
                <w:szCs w:val="40"/>
              </w:rPr>
            </w:pPr>
            <w:r w:rsidRPr="006A1E3E">
              <w:rPr>
                <w:b/>
                <w:sz w:val="40"/>
                <w:szCs w:val="40"/>
              </w:rPr>
              <w:t>Categorising reactions</w:t>
            </w:r>
          </w:p>
        </w:tc>
      </w:tr>
    </w:tbl>
    <w:p w14:paraId="2D30C4D5" w14:textId="77777777" w:rsidR="006F3279" w:rsidRPr="006A1E3E" w:rsidRDefault="006F3279" w:rsidP="00E172C6">
      <w:pPr>
        <w:spacing w:after="180"/>
        <w:rPr>
          <w:b/>
        </w:rPr>
      </w:pPr>
    </w:p>
    <w:p w14:paraId="42FBE86F" w14:textId="77777777" w:rsidR="00456227" w:rsidRPr="006A1E3E" w:rsidRDefault="00456227" w:rsidP="00456227">
      <w:pPr>
        <w:spacing w:after="180"/>
        <w:rPr>
          <w:b/>
          <w:color w:val="E36C0A" w:themeColor="accent6" w:themeShade="BF"/>
          <w:sz w:val="24"/>
        </w:rPr>
      </w:pPr>
      <w:r w:rsidRPr="006A1E3E">
        <w:rPr>
          <w:b/>
          <w:color w:val="E36C0A" w:themeColor="accent6" w:themeShade="BF"/>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6A320F" w:rsidRPr="006A1E3E" w14:paraId="262EAC47" w14:textId="77777777" w:rsidTr="003F16F9">
        <w:trPr>
          <w:trHeight w:val="340"/>
        </w:trPr>
        <w:tc>
          <w:tcPr>
            <w:tcW w:w="2196" w:type="dxa"/>
          </w:tcPr>
          <w:p w14:paraId="5510C7FC" w14:textId="77777777" w:rsidR="006A320F" w:rsidRPr="006A1E3E" w:rsidRDefault="006A320F" w:rsidP="006A320F">
            <w:pPr>
              <w:spacing w:before="60" w:after="60"/>
            </w:pPr>
            <w:r w:rsidRPr="006A1E3E">
              <w:t>Learning objective:</w:t>
            </w:r>
          </w:p>
        </w:tc>
        <w:tc>
          <w:tcPr>
            <w:tcW w:w="6820" w:type="dxa"/>
          </w:tcPr>
          <w:p w14:paraId="7FD4EA55" w14:textId="519D7E4A" w:rsidR="006A320F" w:rsidRPr="006A1E3E" w:rsidRDefault="006A1E3E" w:rsidP="006A320F">
            <w:pPr>
              <w:spacing w:before="60" w:after="60"/>
            </w:pPr>
            <w:r w:rsidRPr="006A1E3E">
              <w:t>A chemical reaction can be summarised by a chemical equation.</w:t>
            </w:r>
          </w:p>
        </w:tc>
      </w:tr>
      <w:tr w:rsidR="006A320F" w:rsidRPr="006A1E3E" w14:paraId="58DBBC1D" w14:textId="77777777" w:rsidTr="003F16F9">
        <w:trPr>
          <w:trHeight w:val="340"/>
        </w:trPr>
        <w:tc>
          <w:tcPr>
            <w:tcW w:w="2196" w:type="dxa"/>
          </w:tcPr>
          <w:p w14:paraId="6793DAC2" w14:textId="77777777" w:rsidR="006A320F" w:rsidRPr="006A1E3E" w:rsidRDefault="006A320F" w:rsidP="006A320F">
            <w:pPr>
              <w:spacing w:before="60" w:after="60"/>
            </w:pPr>
            <w:r w:rsidRPr="006A1E3E">
              <w:t>Observable learning outcome:</w:t>
            </w:r>
          </w:p>
        </w:tc>
        <w:tc>
          <w:tcPr>
            <w:tcW w:w="6820" w:type="dxa"/>
          </w:tcPr>
          <w:p w14:paraId="2E3C42CF" w14:textId="733B737B" w:rsidR="006A320F" w:rsidRPr="006A1E3E" w:rsidRDefault="006A1E3E" w:rsidP="006A320F">
            <w:pPr>
              <w:spacing w:before="60" w:after="60"/>
            </w:pPr>
            <w:r w:rsidRPr="006A1E3E">
              <w:t>Use a symbolic chemical equation to categorise a reaction as oxidation, decomposition or precipitation.</w:t>
            </w:r>
          </w:p>
        </w:tc>
      </w:tr>
      <w:tr w:rsidR="006A320F" w:rsidRPr="006A1E3E" w14:paraId="36355A88" w14:textId="77777777" w:rsidTr="003F16F9">
        <w:trPr>
          <w:trHeight w:val="340"/>
        </w:trPr>
        <w:tc>
          <w:tcPr>
            <w:tcW w:w="2196" w:type="dxa"/>
          </w:tcPr>
          <w:p w14:paraId="00CC983B" w14:textId="77777777" w:rsidR="006A320F" w:rsidRPr="006A1E3E" w:rsidRDefault="00E03772" w:rsidP="006A320F">
            <w:pPr>
              <w:spacing w:before="60" w:after="60"/>
            </w:pPr>
            <w:r w:rsidRPr="006A1E3E">
              <w:t>Activity</w:t>
            </w:r>
            <w:r w:rsidR="006A320F" w:rsidRPr="006A1E3E">
              <w:t xml:space="preserve"> type:</w:t>
            </w:r>
          </w:p>
        </w:tc>
        <w:tc>
          <w:tcPr>
            <w:tcW w:w="6820" w:type="dxa"/>
          </w:tcPr>
          <w:p w14:paraId="43F8ADEE" w14:textId="2301E42B" w:rsidR="006A320F" w:rsidRPr="006A1E3E" w:rsidRDefault="0016036A" w:rsidP="006A320F">
            <w:pPr>
              <w:spacing w:before="60" w:after="60"/>
            </w:pPr>
            <w:r>
              <w:t>a</w:t>
            </w:r>
            <w:r w:rsidR="006A1E3E" w:rsidRPr="006A1E3E">
              <w:t>pplication and practice</w:t>
            </w:r>
          </w:p>
        </w:tc>
      </w:tr>
      <w:tr w:rsidR="006A320F" w:rsidRPr="006A1E3E" w14:paraId="06A0E7E1" w14:textId="77777777" w:rsidTr="003F16F9">
        <w:trPr>
          <w:trHeight w:val="340"/>
        </w:trPr>
        <w:tc>
          <w:tcPr>
            <w:tcW w:w="2196" w:type="dxa"/>
          </w:tcPr>
          <w:p w14:paraId="37DED4E5" w14:textId="77777777" w:rsidR="006A320F" w:rsidRPr="006A1E3E" w:rsidRDefault="006A320F" w:rsidP="006A320F">
            <w:pPr>
              <w:spacing w:before="60" w:after="60"/>
            </w:pPr>
            <w:r w:rsidRPr="006A1E3E">
              <w:t>Key words:</w:t>
            </w:r>
          </w:p>
        </w:tc>
        <w:tc>
          <w:tcPr>
            <w:tcW w:w="6820" w:type="dxa"/>
            <w:tcBorders>
              <w:bottom w:val="dotted" w:sz="4" w:space="0" w:color="auto"/>
            </w:tcBorders>
          </w:tcPr>
          <w:p w14:paraId="7A9A2596" w14:textId="32DFF6E2" w:rsidR="006A320F" w:rsidRPr="006A1E3E" w:rsidRDefault="006A1E3E" w:rsidP="006A320F">
            <w:pPr>
              <w:spacing w:before="60" w:after="60"/>
            </w:pPr>
            <w:r w:rsidRPr="006A1E3E">
              <w:t>oxidation, decomposition and precipitation</w:t>
            </w:r>
          </w:p>
        </w:tc>
      </w:tr>
    </w:tbl>
    <w:p w14:paraId="65EC43EE" w14:textId="77777777" w:rsidR="00E172C6" w:rsidRPr="006A1E3E" w:rsidRDefault="00E172C6" w:rsidP="00E172C6">
      <w:pPr>
        <w:spacing w:after="180"/>
      </w:pPr>
    </w:p>
    <w:p w14:paraId="33F6ED35" w14:textId="700C6B36" w:rsidR="006A320F" w:rsidRPr="006A1E3E" w:rsidRDefault="006A320F" w:rsidP="006A320F">
      <w:pPr>
        <w:spacing w:after="180"/>
      </w:pPr>
      <w:r w:rsidRPr="006A1E3E">
        <w:t xml:space="preserve">This activity can help develop students’ understanding by addressing the </w:t>
      </w:r>
      <w:r w:rsidR="0016036A">
        <w:t>misunderstandings</w:t>
      </w:r>
      <w:r w:rsidRPr="006A1E3E">
        <w:t xml:space="preserve"> revealed by the following diagnostic question:</w:t>
      </w:r>
    </w:p>
    <w:p w14:paraId="0231F942" w14:textId="5B423AC1" w:rsidR="00F72ECC" w:rsidRDefault="006A1E3E" w:rsidP="00F72ECC">
      <w:pPr>
        <w:pStyle w:val="ListParagraph"/>
        <w:numPr>
          <w:ilvl w:val="0"/>
          <w:numId w:val="1"/>
        </w:numPr>
        <w:spacing w:after="180"/>
      </w:pPr>
      <w:r w:rsidRPr="006A1E3E">
        <w:t>Reaction type</w:t>
      </w:r>
    </w:p>
    <w:p w14:paraId="52340E06" w14:textId="77777777" w:rsidR="00C05571" w:rsidRPr="001C2E59" w:rsidRDefault="00BB44B4" w:rsidP="00026DEC">
      <w:pPr>
        <w:spacing w:after="180"/>
        <w:rPr>
          <w:b/>
          <w:color w:val="E36C0A" w:themeColor="accent6" w:themeShade="BF"/>
          <w:sz w:val="24"/>
        </w:rPr>
      </w:pPr>
      <w:r w:rsidRPr="001C2E59">
        <w:rPr>
          <w:b/>
          <w:color w:val="E36C0A" w:themeColor="accent6" w:themeShade="BF"/>
          <w:sz w:val="24"/>
        </w:rPr>
        <w:t>What does the research say</w:t>
      </w:r>
      <w:r w:rsidR="00C05571" w:rsidRPr="001C2E59">
        <w:rPr>
          <w:b/>
          <w:color w:val="E36C0A" w:themeColor="accent6" w:themeShade="BF"/>
          <w:sz w:val="24"/>
        </w:rPr>
        <w:t>?</w:t>
      </w:r>
    </w:p>
    <w:p w14:paraId="5A144697" w14:textId="21F3C26E" w:rsidR="00415256" w:rsidRPr="00205F5D" w:rsidRDefault="00415256" w:rsidP="00415256">
      <w:pPr>
        <w:spacing w:after="180"/>
      </w:pPr>
      <w:r w:rsidRPr="00205F5D">
        <w:t xml:space="preserve">Johnstone </w:t>
      </w:r>
      <w:r w:rsidRPr="00205F5D">
        <w:fldChar w:fldCharType="begin"/>
      </w:r>
      <w:r>
        <w:instrText xml:space="preserve"> ADDIN EN.CITE &lt;EndNote&gt;&lt;Cite ExcludeAuth="1"&gt;&lt;Author&gt;Johnstone&lt;/Author&gt;&lt;Year&gt;1991&lt;/Year&gt;&lt;IDText&gt;Why is chemistry difficult to learn? Things are seldom what they seem.&lt;/IDText&gt;&lt;DisplayText&gt;(1991)&lt;/DisplayText&gt;&lt;record&gt;&lt;titles&gt;&lt;title&gt;Why is chemistry difficult to learn? Things are seldom what they seem.&lt;/title&gt;&lt;secondary-title&gt;Journal of Computer Assisted Learning&lt;/secondary-title&gt;&lt;/titles&gt;&lt;pages&gt;75-83&lt;/pages&gt;&lt;contributors&gt;&lt;authors&gt;&lt;author&gt;Johnstone, A.H.&lt;/author&gt;&lt;/authors&gt;&lt;/contributors&gt;&lt;added-date format="utc"&gt;1532360293&lt;/added-date&gt;&lt;ref-type name="Journal Article"&gt;17&lt;/ref-type&gt;&lt;dates&gt;&lt;year&gt;1991&lt;/year&gt;&lt;/dates&gt;&lt;rec-number&gt;10&lt;/rec-number&gt;&lt;last-updated-date format="utc"&gt;1532360360&lt;/last-updated-date&gt;&lt;volume&gt;7&lt;/volume&gt;&lt;/record&gt;&lt;/Cite&gt;&lt;/EndNote&gt;</w:instrText>
      </w:r>
      <w:r w:rsidRPr="00205F5D">
        <w:fldChar w:fldCharType="separate"/>
      </w:r>
      <w:r>
        <w:rPr>
          <w:noProof/>
        </w:rPr>
        <w:t>(1991)</w:t>
      </w:r>
      <w:r w:rsidRPr="00205F5D">
        <w:fldChar w:fldCharType="end"/>
      </w:r>
      <w:r w:rsidRPr="00205F5D">
        <w:t xml:space="preserve"> used a triangle to summarise three levels of representation that he proposed are needed in order to understand chemistry</w:t>
      </w:r>
      <w:r w:rsidR="009245A4">
        <w:t>.</w:t>
      </w:r>
    </w:p>
    <w:p w14:paraId="56E4FC1A" w14:textId="77777777" w:rsidR="00415256" w:rsidRDefault="00415256" w:rsidP="00415256">
      <w:pPr>
        <w:spacing w:after="180"/>
        <w:rPr>
          <w:highlight w:val="yellow"/>
        </w:rPr>
      </w:pPr>
      <w:r>
        <w:rPr>
          <w:noProof/>
        </w:rPr>
        <w:drawing>
          <wp:inline distT="0" distB="0" distL="0" distR="0" wp14:anchorId="7ECFCA96" wp14:editId="049BCA91">
            <wp:extent cx="1880728" cy="13049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JOhnstone's traingle.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86259" cy="1308763"/>
                    </a:xfrm>
                    <a:prstGeom prst="rect">
                      <a:avLst/>
                    </a:prstGeom>
                  </pic:spPr>
                </pic:pic>
              </a:graphicData>
            </a:graphic>
          </wp:inline>
        </w:drawing>
      </w:r>
    </w:p>
    <w:p w14:paraId="29A844D8" w14:textId="77777777" w:rsidR="00415256" w:rsidRPr="00205F5D" w:rsidRDefault="00415256" w:rsidP="00415256">
      <w:pPr>
        <w:spacing w:after="180"/>
        <w:rPr>
          <w:i/>
        </w:rPr>
      </w:pPr>
      <w:r w:rsidRPr="00205F5D">
        <w:rPr>
          <w:i/>
        </w:rPr>
        <w:t>Figure 1 Johnstone’s triangle</w:t>
      </w:r>
    </w:p>
    <w:p w14:paraId="3765CC50" w14:textId="1D075628" w:rsidR="00415256" w:rsidRDefault="009245A4" w:rsidP="00415256">
      <w:pPr>
        <w:spacing w:after="180"/>
      </w:pPr>
      <w:r w:rsidRPr="00205F5D">
        <w:t xml:space="preserve">Johnstone </w:t>
      </w:r>
      <w:r w:rsidRPr="00205F5D">
        <w:fldChar w:fldCharType="begin"/>
      </w:r>
      <w:r w:rsidRPr="00205F5D">
        <w:instrText xml:space="preserve"> ADDIN EN.CITE &lt;EndNote&gt;&lt;Cite ExcludeAuth="1"&gt;&lt;Author&gt;Johnstone&lt;/Author&gt;&lt;Year&gt;2000&lt;/Year&gt;&lt;IDText&gt;Teaching of chemistry- Logical or Psychological?&lt;/IDText&gt;&lt;DisplayText&gt;(2000)&lt;/DisplayText&gt;&lt;record&gt;&lt;titles&gt;&lt;title&gt;Teaching of chemistry- Logical or Psychological?&lt;/title&gt;&lt;secondary-title&gt;Chemistry Education:Research and practice in Europe&lt;/secondary-title&gt;&lt;/titles&gt;&lt;pages&gt;9-15&lt;/pages&gt;&lt;number&gt;1&lt;/number&gt;&lt;contributors&gt;&lt;authors&gt;&lt;author&gt;Johnstone, Alex H.&lt;/author&gt;&lt;/authors&gt;&lt;/contributors&gt;&lt;added-date format="utc"&gt;1541677839&lt;/added-date&gt;&lt;ref-type name="Journal Article"&gt;17&lt;/ref-type&gt;&lt;dates&gt;&lt;year&gt;2000&lt;/year&gt;&lt;/dates&gt;&lt;rec-number&gt;32&lt;/rec-number&gt;&lt;last-updated-date format="utc"&gt;1541677957&lt;/last-updated-date&gt;&lt;volume&gt;1&lt;/volume&gt;&lt;/record&gt;&lt;/Cite&gt;&lt;/EndNote&gt;</w:instrText>
      </w:r>
      <w:r w:rsidRPr="00205F5D">
        <w:fldChar w:fldCharType="separate"/>
      </w:r>
      <w:r w:rsidRPr="00205F5D">
        <w:rPr>
          <w:noProof/>
        </w:rPr>
        <w:t>(2000)</w:t>
      </w:r>
      <w:r w:rsidRPr="00205F5D">
        <w:fldChar w:fldCharType="end"/>
      </w:r>
      <w:r w:rsidRPr="00205F5D">
        <w:t xml:space="preserve"> highlights how in chemistry teaching students are often</w:t>
      </w:r>
      <w:r>
        <w:t xml:space="preserve"> </w:t>
      </w:r>
      <w:r w:rsidRPr="00205F5D">
        <w:t xml:space="preserve">introduced to </w:t>
      </w:r>
      <w:r>
        <w:t xml:space="preserve">all </w:t>
      </w:r>
      <w:r w:rsidRPr="00205F5D">
        <w:t>three levels of representation</w:t>
      </w:r>
      <w:r>
        <w:t xml:space="preserve"> simultaneously</w:t>
      </w:r>
      <w:r w:rsidRPr="00205F5D">
        <w:t>.</w:t>
      </w:r>
      <w:r w:rsidR="00415256" w:rsidRPr="00205F5D">
        <w:t xml:space="preserve"> Whilst an experienced chemist may be able to manipulate all three, he suggests that this may overload the “working space” (working memory) of school students.</w:t>
      </w:r>
    </w:p>
    <w:p w14:paraId="5658B816" w14:textId="147848C4" w:rsidR="00873910" w:rsidRDefault="00873910" w:rsidP="00415256">
      <w:pPr>
        <w:spacing w:after="180"/>
      </w:pPr>
      <w:r>
        <w:t>This activity</w:t>
      </w:r>
      <w:r w:rsidR="002D2101">
        <w:t xml:space="preserve"> aims to improve students’ confidence interpreting a symbolic representation as well as encouraging students to be aware of which representations they are using in their thinking.</w:t>
      </w:r>
    </w:p>
    <w:p w14:paraId="6836BEA8" w14:textId="77777777" w:rsidR="007A748B" w:rsidRPr="001C2E59" w:rsidRDefault="007A748B" w:rsidP="00026DEC">
      <w:pPr>
        <w:spacing w:after="180"/>
        <w:rPr>
          <w:b/>
          <w:color w:val="E36C0A" w:themeColor="accent6" w:themeShade="BF"/>
          <w:sz w:val="24"/>
        </w:rPr>
      </w:pPr>
      <w:r w:rsidRPr="001C2E59">
        <w:rPr>
          <w:b/>
          <w:color w:val="E36C0A" w:themeColor="accent6" w:themeShade="BF"/>
          <w:sz w:val="24"/>
        </w:rPr>
        <w:t>Ways to use this</w:t>
      </w:r>
      <w:r w:rsidR="00CF6578">
        <w:rPr>
          <w:b/>
          <w:color w:val="E36C0A" w:themeColor="accent6" w:themeShade="BF"/>
          <w:sz w:val="24"/>
        </w:rPr>
        <w:t xml:space="preserve"> activity</w:t>
      </w:r>
    </w:p>
    <w:p w14:paraId="5D67799F" w14:textId="1ECD9795" w:rsidR="00415256" w:rsidRDefault="00415256" w:rsidP="00415256">
      <w:pPr>
        <w:spacing w:after="180"/>
      </w:pPr>
      <w:r>
        <w:t>This activity gives students the opportunity to practise applying their understanding and to clarify their thinking through discussion.  To support this, s</w:t>
      </w:r>
      <w:r w:rsidRPr="00DA3B6C">
        <w:t xml:space="preserve">tudents </w:t>
      </w:r>
      <w:r>
        <w:t>should answer the question in pairs or small groups. As well as discussing the reaction types students could be explicitly encouraged to consider what representations they are using in their thinking. Are they translating the symbols, are they picturing the actual reactions, are they thinking of the particles or are they thinking about a combination</w:t>
      </w:r>
      <w:r w:rsidR="0016036A">
        <w:t xml:space="preserve"> of all three.</w:t>
      </w:r>
    </w:p>
    <w:p w14:paraId="529FE05E" w14:textId="7AEC7094" w:rsidR="00415256" w:rsidRDefault="00415256" w:rsidP="00415256">
      <w:pPr>
        <w:spacing w:after="180"/>
      </w:pPr>
      <w:r>
        <w:t>It is important that students understand the three types of reaction so, if necessary, recap these before starting the activity.</w:t>
      </w:r>
    </w:p>
    <w:p w14:paraId="119A3B74" w14:textId="7789BD06" w:rsidR="00415256" w:rsidRPr="00415256" w:rsidRDefault="00415256" w:rsidP="00415256">
      <w:pPr>
        <w:spacing w:after="180"/>
        <w:rPr>
          <w:i/>
        </w:rPr>
      </w:pPr>
      <w:r w:rsidRPr="00415256">
        <w:rPr>
          <w:i/>
        </w:rPr>
        <w:t>Differentiation</w:t>
      </w:r>
    </w:p>
    <w:p w14:paraId="7A25851D" w14:textId="3E51E3E5" w:rsidR="00415256" w:rsidRDefault="006B6AA4" w:rsidP="00415256">
      <w:pPr>
        <w:spacing w:after="180"/>
      </w:pPr>
      <w:r>
        <w:t xml:space="preserve">If some students are initially confused by the chemical </w:t>
      </w:r>
      <w:r w:rsidR="00BC2401">
        <w:t>equations,</w:t>
      </w:r>
      <w:r>
        <w:t xml:space="preserve"> you may wish to provide some structured support in how to tackle the question. For </w:t>
      </w:r>
      <w:r w:rsidR="00BC2401">
        <w:t>example,</w:t>
      </w:r>
      <w:r>
        <w:t xml:space="preserve"> students could start by looking at the number of substances on each side of the equation or the state symbols.</w:t>
      </w:r>
    </w:p>
    <w:p w14:paraId="63781ADA" w14:textId="77777777" w:rsidR="00E172C6" w:rsidRPr="001C2E59" w:rsidRDefault="00BB44B4" w:rsidP="00026DEC">
      <w:pPr>
        <w:spacing w:after="180"/>
        <w:rPr>
          <w:b/>
          <w:color w:val="E36C0A" w:themeColor="accent6" w:themeShade="BF"/>
          <w:sz w:val="24"/>
        </w:rPr>
      </w:pPr>
      <w:r w:rsidRPr="001C2E59">
        <w:rPr>
          <w:b/>
          <w:color w:val="E36C0A" w:themeColor="accent6" w:themeShade="BF"/>
          <w:sz w:val="24"/>
        </w:rPr>
        <w:t>Expected answers</w:t>
      </w:r>
    </w:p>
    <w:p w14:paraId="11AAF683" w14:textId="19EB567D" w:rsidR="00BF6C8A" w:rsidRDefault="006A1E3E" w:rsidP="00BF6C8A">
      <w:pPr>
        <w:spacing w:after="180"/>
      </w:pPr>
      <w:r w:rsidRPr="006A1E3E">
        <w:t>1 B, 2 C, 3A, 4C, 5A</w:t>
      </w:r>
    </w:p>
    <w:p w14:paraId="66BFC6D8" w14:textId="77777777" w:rsidR="003117F6" w:rsidRPr="001C2E59" w:rsidRDefault="00CC78A5" w:rsidP="00026DEC">
      <w:pPr>
        <w:spacing w:after="180"/>
        <w:rPr>
          <w:b/>
          <w:color w:val="E36C0A" w:themeColor="accent6" w:themeShade="BF"/>
          <w:sz w:val="24"/>
        </w:rPr>
      </w:pPr>
      <w:r w:rsidRPr="001C2E59">
        <w:rPr>
          <w:b/>
          <w:color w:val="E36C0A" w:themeColor="accent6" w:themeShade="BF"/>
          <w:sz w:val="24"/>
        </w:rPr>
        <w:t>Acknowledgments</w:t>
      </w:r>
    </w:p>
    <w:p w14:paraId="663C42B4" w14:textId="630EE1AB" w:rsidR="00D278E8" w:rsidRDefault="00D278E8" w:rsidP="00E172C6">
      <w:pPr>
        <w:spacing w:after="180"/>
      </w:pPr>
      <w:r w:rsidRPr="006A1E3E">
        <w:t xml:space="preserve">Developed </w:t>
      </w:r>
      <w:r w:rsidR="0015356E" w:rsidRPr="006A1E3E">
        <w:t xml:space="preserve">by </w:t>
      </w:r>
      <w:r w:rsidR="006A1E3E" w:rsidRPr="006A1E3E">
        <w:t xml:space="preserve">Helen Harden </w:t>
      </w:r>
      <w:r w:rsidR="0015356E" w:rsidRPr="006A1E3E">
        <w:t>(UYSEG)</w:t>
      </w:r>
      <w:r w:rsidR="006A1E3E" w:rsidRPr="006A1E3E">
        <w:t>.</w:t>
      </w:r>
    </w:p>
    <w:p w14:paraId="30D7E55C" w14:textId="18F1503E" w:rsidR="00CC78A5" w:rsidRDefault="00D278E8" w:rsidP="00E172C6">
      <w:pPr>
        <w:spacing w:after="180"/>
      </w:pPr>
      <w:r w:rsidRPr="006A1E3E">
        <w:t xml:space="preserve">Images: </w:t>
      </w:r>
      <w:r w:rsidR="006A1E3E" w:rsidRPr="006A1E3E">
        <w:t>None</w:t>
      </w:r>
    </w:p>
    <w:p w14:paraId="5E2A14FA" w14:textId="7AD09B14" w:rsidR="0016036A" w:rsidRDefault="008D7667" w:rsidP="00026DEC">
      <w:pPr>
        <w:spacing w:after="180"/>
        <w:rPr>
          <w:b/>
          <w:color w:val="E36C0A" w:themeColor="accent6" w:themeShade="BF"/>
          <w:sz w:val="24"/>
        </w:rPr>
      </w:pPr>
      <w:r>
        <w:rPr>
          <w:b/>
          <w:color w:val="E36C0A" w:themeColor="accent6" w:themeShade="BF"/>
          <w:sz w:val="24"/>
        </w:rPr>
        <w:t>References</w:t>
      </w:r>
    </w:p>
    <w:p w14:paraId="2417F3E1" w14:textId="77777777" w:rsidR="0016036A" w:rsidRPr="0016036A" w:rsidRDefault="0016036A" w:rsidP="0016036A">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Pr="0016036A">
        <w:t xml:space="preserve">Johnstone, A. H. (1991). Why is chemistry difficult to learn? Things are seldom what they seem. </w:t>
      </w:r>
      <w:r w:rsidRPr="0016036A">
        <w:rPr>
          <w:i/>
        </w:rPr>
        <w:t>Journal of Computer Assisted Learning,</w:t>
      </w:r>
      <w:r w:rsidRPr="0016036A">
        <w:t xml:space="preserve"> 7</w:t>
      </w:r>
      <w:r w:rsidRPr="0016036A">
        <w:rPr>
          <w:b/>
        </w:rPr>
        <w:t>,</w:t>
      </w:r>
      <w:r w:rsidRPr="0016036A">
        <w:t xml:space="preserve"> 75-83.</w:t>
      </w:r>
    </w:p>
    <w:p w14:paraId="0CE48E02" w14:textId="77777777" w:rsidR="0016036A" w:rsidRPr="0016036A" w:rsidRDefault="0016036A" w:rsidP="0016036A">
      <w:pPr>
        <w:pStyle w:val="EndNoteBibliography"/>
      </w:pPr>
      <w:r w:rsidRPr="0016036A">
        <w:t xml:space="preserve">Johnstone, A. H. (2000). Teaching of chemistry- Logical or Psychological? </w:t>
      </w:r>
      <w:r w:rsidRPr="0016036A">
        <w:rPr>
          <w:i/>
        </w:rPr>
        <w:t>Chemistry Education:Research and practice in Europe,</w:t>
      </w:r>
      <w:r w:rsidRPr="0016036A">
        <w:t xml:space="preserve"> 1(1)</w:t>
      </w:r>
      <w:r w:rsidRPr="0016036A">
        <w:rPr>
          <w:b/>
        </w:rPr>
        <w:t>,</w:t>
      </w:r>
      <w:r w:rsidRPr="0016036A">
        <w:t xml:space="preserve"> 9-15.</w:t>
      </w:r>
    </w:p>
    <w:p w14:paraId="6586B876" w14:textId="343914ED" w:rsidR="003117F6" w:rsidRPr="001C2E59" w:rsidRDefault="0016036A" w:rsidP="00026DEC">
      <w:pPr>
        <w:spacing w:after="180"/>
        <w:rPr>
          <w:b/>
          <w:color w:val="E36C0A" w:themeColor="accent6" w:themeShade="BF"/>
          <w:sz w:val="24"/>
        </w:rPr>
      </w:pPr>
      <w:r>
        <w:rPr>
          <w:b/>
          <w:color w:val="E36C0A" w:themeColor="accent6" w:themeShade="BF"/>
          <w:sz w:val="24"/>
        </w:rPr>
        <w:fldChar w:fldCharType="end"/>
      </w:r>
    </w:p>
    <w:sectPr w:rsidR="003117F6" w:rsidRPr="001C2E59"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1DC8FE" w14:textId="77777777" w:rsidR="00742661" w:rsidRDefault="00742661" w:rsidP="000B473B">
      <w:r>
        <w:separator/>
      </w:r>
    </w:p>
  </w:endnote>
  <w:endnote w:type="continuationSeparator" w:id="0">
    <w:p w14:paraId="70B01234" w14:textId="77777777" w:rsidR="00742661" w:rsidRDefault="00742661"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A216E"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155817D0" wp14:editId="6F964068">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728E0E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D7667">
      <w:rPr>
        <w:noProof/>
      </w:rPr>
      <w:t>3</w:t>
    </w:r>
    <w:r>
      <w:rPr>
        <w:noProof/>
      </w:rPr>
      <w:fldChar w:fldCharType="end"/>
    </w:r>
  </w:p>
  <w:p w14:paraId="3D313D85"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F6578">
      <w:rPr>
        <w:sz w:val="16"/>
        <w:szCs w:val="16"/>
      </w:rPr>
      <w:t>activity</w:t>
    </w:r>
    <w:r>
      <w:rPr>
        <w:sz w:val="16"/>
        <w:szCs w:val="16"/>
      </w:rPr>
      <w:t xml:space="preserve"> may have been edited. Download the original from </w:t>
    </w:r>
    <w:r w:rsidRPr="00ED4562">
      <w:rPr>
        <w:b/>
        <w:sz w:val="16"/>
        <w:szCs w:val="16"/>
      </w:rPr>
      <w:t>www.BestEvidenceScienceTeaching.org</w:t>
    </w:r>
  </w:p>
  <w:p w14:paraId="2511F8E0" w14:textId="77777777" w:rsidR="00F12C3B" w:rsidRPr="00201AC2" w:rsidRDefault="008D7667" w:rsidP="008D7667">
    <w:pPr>
      <w:pStyle w:val="Footer"/>
      <w:rPr>
        <w:sz w:val="16"/>
        <w:szCs w:val="16"/>
      </w:rPr>
    </w:pPr>
    <w:r w:rsidRPr="008D766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14B583" w14:textId="77777777" w:rsidR="00742661" w:rsidRDefault="00742661" w:rsidP="000B473B">
      <w:r>
        <w:separator/>
      </w:r>
    </w:p>
  </w:footnote>
  <w:footnote w:type="continuationSeparator" w:id="0">
    <w:p w14:paraId="015B06D9" w14:textId="77777777" w:rsidR="00742661" w:rsidRDefault="00742661"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EEA0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7F381A2C" wp14:editId="2650FBE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0BDB9DD0" wp14:editId="0341FB73">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26AB7D9"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56510"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7231CF50" wp14:editId="7BEB21E0">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067F8B49" wp14:editId="660F1B33">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612AC3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867419"/>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036A"/>
    <w:rsid w:val="00161D3F"/>
    <w:rsid w:val="0016558E"/>
    <w:rsid w:val="001915D4"/>
    <w:rsid w:val="00194675"/>
    <w:rsid w:val="001A1FED"/>
    <w:rsid w:val="001A40E2"/>
    <w:rsid w:val="001A410F"/>
    <w:rsid w:val="001C2E59"/>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D2101"/>
    <w:rsid w:val="002F41B2"/>
    <w:rsid w:val="00301AA9"/>
    <w:rsid w:val="003117F6"/>
    <w:rsid w:val="003533B8"/>
    <w:rsid w:val="003752BE"/>
    <w:rsid w:val="0038401E"/>
    <w:rsid w:val="003A346A"/>
    <w:rsid w:val="003A50A4"/>
    <w:rsid w:val="003B2917"/>
    <w:rsid w:val="003B541B"/>
    <w:rsid w:val="003E2B2F"/>
    <w:rsid w:val="003E6046"/>
    <w:rsid w:val="003F16F9"/>
    <w:rsid w:val="00415256"/>
    <w:rsid w:val="00430C1F"/>
    <w:rsid w:val="00442595"/>
    <w:rsid w:val="0045323E"/>
    <w:rsid w:val="00456227"/>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772F5"/>
    <w:rsid w:val="0068484C"/>
    <w:rsid w:val="006A1E3E"/>
    <w:rsid w:val="006A320F"/>
    <w:rsid w:val="006A4440"/>
    <w:rsid w:val="006B0615"/>
    <w:rsid w:val="006B6AA4"/>
    <w:rsid w:val="006D166B"/>
    <w:rsid w:val="006F3279"/>
    <w:rsid w:val="00704AEE"/>
    <w:rsid w:val="00722F9A"/>
    <w:rsid w:val="00742661"/>
    <w:rsid w:val="00754539"/>
    <w:rsid w:val="00781BC6"/>
    <w:rsid w:val="007A3C86"/>
    <w:rsid w:val="007A683E"/>
    <w:rsid w:val="007A748B"/>
    <w:rsid w:val="007D1D65"/>
    <w:rsid w:val="007E0A9E"/>
    <w:rsid w:val="007E5309"/>
    <w:rsid w:val="00800DE1"/>
    <w:rsid w:val="00806B12"/>
    <w:rsid w:val="00813F47"/>
    <w:rsid w:val="008450D6"/>
    <w:rsid w:val="00856FCA"/>
    <w:rsid w:val="00867419"/>
    <w:rsid w:val="00873910"/>
    <w:rsid w:val="00873B8C"/>
    <w:rsid w:val="00880E3B"/>
    <w:rsid w:val="008A405F"/>
    <w:rsid w:val="008C7F34"/>
    <w:rsid w:val="008D7667"/>
    <w:rsid w:val="008E580C"/>
    <w:rsid w:val="0090047A"/>
    <w:rsid w:val="009158ED"/>
    <w:rsid w:val="009245A4"/>
    <w:rsid w:val="00925026"/>
    <w:rsid w:val="00931264"/>
    <w:rsid w:val="00942A4B"/>
    <w:rsid w:val="00952D04"/>
    <w:rsid w:val="00961D59"/>
    <w:rsid w:val="009B2D55"/>
    <w:rsid w:val="009C0343"/>
    <w:rsid w:val="009E0D11"/>
    <w:rsid w:val="00A24A16"/>
    <w:rsid w:val="00A37D14"/>
    <w:rsid w:val="00A6111E"/>
    <w:rsid w:val="00A6168B"/>
    <w:rsid w:val="00A62028"/>
    <w:rsid w:val="00AA6236"/>
    <w:rsid w:val="00AB6AE7"/>
    <w:rsid w:val="00AD21F5"/>
    <w:rsid w:val="00AD68F9"/>
    <w:rsid w:val="00B06225"/>
    <w:rsid w:val="00B23B31"/>
    <w:rsid w:val="00B23C7A"/>
    <w:rsid w:val="00B305F5"/>
    <w:rsid w:val="00B46FF9"/>
    <w:rsid w:val="00B75483"/>
    <w:rsid w:val="00BA7952"/>
    <w:rsid w:val="00BB44B4"/>
    <w:rsid w:val="00BC2401"/>
    <w:rsid w:val="00BF0BBF"/>
    <w:rsid w:val="00BF6C8A"/>
    <w:rsid w:val="00C05571"/>
    <w:rsid w:val="00C246CE"/>
    <w:rsid w:val="00C57FA2"/>
    <w:rsid w:val="00C80257"/>
    <w:rsid w:val="00CC2E4D"/>
    <w:rsid w:val="00CC78A5"/>
    <w:rsid w:val="00CC7B16"/>
    <w:rsid w:val="00CE15FE"/>
    <w:rsid w:val="00CF6578"/>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03772"/>
    <w:rsid w:val="00E172C6"/>
    <w:rsid w:val="00E24309"/>
    <w:rsid w:val="00E53D82"/>
    <w:rsid w:val="00E9330A"/>
    <w:rsid w:val="00EE6B97"/>
    <w:rsid w:val="00F12C3B"/>
    <w:rsid w:val="00F26884"/>
    <w:rsid w:val="00F72ECC"/>
    <w:rsid w:val="00F8355F"/>
    <w:rsid w:val="00FA3196"/>
    <w:rsid w:val="00FC14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34575"/>
  <w15:docId w15:val="{438D0411-A3D8-4E89-9481-134C21E28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16036A"/>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16036A"/>
    <w:rPr>
      <w:rFonts w:ascii="Calibri" w:hAnsi="Calibri" w:cs="Calibri"/>
      <w:noProof/>
      <w:lang w:val="en-US"/>
    </w:rPr>
  </w:style>
  <w:style w:type="paragraph" w:customStyle="1" w:styleId="EndNoteBibliography">
    <w:name w:val="EndNote Bibliography"/>
    <w:basedOn w:val="Normal"/>
    <w:link w:val="EndNoteBibliographyChar"/>
    <w:rsid w:val="0016036A"/>
    <w:rPr>
      <w:rFonts w:ascii="Calibri" w:hAnsi="Calibri" w:cs="Calibri"/>
      <w:noProof/>
      <w:lang w:val="en-US"/>
    </w:rPr>
  </w:style>
  <w:style w:type="character" w:customStyle="1" w:styleId="EndNoteBibliographyChar">
    <w:name w:val="EndNote Bibliography Char"/>
    <w:basedOn w:val="DefaultParagraphFont"/>
    <w:link w:val="EndNoteBibliography"/>
    <w:rsid w:val="0016036A"/>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template_chemistry_item_response</Template>
  <TotalTime>96</TotalTime>
  <Pages>3</Pages>
  <Words>645</Words>
  <Characters>3682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6</cp:revision>
  <cp:lastPrinted>2017-02-24T16:20:00Z</cp:lastPrinted>
  <dcterms:created xsi:type="dcterms:W3CDTF">2018-11-09T08:27:00Z</dcterms:created>
  <dcterms:modified xsi:type="dcterms:W3CDTF">2018-12-03T10:58:00Z</dcterms:modified>
</cp:coreProperties>
</file>