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555B3" w14:textId="0090813E" w:rsidR="00201AC2" w:rsidRPr="00A1026A" w:rsidRDefault="00A1026A" w:rsidP="00201AC2">
      <w:pPr>
        <w:spacing w:after="180"/>
        <w:rPr>
          <w:b/>
          <w:sz w:val="44"/>
          <w:szCs w:val="44"/>
        </w:rPr>
      </w:pPr>
      <w:r w:rsidRPr="00A1026A">
        <w:rPr>
          <w:b/>
          <w:sz w:val="44"/>
          <w:szCs w:val="44"/>
        </w:rPr>
        <w:t>Matches in space</w:t>
      </w:r>
    </w:p>
    <w:p w14:paraId="6A556C72" w14:textId="77777777" w:rsidR="00201AC2" w:rsidRPr="00A1026A" w:rsidRDefault="00201AC2" w:rsidP="00201AC2">
      <w:pPr>
        <w:spacing w:after="180"/>
      </w:pPr>
    </w:p>
    <w:p w14:paraId="57B4B680" w14:textId="0761710E" w:rsidR="00201AC2" w:rsidRPr="00A1026A" w:rsidRDefault="00A1026A" w:rsidP="00201AC2">
      <w:pPr>
        <w:pStyle w:val="ListParagraph"/>
        <w:numPr>
          <w:ilvl w:val="0"/>
          <w:numId w:val="3"/>
        </w:numPr>
        <w:spacing w:after="180"/>
        <w:ind w:left="567" w:hanging="567"/>
        <w:contextualSpacing w:val="0"/>
      </w:pPr>
      <w:r w:rsidRPr="00A1026A">
        <w:t>Some students answer the question, “Can a match burn in space?”</w:t>
      </w:r>
    </w:p>
    <w:p w14:paraId="403AE8D9" w14:textId="32C52E81" w:rsidR="00A1026A" w:rsidRDefault="00A1026A" w:rsidP="00A1026A">
      <w:pPr>
        <w:pStyle w:val="ListParagraph"/>
        <w:spacing w:after="180"/>
        <w:ind w:left="567"/>
        <w:contextualSpacing w:val="0"/>
      </w:pPr>
      <w:r w:rsidRPr="00A1026A">
        <w:t>Who do you agree with</w:t>
      </w:r>
      <w:r>
        <w:t>, and why?</w:t>
      </w:r>
    </w:p>
    <w:p w14:paraId="3FA17E0A" w14:textId="77777777" w:rsidR="00201AC2" w:rsidRPr="00201AC2" w:rsidRDefault="00201AC2" w:rsidP="006F3279">
      <w:pPr>
        <w:spacing w:after="240"/>
        <w:rPr>
          <w:szCs w:val="18"/>
        </w:rPr>
      </w:pPr>
    </w:p>
    <w:p w14:paraId="316D0EEA" w14:textId="77777777" w:rsidR="00201AC2" w:rsidRPr="00201AC2" w:rsidRDefault="00201AC2" w:rsidP="006F3279">
      <w:pPr>
        <w:spacing w:after="240"/>
        <w:rPr>
          <w:szCs w:val="18"/>
        </w:rPr>
      </w:pPr>
    </w:p>
    <w:p w14:paraId="3FE1F336" w14:textId="2E567566" w:rsidR="00201AC2" w:rsidRPr="00201AC2" w:rsidRDefault="00A1026A"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r>
        <w:rPr>
          <w:noProof/>
        </w:rPr>
        <w:drawing>
          <wp:inline distT="0" distB="0" distL="0" distR="0" wp14:anchorId="45E28925" wp14:editId="23E2CE8E">
            <wp:extent cx="5731510" cy="2791460"/>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791460"/>
                    </a:xfrm>
                    <a:prstGeom prst="rect">
                      <a:avLst/>
                    </a:prstGeom>
                  </pic:spPr>
                </pic:pic>
              </a:graphicData>
            </a:graphic>
          </wp:inline>
        </w:drawing>
      </w:r>
    </w:p>
    <w:p w14:paraId="5A3C2E0A" w14:textId="208C68FE"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A1026A">
        <w:rPr>
          <w:i/>
          <w:sz w:val="18"/>
          <w:szCs w:val="18"/>
        </w:rPr>
        <w:t>CCR: Chemical reactions</w:t>
      </w:r>
      <w:r w:rsidR="0007651D">
        <w:rPr>
          <w:i/>
          <w:sz w:val="18"/>
          <w:szCs w:val="18"/>
        </w:rPr>
        <w:t xml:space="preserve"> &gt; Topic </w:t>
      </w:r>
      <w:r w:rsidR="00A1026A">
        <w:rPr>
          <w:i/>
          <w:sz w:val="18"/>
          <w:szCs w:val="18"/>
        </w:rPr>
        <w:t>CCR2: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1026A">
        <w:rPr>
          <w:i/>
          <w:sz w:val="18"/>
          <w:szCs w:val="18"/>
        </w:rPr>
        <w:t>CCR2.2: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CDAC2F0" w14:textId="77777777" w:rsidTr="00323334">
        <w:tc>
          <w:tcPr>
            <w:tcW w:w="12021" w:type="dxa"/>
            <w:shd w:val="clear" w:color="auto" w:fill="FABF8F" w:themeFill="accent6" w:themeFillTint="99"/>
          </w:tcPr>
          <w:p w14:paraId="51BF2427"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E0088EE" w14:textId="77777777" w:rsidTr="00323334">
        <w:tc>
          <w:tcPr>
            <w:tcW w:w="12021" w:type="dxa"/>
            <w:shd w:val="clear" w:color="auto" w:fill="FBD4B4" w:themeFill="accent6" w:themeFillTint="66"/>
          </w:tcPr>
          <w:p w14:paraId="5F7531B3" w14:textId="22C68EA5" w:rsidR="006F3279" w:rsidRPr="00CA4B46" w:rsidRDefault="00A1026A" w:rsidP="006F3279">
            <w:pPr>
              <w:spacing w:after="60"/>
              <w:ind w:left="1304"/>
              <w:rPr>
                <w:b/>
                <w:sz w:val="40"/>
                <w:szCs w:val="40"/>
              </w:rPr>
            </w:pPr>
            <w:r w:rsidRPr="00A1026A">
              <w:rPr>
                <w:b/>
                <w:sz w:val="40"/>
                <w:szCs w:val="40"/>
              </w:rPr>
              <w:t>Matches in space</w:t>
            </w:r>
          </w:p>
        </w:tc>
      </w:tr>
    </w:tbl>
    <w:p w14:paraId="6591D153" w14:textId="77777777" w:rsidR="006F3279" w:rsidRDefault="006F3279" w:rsidP="00E172C6">
      <w:pPr>
        <w:spacing w:after="180"/>
        <w:rPr>
          <w:b/>
        </w:rPr>
      </w:pPr>
    </w:p>
    <w:p w14:paraId="26184634"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1026A" w14:paraId="587A57B9" w14:textId="77777777" w:rsidTr="005A29EE">
        <w:trPr>
          <w:trHeight w:val="340"/>
        </w:trPr>
        <w:tc>
          <w:tcPr>
            <w:tcW w:w="2196" w:type="dxa"/>
          </w:tcPr>
          <w:p w14:paraId="0C4A05B2" w14:textId="77777777" w:rsidR="00A1026A" w:rsidRDefault="00A1026A" w:rsidP="00A1026A">
            <w:pPr>
              <w:spacing w:before="60" w:after="60"/>
            </w:pPr>
            <w:r>
              <w:t>Learning focus:</w:t>
            </w:r>
          </w:p>
        </w:tc>
        <w:tc>
          <w:tcPr>
            <w:tcW w:w="6820" w:type="dxa"/>
            <w:vAlign w:val="center"/>
          </w:tcPr>
          <w:p w14:paraId="0EC9381D" w14:textId="6737FCF8" w:rsidR="00A1026A" w:rsidRDefault="00A1026A" w:rsidP="00A1026A">
            <w:pPr>
              <w:spacing w:before="60" w:after="60"/>
            </w:pPr>
            <w:r w:rsidRPr="00A1026A">
              <w:t>During combustion new products are formed from the combination of oxygen with the fuel, resulting in an increase in measured mass.</w:t>
            </w:r>
          </w:p>
        </w:tc>
      </w:tr>
      <w:tr w:rsidR="00A1026A" w14:paraId="24492668" w14:textId="77777777" w:rsidTr="005A29EE">
        <w:trPr>
          <w:trHeight w:val="340"/>
        </w:trPr>
        <w:tc>
          <w:tcPr>
            <w:tcW w:w="2196" w:type="dxa"/>
          </w:tcPr>
          <w:p w14:paraId="68842DF8" w14:textId="77777777" w:rsidR="00A1026A" w:rsidRDefault="00A1026A" w:rsidP="00A1026A">
            <w:pPr>
              <w:spacing w:before="60" w:after="60"/>
            </w:pPr>
            <w:r>
              <w:t>Observable learning outcome:</w:t>
            </w:r>
          </w:p>
        </w:tc>
        <w:tc>
          <w:tcPr>
            <w:tcW w:w="6820" w:type="dxa"/>
            <w:vAlign w:val="center"/>
          </w:tcPr>
          <w:p w14:paraId="15AA9E54" w14:textId="77777777" w:rsidR="00A1026A" w:rsidRPr="00A1026A" w:rsidRDefault="00A1026A" w:rsidP="00A1026A">
            <w:pPr>
              <w:spacing w:before="60" w:after="60"/>
            </w:pPr>
            <w:r w:rsidRPr="00A1026A">
              <w:t xml:space="preserve">Recognise that burning requires oxygen. </w:t>
            </w:r>
          </w:p>
          <w:p w14:paraId="31E47429" w14:textId="69F0B672" w:rsidR="00A1026A" w:rsidRPr="00A1026A" w:rsidRDefault="00A1026A" w:rsidP="00A1026A">
            <w:pPr>
              <w:spacing w:before="60" w:after="60"/>
            </w:pPr>
          </w:p>
        </w:tc>
      </w:tr>
      <w:tr w:rsidR="00A1026A" w14:paraId="414D2335" w14:textId="77777777" w:rsidTr="003F16F9">
        <w:trPr>
          <w:trHeight w:val="340"/>
        </w:trPr>
        <w:tc>
          <w:tcPr>
            <w:tcW w:w="2196" w:type="dxa"/>
          </w:tcPr>
          <w:p w14:paraId="255331A2" w14:textId="77777777" w:rsidR="00A1026A" w:rsidRDefault="00A1026A" w:rsidP="00A1026A">
            <w:pPr>
              <w:spacing w:before="60" w:after="60"/>
            </w:pPr>
            <w:r>
              <w:t>Question type:</w:t>
            </w:r>
          </w:p>
        </w:tc>
        <w:tc>
          <w:tcPr>
            <w:tcW w:w="6820" w:type="dxa"/>
          </w:tcPr>
          <w:p w14:paraId="03A3E321" w14:textId="140CEE3B" w:rsidR="00A1026A" w:rsidRPr="00A1026A" w:rsidRDefault="00A1026A" w:rsidP="00A1026A">
            <w:pPr>
              <w:spacing w:before="60" w:after="60"/>
            </w:pPr>
            <w:r w:rsidRPr="00A1026A">
              <w:t>talking heads</w:t>
            </w:r>
          </w:p>
        </w:tc>
      </w:tr>
      <w:tr w:rsidR="00A1026A" w14:paraId="0DD4F42D" w14:textId="77777777" w:rsidTr="003F16F9">
        <w:trPr>
          <w:trHeight w:val="340"/>
        </w:trPr>
        <w:tc>
          <w:tcPr>
            <w:tcW w:w="2196" w:type="dxa"/>
          </w:tcPr>
          <w:p w14:paraId="474C8743" w14:textId="77777777" w:rsidR="00A1026A" w:rsidRDefault="00A1026A" w:rsidP="00A1026A">
            <w:pPr>
              <w:spacing w:before="60" w:after="60"/>
            </w:pPr>
            <w:r>
              <w:t>Key words:</w:t>
            </w:r>
          </w:p>
        </w:tc>
        <w:tc>
          <w:tcPr>
            <w:tcW w:w="6820" w:type="dxa"/>
            <w:tcBorders>
              <w:bottom w:val="dotted" w:sz="4" w:space="0" w:color="auto"/>
            </w:tcBorders>
          </w:tcPr>
          <w:p w14:paraId="5DEDFB77" w14:textId="6EAA5FFC" w:rsidR="00A1026A" w:rsidRPr="00A1026A" w:rsidRDefault="00A1026A" w:rsidP="00A1026A">
            <w:pPr>
              <w:spacing w:before="60" w:after="60"/>
            </w:pPr>
            <w:r w:rsidRPr="00A1026A">
              <w:t>air, oxygen</w:t>
            </w:r>
          </w:p>
        </w:tc>
      </w:tr>
    </w:tbl>
    <w:p w14:paraId="767C38C0" w14:textId="58C6FDB3"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74952F75" w14:textId="77777777" w:rsidTr="00323334">
        <w:tc>
          <w:tcPr>
            <w:tcW w:w="709" w:type="dxa"/>
            <w:shd w:val="clear" w:color="auto" w:fill="FABF8F" w:themeFill="accent6" w:themeFillTint="99"/>
            <w:tcMar>
              <w:left w:w="28" w:type="dxa"/>
              <w:bottom w:w="57" w:type="dxa"/>
              <w:right w:w="28" w:type="dxa"/>
            </w:tcMar>
            <w:vAlign w:val="center"/>
          </w:tcPr>
          <w:p w14:paraId="169A0DC5"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2F0F0753"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6E98BCF0" w14:textId="77777777"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73962E12" w14:textId="77777777" w:rsidR="00F72ECC" w:rsidRDefault="00F72ECC" w:rsidP="00F72ECC"/>
    <w:p w14:paraId="6372500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3747D73" w14:textId="7D1D1583" w:rsidR="00C05571" w:rsidRPr="00B21C3F" w:rsidRDefault="00A1026A" w:rsidP="0050055B">
      <w:pPr>
        <w:spacing w:after="180"/>
      </w:pPr>
      <w:r w:rsidRPr="00B21C3F">
        <w:t xml:space="preserve">Research described in Children’s Ideas in Science found that, when asked whether a match would burn in outer space, about 20% of children made links with a perceived lack of gravity. This was thought to have been due to these children associating air and gravity. </w:t>
      </w:r>
    </w:p>
    <w:p w14:paraId="5FCF4BB5" w14:textId="5F8018C0" w:rsidR="00B21C3F" w:rsidRPr="00B21C3F" w:rsidRDefault="00B21C3F" w:rsidP="0050055B">
      <w:pPr>
        <w:spacing w:after="180"/>
      </w:pPr>
      <w:r w:rsidRPr="00B21C3F">
        <w:t>Most children appreciated that air was a mixture of gases and that oxygen was one of these gases.</w:t>
      </w:r>
    </w:p>
    <w:p w14:paraId="41ABF2AD" w14:textId="50425ABC" w:rsidR="00A1026A" w:rsidRDefault="00A1026A" w:rsidP="0050055B">
      <w:pPr>
        <w:spacing w:after="180"/>
      </w:pPr>
      <w:r>
        <w:t xml:space="preserve">When asked why, if gently blown, a bunch of glowing splints would burn more brightly, about a third of children did recognise that air or oxygen was needed for burning but their suggested functions for the air were varied. </w:t>
      </w:r>
    </w:p>
    <w:p w14:paraId="16FD7002"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052CC7A" w14:textId="77777777" w:rsidR="00B21C3F" w:rsidRPr="00816065" w:rsidRDefault="00B21C3F" w:rsidP="00B21C3F">
      <w:pPr>
        <w:rPr>
          <w:rFonts w:cstheme="minorHAnsi"/>
        </w:rPr>
      </w:pPr>
      <w:r w:rsidRPr="00816065">
        <w:rPr>
          <w:rFonts w:cstheme="minorHAnsi"/>
        </w:rPr>
        <w:t>This task is intended for discussion in pairs or small groups.  It can be done as a pencil and paper exercise or projected onto a screen.</w:t>
      </w:r>
    </w:p>
    <w:p w14:paraId="337B5490" w14:textId="77777777" w:rsidR="00B21C3F" w:rsidRPr="00816065" w:rsidRDefault="00B21C3F" w:rsidP="00B21C3F">
      <w:pPr>
        <w:spacing w:after="180"/>
        <w:rPr>
          <w:rFonts w:cstheme="minorHAnsi"/>
        </w:rPr>
      </w:pPr>
      <w:r w:rsidRPr="00816065">
        <w:rPr>
          <w:rFonts w:cstheme="minorHAnsi"/>
        </w:rPr>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14:paraId="1D67F60D" w14:textId="77777777" w:rsidR="00B21C3F" w:rsidRPr="00816065" w:rsidRDefault="00B21C3F" w:rsidP="00B21C3F">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the science.  </w:t>
      </w:r>
    </w:p>
    <w:p w14:paraId="38570D1E" w14:textId="77777777" w:rsidR="00B21C3F" w:rsidRPr="00816065" w:rsidRDefault="00B21C3F" w:rsidP="00B21C3F">
      <w:pPr>
        <w:spacing w:after="180"/>
        <w:rPr>
          <w:rFonts w:cstheme="minorHAnsi"/>
          <w:i/>
        </w:rPr>
      </w:pPr>
      <w:r w:rsidRPr="00816065">
        <w:rPr>
          <w:rFonts w:cstheme="minorHAnsi"/>
          <w:i/>
        </w:rPr>
        <w:t>Differentiation</w:t>
      </w:r>
    </w:p>
    <w:p w14:paraId="7E9EFACE" w14:textId="261940B8" w:rsidR="00B21C3F" w:rsidRPr="00816065" w:rsidRDefault="00B21C3F" w:rsidP="00B21C3F">
      <w:pPr>
        <w:rPr>
          <w:rFonts w:cstheme="minorHAnsi"/>
        </w:rPr>
      </w:pPr>
      <w:r w:rsidRPr="00816065">
        <w:rPr>
          <w:rFonts w:cstheme="minorHAnsi"/>
        </w:rPr>
        <w:t xml:space="preserve">The quality of the discussions </w:t>
      </w:r>
      <w:r w:rsidR="006C4D10">
        <w:rPr>
          <w:rFonts w:cstheme="minorHAnsi"/>
        </w:rPr>
        <w:t>may</w:t>
      </w:r>
      <w:r w:rsidRPr="00816065">
        <w:rPr>
          <w:rFonts w:cstheme="minorHAnsi"/>
        </w:rPr>
        <w:t xml:space="preserve"> be improved with a careful selection of groups; or by allocating specific roles to students in </w:t>
      </w:r>
      <w:bookmarkStart w:id="0" w:name="_GoBack"/>
      <w:bookmarkEnd w:id="0"/>
      <w:r w:rsidRPr="00816065">
        <w:rPr>
          <w:rFonts w:cstheme="minorHAnsi"/>
        </w:rPr>
        <w:t xml:space="preserve">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 xml:space="preserve">. </w:t>
      </w:r>
      <w:r w:rsidRPr="00816065">
        <w:rPr>
          <w:rFonts w:cstheme="minorHAnsi"/>
        </w:rPr>
        <w:t xml:space="preserve">They may question the others and only write down what they have been told.  This strategy encourages contributions from more members of each group. </w:t>
      </w:r>
    </w:p>
    <w:p w14:paraId="3D7C8C3A" w14:textId="77777777" w:rsidR="00B21C3F" w:rsidRDefault="00B21C3F" w:rsidP="00026DEC">
      <w:pPr>
        <w:spacing w:after="180"/>
        <w:rPr>
          <w:b/>
          <w:color w:val="E36C0A" w:themeColor="accent6" w:themeShade="BF"/>
          <w:sz w:val="24"/>
        </w:rPr>
      </w:pPr>
    </w:p>
    <w:p w14:paraId="66DD9A5C" w14:textId="35B6B64E"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EC6E448" w14:textId="5B2AA171" w:rsidR="00A1026A" w:rsidRPr="00A1026A" w:rsidRDefault="00A1026A" w:rsidP="00BF6C8A">
      <w:pPr>
        <w:spacing w:after="180"/>
      </w:pPr>
      <w:r w:rsidRPr="00A1026A">
        <w:t>Hannah and Nawaz are both correct.</w:t>
      </w:r>
    </w:p>
    <w:p w14:paraId="2FF0371F" w14:textId="77777777" w:rsidR="006A4440" w:rsidRPr="00B21C3F" w:rsidRDefault="004C5D20" w:rsidP="00BF6C8A">
      <w:pPr>
        <w:spacing w:after="180"/>
        <w:rPr>
          <w:b/>
          <w:color w:val="E36C0A" w:themeColor="accent6" w:themeShade="BF"/>
          <w:sz w:val="24"/>
        </w:rPr>
      </w:pPr>
      <w:r w:rsidRPr="00B21C3F">
        <w:rPr>
          <w:b/>
          <w:color w:val="E36C0A" w:themeColor="accent6" w:themeShade="BF"/>
          <w:sz w:val="24"/>
        </w:rPr>
        <w:t>How to respond - w</w:t>
      </w:r>
      <w:r w:rsidR="006A4440" w:rsidRPr="00B21C3F">
        <w:rPr>
          <w:b/>
          <w:color w:val="E36C0A" w:themeColor="accent6" w:themeShade="BF"/>
          <w:sz w:val="24"/>
        </w:rPr>
        <w:t>h</w:t>
      </w:r>
      <w:r w:rsidRPr="00B21C3F">
        <w:rPr>
          <w:b/>
          <w:color w:val="E36C0A" w:themeColor="accent6" w:themeShade="BF"/>
          <w:sz w:val="24"/>
        </w:rPr>
        <w:t>at</w:t>
      </w:r>
      <w:r w:rsidR="006A4440" w:rsidRPr="00B21C3F">
        <w:rPr>
          <w:b/>
          <w:color w:val="E36C0A" w:themeColor="accent6" w:themeShade="BF"/>
          <w:sz w:val="24"/>
        </w:rPr>
        <w:t xml:space="preserve"> next?</w:t>
      </w:r>
    </w:p>
    <w:p w14:paraId="2D7F6772" w14:textId="477CFB12" w:rsidR="004F039C" w:rsidRPr="00B21C3F" w:rsidRDefault="00B21C3F" w:rsidP="006A4440">
      <w:pPr>
        <w:spacing w:after="180"/>
      </w:pPr>
      <w:r w:rsidRPr="00B21C3F">
        <w:t>A student agreeing with Max may have correctly recalled information about gravity but may not understood that it is oxygen is necessary for burning.</w:t>
      </w:r>
    </w:p>
    <w:p w14:paraId="20B8AFB1" w14:textId="2AE5E767" w:rsidR="00B21C3F" w:rsidRPr="00B21C3F" w:rsidRDefault="00B21C3F" w:rsidP="006A4440">
      <w:pPr>
        <w:spacing w:after="180"/>
      </w:pPr>
      <w:r w:rsidRPr="00B21C3F">
        <w:t>A student agreeing with Daniel may have correctly recalled that air is needed for burning but may have misunderstood why.</w:t>
      </w:r>
    </w:p>
    <w:p w14:paraId="54F7E0BB" w14:textId="395C53C6" w:rsidR="00A1026A" w:rsidRPr="00B21C3F" w:rsidRDefault="004F039C" w:rsidP="006A4440">
      <w:pPr>
        <w:spacing w:after="180"/>
      </w:pPr>
      <w:r w:rsidRPr="00B21C3F">
        <w:t xml:space="preserve">If students have </w:t>
      </w:r>
      <w:r w:rsidR="001E4950" w:rsidRPr="00B21C3F">
        <w:t>misunderstanding</w:t>
      </w:r>
      <w:r w:rsidRPr="00B21C3F">
        <w:t xml:space="preserve">s about </w:t>
      </w:r>
      <w:r w:rsidR="00A1026A" w:rsidRPr="00B21C3F">
        <w:t>the requirement for oxygen for burning then these should be considered in further planning for teaching the topic. Diagnostic question “Oxygen need” may be used to explore these misunderstandings further.</w:t>
      </w:r>
    </w:p>
    <w:p w14:paraId="7742EB9E" w14:textId="77777777" w:rsidR="003117F6" w:rsidRPr="00B21C3F" w:rsidRDefault="00CC78A5" w:rsidP="00026DEC">
      <w:pPr>
        <w:spacing w:after="180"/>
        <w:rPr>
          <w:b/>
          <w:color w:val="E36C0A" w:themeColor="accent6" w:themeShade="BF"/>
          <w:sz w:val="24"/>
        </w:rPr>
      </w:pPr>
      <w:r w:rsidRPr="00B21C3F">
        <w:rPr>
          <w:b/>
          <w:color w:val="E36C0A" w:themeColor="accent6" w:themeShade="BF"/>
          <w:sz w:val="24"/>
        </w:rPr>
        <w:t>Acknowledgments</w:t>
      </w:r>
    </w:p>
    <w:p w14:paraId="5D55F90B" w14:textId="0A9A279A" w:rsidR="00D278E8" w:rsidRDefault="00D278E8" w:rsidP="00E172C6">
      <w:pPr>
        <w:spacing w:after="180"/>
      </w:pPr>
      <w:r w:rsidRPr="00B21C3F">
        <w:t xml:space="preserve">Developed </w:t>
      </w:r>
      <w:r w:rsidR="0015356E" w:rsidRPr="00B21C3F">
        <w:t xml:space="preserve">by </w:t>
      </w:r>
      <w:r w:rsidR="00A1026A" w:rsidRPr="00B21C3F">
        <w:t>Helen Harden</w:t>
      </w:r>
      <w:r w:rsidR="0015356E" w:rsidRPr="00B21C3F">
        <w:t xml:space="preserve"> (UYSEG), </w:t>
      </w:r>
      <w:r w:rsidRPr="00B21C3F">
        <w:t xml:space="preserve">from an idea </w:t>
      </w:r>
      <w:r w:rsidR="00A1026A" w:rsidRPr="00B21C3F">
        <w:t xml:space="preserve">described in Children’s Ideas in Science </w:t>
      </w:r>
      <w:r w:rsidR="00A1026A" w:rsidRPr="00B21C3F">
        <w:fldChar w:fldCharType="begin"/>
      </w:r>
      <w:r w:rsidR="00A1026A" w:rsidRPr="00B21C3F">
        <w:instrText xml:space="preserve"> ADDIN EN.CITE &lt;EndNote&gt;&lt;Cite&gt;&lt;Author&gt;Driver&lt;/Author&gt;&lt;Year&gt;1985&lt;/Year&gt;&lt;IDText&gt;Children&amp;apos;s Ideas in Science&lt;/IDText&gt;&lt;DisplayText&gt;(Driver, Guesne and Tiberghien,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00A1026A" w:rsidRPr="00B21C3F">
        <w:fldChar w:fldCharType="separate"/>
      </w:r>
      <w:r w:rsidR="00A1026A" w:rsidRPr="00B21C3F">
        <w:rPr>
          <w:noProof/>
        </w:rPr>
        <w:t>(Driver, Guesne and Tiberghien, 1985)</w:t>
      </w:r>
      <w:r w:rsidR="00A1026A" w:rsidRPr="00B21C3F">
        <w:fldChar w:fldCharType="end"/>
      </w:r>
    </w:p>
    <w:p w14:paraId="46400385" w14:textId="4DC440D3" w:rsidR="00CC78A5" w:rsidRDefault="00D278E8" w:rsidP="00E172C6">
      <w:pPr>
        <w:spacing w:after="180"/>
      </w:pPr>
      <w:r w:rsidRPr="00A1026A">
        <w:t xml:space="preserve">Images: </w:t>
      </w:r>
      <w:r w:rsidR="00A1026A" w:rsidRPr="00A1026A">
        <w:t>None</w:t>
      </w:r>
    </w:p>
    <w:p w14:paraId="60B61956" w14:textId="7CF7CBBF" w:rsidR="00A1026A" w:rsidRDefault="003117F6" w:rsidP="00E24309">
      <w:pPr>
        <w:spacing w:after="180"/>
        <w:rPr>
          <w:b/>
          <w:color w:val="E36C0A" w:themeColor="accent6" w:themeShade="BF"/>
          <w:sz w:val="24"/>
        </w:rPr>
      </w:pPr>
      <w:r w:rsidRPr="00323334">
        <w:rPr>
          <w:b/>
          <w:color w:val="E36C0A" w:themeColor="accent6" w:themeShade="BF"/>
          <w:sz w:val="24"/>
        </w:rPr>
        <w:t>References</w:t>
      </w:r>
    </w:p>
    <w:p w14:paraId="58E3DC14" w14:textId="77777777" w:rsidR="00A1026A" w:rsidRPr="00A1026A" w:rsidRDefault="00A1026A" w:rsidP="00A1026A">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A1026A">
        <w:t xml:space="preserve">Driver, R., Guesne, E. and Tiberghien, A. (1985). </w:t>
      </w:r>
      <w:r w:rsidRPr="00A1026A">
        <w:rPr>
          <w:i/>
        </w:rPr>
        <w:t xml:space="preserve">Children's Ideas in Science, </w:t>
      </w:r>
      <w:r w:rsidRPr="00A1026A">
        <w:t>Milton Keynes, UK: Open University Press.</w:t>
      </w:r>
    </w:p>
    <w:p w14:paraId="20D3EE12" w14:textId="2F25D186" w:rsidR="00B46FF9" w:rsidRPr="001E4950" w:rsidRDefault="00A1026A"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FF66E" w14:textId="77777777" w:rsidR="00EC2513" w:rsidRDefault="00EC2513" w:rsidP="000B473B">
      <w:r>
        <w:separator/>
      </w:r>
    </w:p>
  </w:endnote>
  <w:endnote w:type="continuationSeparator" w:id="0">
    <w:p w14:paraId="22E84FBE" w14:textId="77777777" w:rsidR="00EC2513" w:rsidRDefault="00EC251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47EB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EE13610" wp14:editId="20E3F9C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D32A4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72ED8D6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1E56128B"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3486B" w14:textId="77777777" w:rsidR="00EC2513" w:rsidRDefault="00EC2513" w:rsidP="000B473B">
      <w:r>
        <w:separator/>
      </w:r>
    </w:p>
  </w:footnote>
  <w:footnote w:type="continuationSeparator" w:id="0">
    <w:p w14:paraId="0B9EFF2B" w14:textId="77777777" w:rsidR="00EC2513" w:rsidRDefault="00EC251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614D1"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A5F569B" wp14:editId="568A3A6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FEF167A" wp14:editId="623DFB5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B693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ED1B7"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4F110FE" wp14:editId="0F25BCB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5C657AE" wp14:editId="151E90D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75A7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54880"/>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03126"/>
    <w:rsid w:val="00524710"/>
    <w:rsid w:val="00555342"/>
    <w:rsid w:val="005560E2"/>
    <w:rsid w:val="005A452E"/>
    <w:rsid w:val="005A6EE7"/>
    <w:rsid w:val="005F1A7B"/>
    <w:rsid w:val="006355D8"/>
    <w:rsid w:val="00642ECD"/>
    <w:rsid w:val="006502A0"/>
    <w:rsid w:val="006772F5"/>
    <w:rsid w:val="00695159"/>
    <w:rsid w:val="006A4440"/>
    <w:rsid w:val="006B0615"/>
    <w:rsid w:val="006C4D10"/>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54880"/>
    <w:rsid w:val="00961D59"/>
    <w:rsid w:val="009B2CE4"/>
    <w:rsid w:val="009B2D55"/>
    <w:rsid w:val="009C0343"/>
    <w:rsid w:val="009E0D11"/>
    <w:rsid w:val="00A1026A"/>
    <w:rsid w:val="00A24A16"/>
    <w:rsid w:val="00A37D14"/>
    <w:rsid w:val="00A42C0B"/>
    <w:rsid w:val="00A6111E"/>
    <w:rsid w:val="00A6168B"/>
    <w:rsid w:val="00A62028"/>
    <w:rsid w:val="00AA6236"/>
    <w:rsid w:val="00AB6AE7"/>
    <w:rsid w:val="00AD21F5"/>
    <w:rsid w:val="00B06225"/>
    <w:rsid w:val="00B21C3F"/>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C2513"/>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05D4A"/>
  <w15:docId w15:val="{8655BA04-A011-41D9-B0C9-C66827C8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102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1026A"/>
    <w:rPr>
      <w:rFonts w:ascii="Calibri" w:hAnsi="Calibri" w:cs="Calibri"/>
      <w:noProof/>
      <w:lang w:val="en-US"/>
    </w:rPr>
  </w:style>
  <w:style w:type="paragraph" w:customStyle="1" w:styleId="EndNoteBibliography">
    <w:name w:val="EndNote Bibliography"/>
    <w:basedOn w:val="Normal"/>
    <w:link w:val="EndNoteBibliographyChar"/>
    <w:rsid w:val="00A1026A"/>
    <w:rPr>
      <w:rFonts w:ascii="Calibri" w:hAnsi="Calibri" w:cs="Calibri"/>
      <w:noProof/>
      <w:lang w:val="en-US"/>
    </w:rPr>
  </w:style>
  <w:style w:type="character" w:customStyle="1" w:styleId="EndNoteBibliographyChar">
    <w:name w:val="EndNote Bibliography Char"/>
    <w:basedOn w:val="DefaultParagraphFont"/>
    <w:link w:val="EndNoteBibliography"/>
    <w:rsid w:val="00A1026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22</TotalTime>
  <Pages>3</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2018-12-03T12:56:00Z</cp:lastPrinted>
  <dcterms:created xsi:type="dcterms:W3CDTF">2018-11-29T15:12:00Z</dcterms:created>
  <dcterms:modified xsi:type="dcterms:W3CDTF">2018-12-03T13:35:00Z</dcterms:modified>
</cp:coreProperties>
</file>