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60583" w:rsidP="00201AC2">
      <w:pPr>
        <w:spacing w:after="180"/>
        <w:rPr>
          <w:b/>
          <w:sz w:val="44"/>
          <w:szCs w:val="44"/>
        </w:rPr>
      </w:pPr>
      <w:r>
        <w:rPr>
          <w:b/>
          <w:sz w:val="44"/>
          <w:szCs w:val="44"/>
        </w:rPr>
        <w:t>Counting stars</w:t>
      </w:r>
    </w:p>
    <w:p w:rsidR="00201AC2" w:rsidRDefault="00201AC2" w:rsidP="00201AC2">
      <w:pPr>
        <w:spacing w:after="180"/>
      </w:pPr>
    </w:p>
    <w:p w:rsidR="00360583" w:rsidRPr="00360583" w:rsidRDefault="00360583" w:rsidP="00360583">
      <w:pPr>
        <w:spacing w:after="180"/>
      </w:pPr>
      <w:r w:rsidRPr="00360583">
        <w:rPr>
          <w:lang w:val="en-US"/>
        </w:rPr>
        <w:t>Stars come in many sizes.</w:t>
      </w:r>
    </w:p>
    <w:p w:rsidR="00360583" w:rsidRPr="00360583" w:rsidRDefault="00576913" w:rsidP="00360583">
      <w:pPr>
        <w:spacing w:after="180"/>
      </w:pPr>
      <w:r>
        <w:rPr>
          <w:noProof/>
          <w:lang w:eastAsia="en-GB"/>
        </w:rPr>
        <w:drawing>
          <wp:anchor distT="0" distB="0" distL="114300" distR="114300" simplePos="0" relativeHeight="251658240" behindDoc="0" locked="0" layoutInCell="1" allowOverlap="1">
            <wp:simplePos x="0" y="0"/>
            <wp:positionH relativeFrom="column">
              <wp:posOffset>1114425</wp:posOffset>
            </wp:positionH>
            <wp:positionV relativeFrom="paragraph">
              <wp:posOffset>260985</wp:posOffset>
            </wp:positionV>
            <wp:extent cx="3543300" cy="1200150"/>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43300" cy="1200150"/>
                    </a:xfrm>
                    <a:prstGeom prst="rect">
                      <a:avLst/>
                    </a:prstGeom>
                    <a:noFill/>
                  </pic:spPr>
                </pic:pic>
              </a:graphicData>
            </a:graphic>
            <wp14:sizeRelH relativeFrom="margin">
              <wp14:pctWidth>0</wp14:pctWidth>
            </wp14:sizeRelH>
            <wp14:sizeRelV relativeFrom="margin">
              <wp14:pctHeight>0</wp14:pctHeight>
            </wp14:sizeRelV>
          </wp:anchor>
        </w:drawing>
      </w:r>
      <w:r w:rsidR="00360583" w:rsidRPr="00360583">
        <w:rPr>
          <w:lang w:val="en-US"/>
        </w:rPr>
        <w:t>Some stars are much further away in space than others.</w:t>
      </w:r>
    </w:p>
    <w:p w:rsidR="00B23B31" w:rsidRDefault="00B23B31" w:rsidP="00191BD7">
      <w:pPr>
        <w:spacing w:after="180"/>
        <w:jc w:val="center"/>
      </w:pPr>
    </w:p>
    <w:p w:rsidR="00191BD7" w:rsidRPr="00E172C6" w:rsidRDefault="00191BD7" w:rsidP="00191BD7">
      <w:pPr>
        <w:spacing w:after="120"/>
        <w:rPr>
          <w:b/>
        </w:rPr>
      </w:pPr>
      <w:r>
        <w:rPr>
          <w:b/>
        </w:rPr>
        <w:t>Predict</w:t>
      </w:r>
    </w:p>
    <w:p w:rsidR="00191BD7" w:rsidRPr="00191BD7" w:rsidRDefault="00191BD7" w:rsidP="00191BD7">
      <w:pPr>
        <w:tabs>
          <w:tab w:val="right" w:leader="dot" w:pos="7655"/>
        </w:tabs>
        <w:spacing w:after="120"/>
      </w:pPr>
      <w:r w:rsidRPr="00191BD7">
        <w:rPr>
          <w:lang w:val="en-US"/>
        </w:rPr>
        <w:t xml:space="preserve">What do these stars look like if we move further and further away? </w:t>
      </w:r>
    </w:p>
    <w:p w:rsidR="00191BD7" w:rsidRDefault="00191BD7" w:rsidP="0089254E">
      <w:pPr>
        <w:tabs>
          <w:tab w:val="right" w:leader="dot" w:pos="8931"/>
        </w:tabs>
        <w:spacing w:after="120"/>
      </w:pPr>
      <w:r>
        <w:tab/>
      </w:r>
    </w:p>
    <w:p w:rsidR="00191BD7" w:rsidRDefault="00191BD7" w:rsidP="0089254E">
      <w:pPr>
        <w:tabs>
          <w:tab w:val="right" w:leader="dot" w:pos="8931"/>
        </w:tabs>
        <w:spacing w:after="120"/>
      </w:pPr>
      <w:r>
        <w:tab/>
      </w:r>
    </w:p>
    <w:p w:rsidR="00191BD7" w:rsidRDefault="00191BD7" w:rsidP="0089254E">
      <w:pPr>
        <w:tabs>
          <w:tab w:val="right" w:leader="dot" w:pos="8931"/>
        </w:tabs>
        <w:spacing w:after="120"/>
      </w:pPr>
      <w:r>
        <w:tab/>
      </w:r>
    </w:p>
    <w:p w:rsidR="00191BD7" w:rsidRPr="00E172C6" w:rsidRDefault="00191BD7" w:rsidP="00191BD7">
      <w:pPr>
        <w:spacing w:after="120"/>
        <w:rPr>
          <w:b/>
        </w:rPr>
      </w:pPr>
      <w:r>
        <w:rPr>
          <w:b/>
        </w:rPr>
        <w:t>Explain</w:t>
      </w:r>
    </w:p>
    <w:p w:rsidR="00191BD7" w:rsidRPr="002C4EA8" w:rsidRDefault="00191BD7" w:rsidP="00191BD7">
      <w:pPr>
        <w:tabs>
          <w:tab w:val="right" w:leader="dot" w:pos="7655"/>
        </w:tabs>
        <w:spacing w:after="120"/>
        <w:rPr>
          <w:lang w:eastAsia="en-GB"/>
        </w:rPr>
      </w:pPr>
      <w:r w:rsidRPr="002C4EA8">
        <w:rPr>
          <w:lang w:eastAsia="en-GB"/>
        </w:rPr>
        <w:t>Why do you think this will happen?</w:t>
      </w:r>
    </w:p>
    <w:p w:rsidR="00191BD7" w:rsidRDefault="00191BD7" w:rsidP="0089254E">
      <w:pPr>
        <w:tabs>
          <w:tab w:val="right" w:leader="dot" w:pos="8931"/>
        </w:tabs>
        <w:spacing w:after="120"/>
      </w:pPr>
      <w:r>
        <w:tab/>
      </w:r>
    </w:p>
    <w:p w:rsidR="00191BD7" w:rsidRDefault="00191BD7" w:rsidP="0089254E">
      <w:pPr>
        <w:tabs>
          <w:tab w:val="right" w:leader="dot" w:pos="8931"/>
        </w:tabs>
        <w:spacing w:after="120"/>
      </w:pPr>
      <w:r>
        <w:tab/>
      </w:r>
    </w:p>
    <w:p w:rsidR="00191BD7" w:rsidRDefault="00191BD7" w:rsidP="0089254E">
      <w:pPr>
        <w:tabs>
          <w:tab w:val="right" w:leader="dot" w:pos="8931"/>
        </w:tabs>
        <w:spacing w:after="120"/>
      </w:pPr>
      <w:r>
        <w:tab/>
      </w:r>
    </w:p>
    <w:p w:rsidR="00191BD7" w:rsidRPr="008E662A" w:rsidRDefault="00191BD7" w:rsidP="00191BD7">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191BD7" w:rsidRPr="00563C6F" w:rsidTr="00E55482">
        <w:trPr>
          <w:trHeight w:val="454"/>
          <w:jc w:val="center"/>
        </w:trPr>
        <w:tc>
          <w:tcPr>
            <w:tcW w:w="6345" w:type="dxa"/>
            <w:vAlign w:val="center"/>
          </w:tcPr>
          <w:p w:rsidR="00191BD7" w:rsidRPr="00A86DF8" w:rsidRDefault="00191BD7" w:rsidP="00191BD7">
            <w:pPr>
              <w:tabs>
                <w:tab w:val="right" w:leader="dot" w:pos="7655"/>
              </w:tabs>
              <w:jc w:val="center"/>
              <w:rPr>
                <w:b/>
                <w:bCs/>
              </w:rPr>
            </w:pPr>
            <w:r w:rsidRPr="00ED002F">
              <w:rPr>
                <w:b/>
                <w:bCs/>
                <w:lang w:val="en-US"/>
              </w:rPr>
              <w:t xml:space="preserve">Now </w:t>
            </w:r>
            <w:r>
              <w:rPr>
                <w:b/>
                <w:bCs/>
                <w:lang w:val="en-US"/>
              </w:rPr>
              <w:t>observe what happens</w:t>
            </w:r>
          </w:p>
        </w:tc>
      </w:tr>
    </w:tbl>
    <w:p w:rsidR="00191BD7" w:rsidRDefault="00191BD7" w:rsidP="00191BD7">
      <w:pPr>
        <w:spacing w:after="120"/>
        <w:rPr>
          <w:b/>
          <w:sz w:val="4"/>
          <w:szCs w:val="4"/>
        </w:rPr>
      </w:pPr>
    </w:p>
    <w:p w:rsidR="00191BD7" w:rsidRPr="00F45BBF" w:rsidRDefault="00191BD7" w:rsidP="00191BD7">
      <w:pPr>
        <w:spacing w:after="120"/>
        <w:rPr>
          <w:b/>
          <w:sz w:val="4"/>
          <w:szCs w:val="4"/>
        </w:rPr>
      </w:pPr>
    </w:p>
    <w:p w:rsidR="00191BD7" w:rsidRPr="00E172C6" w:rsidRDefault="00191BD7" w:rsidP="00191BD7">
      <w:pPr>
        <w:spacing w:after="120"/>
        <w:rPr>
          <w:b/>
        </w:rPr>
      </w:pPr>
      <w:r>
        <w:rPr>
          <w:b/>
        </w:rPr>
        <w:t>Observe</w:t>
      </w:r>
    </w:p>
    <w:p w:rsidR="00191BD7" w:rsidRPr="00191BD7" w:rsidRDefault="00191BD7" w:rsidP="00191BD7">
      <w:pPr>
        <w:tabs>
          <w:tab w:val="right" w:leader="dot" w:pos="7655"/>
        </w:tabs>
        <w:spacing w:after="120"/>
        <w:rPr>
          <w:rFonts w:ascii="Calibri" w:eastAsia="Times New Roman" w:hAnsi="Calibri" w:cs="Times New Roman"/>
          <w:lang w:eastAsia="en-GB" w:bidi="en-US"/>
        </w:rPr>
      </w:pPr>
      <w:r w:rsidRPr="00191BD7">
        <w:rPr>
          <w:rFonts w:ascii="Calibri" w:eastAsia="Times New Roman" w:hAnsi="Calibri" w:cs="Times New Roman"/>
          <w:lang w:val="en-US" w:eastAsia="en-GB" w:bidi="en-US"/>
        </w:rPr>
        <w:t xml:space="preserve">Describe how these stars appear to changes as we move further and further away. </w:t>
      </w:r>
    </w:p>
    <w:p w:rsidR="00191BD7" w:rsidRDefault="00191BD7" w:rsidP="0089254E">
      <w:pPr>
        <w:tabs>
          <w:tab w:val="right" w:leader="dot" w:pos="8931"/>
        </w:tabs>
        <w:spacing w:after="120"/>
      </w:pPr>
      <w:r>
        <w:tab/>
      </w:r>
      <w:bookmarkStart w:id="0" w:name="_GoBack"/>
      <w:bookmarkEnd w:id="0"/>
    </w:p>
    <w:p w:rsidR="00191BD7" w:rsidRDefault="00191BD7" w:rsidP="0089254E">
      <w:pPr>
        <w:tabs>
          <w:tab w:val="right" w:leader="dot" w:pos="8931"/>
        </w:tabs>
        <w:spacing w:after="120"/>
      </w:pPr>
      <w:r>
        <w:tab/>
      </w:r>
    </w:p>
    <w:p w:rsidR="00191BD7" w:rsidRDefault="00191BD7" w:rsidP="0089254E">
      <w:pPr>
        <w:tabs>
          <w:tab w:val="right" w:leader="dot" w:pos="8931"/>
        </w:tabs>
        <w:spacing w:after="120"/>
      </w:pPr>
      <w:r>
        <w:tab/>
      </w:r>
    </w:p>
    <w:p w:rsidR="00191BD7" w:rsidRPr="00E172C6" w:rsidRDefault="00191BD7" w:rsidP="00191BD7">
      <w:pPr>
        <w:spacing w:after="120"/>
        <w:rPr>
          <w:b/>
        </w:rPr>
      </w:pPr>
      <w:r>
        <w:rPr>
          <w:b/>
        </w:rPr>
        <w:t>Explain</w:t>
      </w:r>
    </w:p>
    <w:p w:rsidR="00191BD7" w:rsidRPr="00ED002F" w:rsidRDefault="00191BD7" w:rsidP="00191BD7">
      <w:pPr>
        <w:tabs>
          <w:tab w:val="right" w:leader="dot" w:pos="7655"/>
        </w:tabs>
        <w:spacing w:after="120"/>
      </w:pPr>
      <w:r w:rsidRPr="00ED002F">
        <w:t>Were your prediction and explanation correct?</w:t>
      </w:r>
    </w:p>
    <w:p w:rsidR="00191BD7" w:rsidRPr="00ED002F" w:rsidRDefault="00191BD7" w:rsidP="00191BD7">
      <w:pPr>
        <w:tabs>
          <w:tab w:val="right" w:leader="dot" w:pos="7655"/>
        </w:tabs>
        <w:spacing w:after="120"/>
      </w:pPr>
      <w:r w:rsidRPr="00ED002F">
        <w:t>If not, can you explain what you observed?</w:t>
      </w:r>
    </w:p>
    <w:p w:rsidR="00191BD7" w:rsidRDefault="00191BD7" w:rsidP="0089254E">
      <w:pPr>
        <w:tabs>
          <w:tab w:val="right" w:leader="dot" w:pos="8931"/>
        </w:tabs>
        <w:spacing w:after="120"/>
      </w:pPr>
      <w:r>
        <w:tab/>
      </w:r>
    </w:p>
    <w:p w:rsidR="00191BD7" w:rsidRDefault="00191BD7" w:rsidP="0089254E">
      <w:pPr>
        <w:tabs>
          <w:tab w:val="right" w:leader="dot" w:pos="8931"/>
        </w:tabs>
        <w:spacing w:after="120"/>
      </w:pPr>
      <w:r>
        <w:tab/>
      </w:r>
    </w:p>
    <w:p w:rsidR="00201AC2" w:rsidRPr="00191BD7" w:rsidRDefault="00191BD7" w:rsidP="0089254E">
      <w:pPr>
        <w:tabs>
          <w:tab w:val="right" w:leader="dot" w:pos="8931"/>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01284" w:rsidRPr="006F3279" w:rsidRDefault="00901284" w:rsidP="00901284">
      <w:pPr>
        <w:spacing w:after="240"/>
        <w:rPr>
          <w:i/>
          <w:sz w:val="18"/>
          <w:szCs w:val="18"/>
        </w:rPr>
      </w:pPr>
      <w:r>
        <w:rPr>
          <w:i/>
          <w:sz w:val="18"/>
          <w:szCs w:val="18"/>
        </w:rPr>
        <w:lastRenderedPageBreak/>
        <w:t xml:space="preserve">Physics &gt; Big idea PES: Earth in space&gt; Topic PES1: Solar System and beyond </w:t>
      </w:r>
      <w:r w:rsidRPr="00CA4B46">
        <w:rPr>
          <w:i/>
          <w:sz w:val="18"/>
          <w:szCs w:val="18"/>
        </w:rPr>
        <w:t xml:space="preserve">&gt; </w:t>
      </w:r>
      <w:r>
        <w:rPr>
          <w:i/>
          <w:sz w:val="18"/>
          <w:szCs w:val="18"/>
        </w:rPr>
        <w:t>Key concept</w:t>
      </w:r>
      <w:r w:rsidRPr="00CA4B46">
        <w:rPr>
          <w:i/>
          <w:sz w:val="18"/>
          <w:szCs w:val="18"/>
        </w:rPr>
        <w:t xml:space="preserve"> </w:t>
      </w:r>
      <w:r>
        <w:rPr>
          <w:i/>
          <w:sz w:val="18"/>
          <w:szCs w:val="18"/>
        </w:rPr>
        <w:t>PES1.3</w:t>
      </w:r>
      <w:r w:rsidRPr="00CA4B46">
        <w:rPr>
          <w:i/>
          <w:sz w:val="18"/>
          <w:szCs w:val="18"/>
        </w:rPr>
        <w:t xml:space="preserve">: </w:t>
      </w:r>
      <w:r>
        <w:rPr>
          <w:i/>
          <w:sz w:val="18"/>
          <w:szCs w:val="18"/>
        </w:rPr>
        <w:t>Night sky, stars and galaxies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01284" w:rsidP="006F3279">
            <w:pPr>
              <w:spacing w:after="60"/>
              <w:ind w:left="1304"/>
              <w:rPr>
                <w:b/>
                <w:sz w:val="40"/>
                <w:szCs w:val="40"/>
              </w:rPr>
            </w:pPr>
            <w:r>
              <w:rPr>
                <w:b/>
                <w:sz w:val="40"/>
                <w:szCs w:val="40"/>
              </w:rPr>
              <w:t>Counting stars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01284" w:rsidTr="00901284">
        <w:trPr>
          <w:trHeight w:val="340"/>
        </w:trPr>
        <w:tc>
          <w:tcPr>
            <w:tcW w:w="2196" w:type="dxa"/>
          </w:tcPr>
          <w:p w:rsidR="00901284" w:rsidRDefault="00901284" w:rsidP="00901284">
            <w:pPr>
              <w:spacing w:before="60" w:after="60"/>
            </w:pPr>
            <w:r>
              <w:t>Learning focus:</w:t>
            </w:r>
          </w:p>
        </w:tc>
        <w:tc>
          <w:tcPr>
            <w:tcW w:w="6820" w:type="dxa"/>
          </w:tcPr>
          <w:p w:rsidR="00901284" w:rsidRDefault="00901284" w:rsidP="00901284">
            <w:pPr>
              <w:spacing w:before="60" w:after="60"/>
            </w:pPr>
            <w:r w:rsidRPr="009E767E">
              <w:t>The Sun is one of billions of stars in our galaxy and our galaxy is one of many billions of galaxies in the universe.</w:t>
            </w:r>
          </w:p>
        </w:tc>
      </w:tr>
      <w:tr w:rsidR="00901284" w:rsidTr="00901284">
        <w:trPr>
          <w:trHeight w:val="340"/>
        </w:trPr>
        <w:tc>
          <w:tcPr>
            <w:tcW w:w="2196" w:type="dxa"/>
          </w:tcPr>
          <w:p w:rsidR="00901284" w:rsidRDefault="00901284" w:rsidP="00901284">
            <w:pPr>
              <w:spacing w:before="60" w:after="60"/>
            </w:pPr>
            <w:r>
              <w:t>Observable learning outcome:</w:t>
            </w:r>
          </w:p>
        </w:tc>
        <w:tc>
          <w:tcPr>
            <w:tcW w:w="6820" w:type="dxa"/>
          </w:tcPr>
          <w:p w:rsidR="00901284" w:rsidRPr="00151EC5" w:rsidRDefault="00901284" w:rsidP="00901284">
            <w:pPr>
              <w:pStyle w:val="ListParagraph"/>
              <w:numPr>
                <w:ilvl w:val="0"/>
                <w:numId w:val="4"/>
              </w:numPr>
              <w:spacing w:before="60" w:after="60"/>
              <w:ind w:left="385"/>
              <w:rPr>
                <w:b/>
              </w:rPr>
            </w:pPr>
            <w:r w:rsidRPr="00151EC5">
              <w:t>Explain why only a few thousand stars can be seen at night with the naked eye</w:t>
            </w:r>
          </w:p>
        </w:tc>
      </w:tr>
      <w:tr w:rsidR="00901284" w:rsidTr="00901284">
        <w:trPr>
          <w:trHeight w:val="340"/>
        </w:trPr>
        <w:tc>
          <w:tcPr>
            <w:tcW w:w="2196" w:type="dxa"/>
          </w:tcPr>
          <w:p w:rsidR="00901284" w:rsidRDefault="00901284" w:rsidP="00901284">
            <w:pPr>
              <w:spacing w:before="60" w:after="60"/>
            </w:pPr>
            <w:r>
              <w:t>Activity type:</w:t>
            </w:r>
          </w:p>
        </w:tc>
        <w:tc>
          <w:tcPr>
            <w:tcW w:w="6820" w:type="dxa"/>
          </w:tcPr>
          <w:p w:rsidR="00901284" w:rsidRDefault="00901284" w:rsidP="00901284">
            <w:pPr>
              <w:spacing w:before="60" w:after="60"/>
            </w:pPr>
            <w:r>
              <w:t>Response; p</w:t>
            </w:r>
            <w:r w:rsidRPr="00901284">
              <w:t>redict, explain, observe, explain - practical/demonstration</w:t>
            </w:r>
          </w:p>
        </w:tc>
      </w:tr>
      <w:tr w:rsidR="00901284" w:rsidTr="00901284">
        <w:trPr>
          <w:trHeight w:val="340"/>
        </w:trPr>
        <w:tc>
          <w:tcPr>
            <w:tcW w:w="2196" w:type="dxa"/>
          </w:tcPr>
          <w:p w:rsidR="00901284" w:rsidRDefault="00901284" w:rsidP="00901284">
            <w:pPr>
              <w:spacing w:before="60" w:after="60"/>
            </w:pPr>
            <w:r>
              <w:t>Key words:</w:t>
            </w:r>
          </w:p>
        </w:tc>
        <w:tc>
          <w:tcPr>
            <w:tcW w:w="6820" w:type="dxa"/>
          </w:tcPr>
          <w:p w:rsidR="00901284" w:rsidRDefault="0062151E" w:rsidP="00901284">
            <w:pPr>
              <w:spacing w:before="60" w:after="60"/>
            </w:pPr>
            <w:r>
              <w:t>Stars</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901284" w:rsidRDefault="00B00348" w:rsidP="00B00348">
      <w:pPr>
        <w:pStyle w:val="ListParagraph"/>
        <w:numPr>
          <w:ilvl w:val="0"/>
          <w:numId w:val="1"/>
        </w:numPr>
        <w:spacing w:after="180"/>
      </w:pPr>
      <w:r w:rsidRPr="00901284">
        <w:t xml:space="preserve">Diagnostic </w:t>
      </w:r>
      <w:r w:rsidR="00BA75D4" w:rsidRPr="00901284">
        <w:t>question</w:t>
      </w:r>
      <w:r w:rsidRPr="00901284">
        <w:t xml:space="preserve">: </w:t>
      </w:r>
      <w:r w:rsidR="00901284" w:rsidRPr="00901284">
        <w:t>Seeing stars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0E1494" w:rsidRDefault="00951F9E" w:rsidP="000E1494">
      <w:pPr>
        <w:spacing w:after="180"/>
      </w:pPr>
      <w:r>
        <w:t xml:space="preserve">This activity requires students to explain how stars look at greater and greater distances away. </w:t>
      </w:r>
      <w:r w:rsidR="000E1494">
        <w:t>Stars further than a few hundred light-years away are too faint to be seen with the naked eye, but there are many, many more stars further away than this that we can’t see. Their existence is essential to our understanding of galaxies.</w:t>
      </w:r>
    </w:p>
    <w:p w:rsidR="000E1494" w:rsidRDefault="000E1494" w:rsidP="000E1494">
      <w:pPr>
        <w:spacing w:after="180"/>
      </w:pPr>
      <w:r>
        <w:t xml:space="preserve">Large structures in the universe can be difficult for students to comprehend. A study found US college students (aged 17-19, n=199) commonly provide incomplete definitions of common objects: Solar System, galaxy and the Universe itself, often conflating the terms </w:t>
      </w:r>
      <w:r>
        <w:fldChar w:fldCharType="begin"/>
      </w:r>
      <w:r>
        <w:instrText xml:space="preserve"> ADDIN EN.CITE &lt;EndNote&gt;&lt;Cite&gt;&lt;Author&gt;Bailey&lt;/Author&gt;&lt;Year&gt;2012&lt;/Year&gt;&lt;IDText&gt;A multi-Institutional Investigation of Students&amp;apos; Preinstructional Ideas About Cosmology&lt;/IDText&gt;&lt;DisplayText&gt;(Bailey et al., 2012)&lt;/DisplayText&gt;&lt;record&gt;&lt;titles&gt;&lt;title&gt;A multi-Institutional Investigation of Students&amp;apos; Preinstructional Ideas About Cosmology&lt;/title&gt;&lt;secondary-title&gt;Astronomy Education Review&lt;/secondary-title&gt;&lt;/titles&gt;&lt;contributors&gt;&lt;authors&gt;&lt;author&gt;Bailey, J&lt;/author&gt;&lt;author&gt;Coble, K&lt;/author&gt;&lt;author&gt;Cochran, G&lt;/author&gt;&lt;author&gt;Larrieu, D&lt;/author&gt;&lt;author&gt;Sanchez, R&lt;/author&gt;&lt;author&gt;Cominsky, L&lt;/author&gt;&lt;/authors&gt;&lt;/contributors&gt;&lt;added-date format="utc"&gt;1537971328&lt;/added-date&gt;&lt;ref-type name="Journal Article"&gt;17&lt;/ref-type&gt;&lt;dates&gt;&lt;year&gt;2012&lt;/year&gt;&lt;/dates&gt;&lt;rec-number&gt;49&lt;/rec-number&gt;&lt;last-updated-date format="utc"&gt;1537971483&lt;/last-updated-date&gt;&lt;volume&gt;11 (1)&lt;/volume&gt;&lt;/record&gt;&lt;/Cite&gt;&lt;/EndNote&gt;</w:instrText>
      </w:r>
      <w:r>
        <w:fldChar w:fldCharType="separate"/>
      </w:r>
      <w:r>
        <w:rPr>
          <w:noProof/>
        </w:rPr>
        <w:t>(Bailey et al., 2012)</w:t>
      </w:r>
      <w:r>
        <w:fldChar w:fldCharType="end"/>
      </w:r>
      <w:r>
        <w:t>.</w:t>
      </w:r>
    </w:p>
    <w:p w:rsidR="00951F9E" w:rsidRDefault="00951F9E" w:rsidP="00951F9E">
      <w:pPr>
        <w:spacing w:after="180"/>
      </w:pPr>
      <w:r>
        <w:t xml:space="preserve">The BEST key concept: </w:t>
      </w:r>
      <w:r w:rsidRPr="000E1494">
        <w:rPr>
          <w:i/>
        </w:rPr>
        <w:t>PSL1.1 Characteristics of light</w:t>
      </w:r>
      <w:r>
        <w:t xml:space="preserve"> contains the learning objective: </w:t>
      </w:r>
      <w:r w:rsidRPr="0059167C">
        <w:rPr>
          <w:i/>
        </w:rPr>
        <w:t>explain why light gets dimmer farther from a light source</w:t>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C7CB4" w:rsidRDefault="00BC7CB4" w:rsidP="00BC7CB4">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BC7CB4" w:rsidRDefault="00BC7CB4" w:rsidP="00BC7CB4">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8A784B" w:rsidRDefault="00BC7CB4" w:rsidP="00BC7CB4">
      <w:pPr>
        <w:spacing w:after="180"/>
      </w:pPr>
      <w:r>
        <w:t>Students now watch a demonstration</w:t>
      </w:r>
      <w:r w:rsidR="008A784B">
        <w:t xml:space="preserve"> using the PowerPoint slide</w:t>
      </w:r>
      <w:r>
        <w:t xml:space="preserve">.  </w:t>
      </w:r>
    </w:p>
    <w:p w:rsidR="00BC7CB4" w:rsidRDefault="00BC7CB4" w:rsidP="00BC7CB4">
      <w:pPr>
        <w:spacing w:after="180"/>
      </w:pPr>
      <w:r>
        <w:t xml:space="preserve">After the </w:t>
      </w:r>
      <w:r w:rsidR="008A784B">
        <w:t xml:space="preserve">demonstration </w:t>
      </w:r>
      <w:r>
        <w:t xml:space="preserve">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w:t>
      </w:r>
      <w:r>
        <w:lastRenderedPageBreak/>
        <w:t xml:space="preserve">Then ask other groups to suggest which explanation is the most accurate and the most clearly expressed, and through careful questioning work up a clear ‘class explanation’.  </w:t>
      </w:r>
    </w:p>
    <w:p w:rsidR="00BC7CB4" w:rsidRDefault="00BC7CB4" w:rsidP="00BC7CB4">
      <w:pPr>
        <w:spacing w:after="180"/>
      </w:pPr>
      <w:r>
        <w:t>A useful follow up is for individual students to then write down explanations in their own words – without reference to the class explanation on the board (i.e. cover it up).</w:t>
      </w:r>
    </w:p>
    <w:p w:rsidR="00BC7CB4" w:rsidRPr="00C86659" w:rsidRDefault="00BC7CB4" w:rsidP="00BC7CB4">
      <w:pPr>
        <w:spacing w:after="180"/>
        <w:rPr>
          <w:i/>
        </w:rPr>
      </w:pPr>
      <w:r w:rsidRPr="00C86659">
        <w:rPr>
          <w:i/>
        </w:rPr>
        <w:t>Differentiation</w:t>
      </w:r>
    </w:p>
    <w:p w:rsidR="00BC7CB4" w:rsidRDefault="00BC7CB4" w:rsidP="00BC7CB4">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885202" w:rsidRDefault="00885202" w:rsidP="00B00348">
      <w:pPr>
        <w:spacing w:after="180"/>
      </w:pPr>
      <w:r>
        <w:t>Each star stays the same colour, but it gets dimmer because it is smaller in the sky. If the star is far enough away it is too dim to see. The larger stars can be seen at a greater distance than the smaller stars, but they too will eventually be too far away to see.</w:t>
      </w:r>
    </w:p>
    <w:p w:rsidR="00B7733D" w:rsidRDefault="00B7733D" w:rsidP="00B00348">
      <w:pPr>
        <w:spacing w:after="180"/>
      </w:pPr>
      <w:r>
        <w:t>(</w:t>
      </w:r>
      <w:r w:rsidR="00885202">
        <w:t>Doubling the distance means that each star looks half as high and half as wide. This means that the area of star that we see is 2</w:t>
      </w:r>
      <w:r w:rsidR="00A151D5">
        <w:t xml:space="preserve"> </w:t>
      </w:r>
      <w:r w:rsidR="00885202">
        <w:t>x</w:t>
      </w:r>
      <w:r w:rsidR="00A151D5">
        <w:t xml:space="preserve"> </w:t>
      </w:r>
      <w:r w:rsidR="00885202">
        <w:t>2</w:t>
      </w:r>
      <w:r w:rsidR="00A151D5">
        <w:t xml:space="preserve"> </w:t>
      </w:r>
      <w:r w:rsidR="00885202">
        <w:t>=</w:t>
      </w:r>
      <w:r w:rsidR="00A151D5">
        <w:t xml:space="preserve"> </w:t>
      </w:r>
      <w:r w:rsidR="00885202">
        <w:t>4 times smaller and the star looks four times dimmer.</w:t>
      </w:r>
      <w:r>
        <w:t xml:space="preserve"> The light receptors in our eyes cannot detect light below a threshold amplitude.)</w:t>
      </w:r>
    </w:p>
    <w:p w:rsidR="00B7733D" w:rsidRDefault="00B7733D" w:rsidP="00B00348">
      <w:pPr>
        <w:spacing w:after="180"/>
      </w:pPr>
      <w:r>
        <w:t>NB stars can also be observed with having a variety of colours. This has been ignored in this activity in order to focus solely on the brightness of each star.</w:t>
      </w:r>
      <w:r w:rsidR="006A2C1F">
        <w:t xml:space="preserve"> The colour of a star is determined by its surface temperature.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p>
    <w:p w:rsidR="00CC78A5" w:rsidRDefault="00D278E8" w:rsidP="00E172C6">
      <w:pPr>
        <w:spacing w:after="180"/>
      </w:pPr>
      <w:r w:rsidRPr="0045323E">
        <w:t xml:space="preserve">Images: </w:t>
      </w:r>
      <w:r w:rsidR="00356308">
        <w:t xml:space="preserve">Peter Fairhurst (UYSEG) </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85202" w:rsidRPr="00885202" w:rsidRDefault="00885202" w:rsidP="00885202">
      <w:pPr>
        <w:pStyle w:val="EndNoteBibliography"/>
      </w:pPr>
      <w:r>
        <w:fldChar w:fldCharType="begin"/>
      </w:r>
      <w:r>
        <w:instrText xml:space="preserve"> ADDIN EN.REFLIST </w:instrText>
      </w:r>
      <w:r>
        <w:fldChar w:fldCharType="separate"/>
      </w:r>
      <w:r w:rsidRPr="00885202">
        <w:t xml:space="preserve">Bailey, J., et al. (2012). A multi-Institutional Investigation of Students' Preinstructional Ideas About Cosmology. </w:t>
      </w:r>
      <w:r w:rsidRPr="00885202">
        <w:rPr>
          <w:i/>
        </w:rPr>
        <w:t>Astronomy Education Review,</w:t>
      </w:r>
      <w:r w:rsidRPr="00885202">
        <w:t xml:space="preserve"> 11 (1).</w:t>
      </w:r>
    </w:p>
    <w:p w:rsidR="007E4771" w:rsidRPr="007E4771" w:rsidRDefault="00885202" w:rsidP="00026DEC">
      <w:pPr>
        <w:spacing w:after="18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583" w:rsidRDefault="00360583" w:rsidP="000B473B">
      <w:r>
        <w:separator/>
      </w:r>
    </w:p>
  </w:endnote>
  <w:endnote w:type="continuationSeparator" w:id="0">
    <w:p w:rsidR="00360583" w:rsidRDefault="0036058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34D49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9254E">
      <w:rPr>
        <w:noProof/>
      </w:rPr>
      <w:t>1</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583" w:rsidRDefault="00360583" w:rsidP="000B473B">
      <w:r>
        <w:separator/>
      </w:r>
    </w:p>
  </w:footnote>
  <w:footnote w:type="continuationSeparator" w:id="0">
    <w:p w:rsidR="00360583" w:rsidRDefault="0036058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6EF0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685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F4548"/>
    <w:multiLevelType w:val="hybridMultilevel"/>
    <w:tmpl w:val="5A606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60583"/>
    <w:rsid w:val="00015578"/>
    <w:rsid w:val="00024731"/>
    <w:rsid w:val="00026DEC"/>
    <w:rsid w:val="000505CA"/>
    <w:rsid w:val="00072C2E"/>
    <w:rsid w:val="0007651D"/>
    <w:rsid w:val="0009089A"/>
    <w:rsid w:val="000947E2"/>
    <w:rsid w:val="00095E04"/>
    <w:rsid w:val="000B473B"/>
    <w:rsid w:val="000D0E89"/>
    <w:rsid w:val="000E1494"/>
    <w:rsid w:val="000E2689"/>
    <w:rsid w:val="00142613"/>
    <w:rsid w:val="00144DA7"/>
    <w:rsid w:val="0015356E"/>
    <w:rsid w:val="00161D3F"/>
    <w:rsid w:val="001915D4"/>
    <w:rsid w:val="00191BD7"/>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60583"/>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76913"/>
    <w:rsid w:val="005A452E"/>
    <w:rsid w:val="005A6EE7"/>
    <w:rsid w:val="005E07F2"/>
    <w:rsid w:val="005F1A7B"/>
    <w:rsid w:val="0062151E"/>
    <w:rsid w:val="006355D8"/>
    <w:rsid w:val="00642ECD"/>
    <w:rsid w:val="006502A0"/>
    <w:rsid w:val="006772F5"/>
    <w:rsid w:val="006A2C1F"/>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85202"/>
    <w:rsid w:val="0089254E"/>
    <w:rsid w:val="008A405F"/>
    <w:rsid w:val="008A784B"/>
    <w:rsid w:val="008C7F34"/>
    <w:rsid w:val="008E580C"/>
    <w:rsid w:val="0090047A"/>
    <w:rsid w:val="00901284"/>
    <w:rsid w:val="009158ED"/>
    <w:rsid w:val="00925026"/>
    <w:rsid w:val="00931264"/>
    <w:rsid w:val="00942A4B"/>
    <w:rsid w:val="00951F9E"/>
    <w:rsid w:val="00961D59"/>
    <w:rsid w:val="009B2D55"/>
    <w:rsid w:val="009C0343"/>
    <w:rsid w:val="009E0D11"/>
    <w:rsid w:val="00A151D5"/>
    <w:rsid w:val="00A24A16"/>
    <w:rsid w:val="00A37D14"/>
    <w:rsid w:val="00A6111E"/>
    <w:rsid w:val="00A6168B"/>
    <w:rsid w:val="00A62028"/>
    <w:rsid w:val="00AA6236"/>
    <w:rsid w:val="00AB6AE7"/>
    <w:rsid w:val="00AC6F77"/>
    <w:rsid w:val="00AD21F5"/>
    <w:rsid w:val="00B00348"/>
    <w:rsid w:val="00B06225"/>
    <w:rsid w:val="00B23B31"/>
    <w:rsid w:val="00B23C7A"/>
    <w:rsid w:val="00B26756"/>
    <w:rsid w:val="00B305F5"/>
    <w:rsid w:val="00B46FF9"/>
    <w:rsid w:val="00B75483"/>
    <w:rsid w:val="00B7733D"/>
    <w:rsid w:val="00BA75D4"/>
    <w:rsid w:val="00BA7952"/>
    <w:rsid w:val="00BB44B4"/>
    <w:rsid w:val="00BC7C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C2617C5-4739-4D56-A2AD-D55A80AA8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8520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85202"/>
    <w:rPr>
      <w:rFonts w:ascii="Calibri" w:hAnsi="Calibri" w:cs="Calibri"/>
      <w:noProof/>
      <w:lang w:val="en-US"/>
    </w:rPr>
  </w:style>
  <w:style w:type="paragraph" w:customStyle="1" w:styleId="EndNoteBibliography">
    <w:name w:val="EndNote Bibliography"/>
    <w:basedOn w:val="Normal"/>
    <w:link w:val="EndNoteBibliographyChar"/>
    <w:rsid w:val="00885202"/>
    <w:rPr>
      <w:rFonts w:ascii="Calibri" w:hAnsi="Calibri" w:cs="Calibri"/>
      <w:noProof/>
      <w:lang w:val="en-US"/>
    </w:rPr>
  </w:style>
  <w:style w:type="character" w:customStyle="1" w:styleId="EndNoteBibliographyChar">
    <w:name w:val="EndNote Bibliography Char"/>
    <w:basedOn w:val="DefaultParagraphFont"/>
    <w:link w:val="EndNoteBibliography"/>
    <w:rsid w:val="0088520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12448">
      <w:bodyDiv w:val="1"/>
      <w:marLeft w:val="0"/>
      <w:marRight w:val="0"/>
      <w:marTop w:val="0"/>
      <w:marBottom w:val="0"/>
      <w:divBdr>
        <w:top w:val="none" w:sz="0" w:space="0" w:color="auto"/>
        <w:left w:val="none" w:sz="0" w:space="0" w:color="auto"/>
        <w:bottom w:val="none" w:sz="0" w:space="0" w:color="auto"/>
        <w:right w:val="none" w:sz="0" w:space="0" w:color="auto"/>
      </w:divBdr>
    </w:div>
    <w:div w:id="1577861462">
      <w:bodyDiv w:val="1"/>
      <w:marLeft w:val="0"/>
      <w:marRight w:val="0"/>
      <w:marTop w:val="0"/>
      <w:marBottom w:val="0"/>
      <w:divBdr>
        <w:top w:val="none" w:sz="0" w:space="0" w:color="auto"/>
        <w:left w:val="none" w:sz="0" w:space="0" w:color="auto"/>
        <w:bottom w:val="none" w:sz="0" w:space="0" w:color="auto"/>
        <w:right w:val="none" w:sz="0" w:space="0" w:color="auto"/>
      </w:divBdr>
    </w:div>
    <w:div w:id="1692994243">
      <w:bodyDiv w:val="1"/>
      <w:marLeft w:val="0"/>
      <w:marRight w:val="0"/>
      <w:marTop w:val="0"/>
      <w:marBottom w:val="0"/>
      <w:divBdr>
        <w:top w:val="none" w:sz="0" w:space="0" w:color="auto"/>
        <w:left w:val="none" w:sz="0" w:space="0" w:color="auto"/>
        <w:bottom w:val="none" w:sz="0" w:space="0" w:color="auto"/>
        <w:right w:val="none" w:sz="0" w:space="0" w:color="auto"/>
      </w:divBdr>
    </w:div>
    <w:div w:id="18578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32</TotalTime>
  <Pages>3</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2018-09-28T08:04:00Z</dcterms:created>
  <dcterms:modified xsi:type="dcterms:W3CDTF">2018-10-11T11:14:00Z</dcterms:modified>
</cp:coreProperties>
</file>