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CD54C" w14:textId="52F521EE" w:rsidR="00201AC2" w:rsidRPr="002507B7" w:rsidRDefault="002507B7" w:rsidP="00201AC2">
      <w:pPr>
        <w:spacing w:after="180"/>
        <w:rPr>
          <w:b/>
          <w:sz w:val="44"/>
          <w:szCs w:val="44"/>
        </w:rPr>
      </w:pPr>
      <w:bookmarkStart w:id="0" w:name="_Hlk520191524"/>
      <w:bookmarkEnd w:id="0"/>
      <w:r w:rsidRPr="002507B7">
        <w:rPr>
          <w:b/>
          <w:sz w:val="44"/>
          <w:szCs w:val="44"/>
        </w:rPr>
        <w:t>More than one molecule</w:t>
      </w:r>
    </w:p>
    <w:p w14:paraId="4A7FBAB2" w14:textId="77777777" w:rsidR="00201AC2" w:rsidRPr="002507B7" w:rsidRDefault="00201AC2" w:rsidP="00201AC2">
      <w:pPr>
        <w:spacing w:after="180"/>
      </w:pPr>
    </w:p>
    <w:p w14:paraId="5A54EBB4" w14:textId="33FFB31B" w:rsidR="00201AC2" w:rsidRDefault="002507B7" w:rsidP="002507B7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2507B7">
        <w:t>Which expression best describes the diagram below?</w:t>
      </w:r>
      <w:r w:rsidRPr="002507B7">
        <w:tab/>
      </w:r>
    </w:p>
    <w:p w14:paraId="7386CFDF" w14:textId="7D677E01" w:rsidR="002507B7" w:rsidRDefault="002507B7" w:rsidP="002507B7">
      <w:pPr>
        <w:pStyle w:val="ListParagraph"/>
        <w:spacing w:after="180"/>
        <w:ind w:left="567"/>
        <w:contextualSpacing w:val="0"/>
      </w:pPr>
      <w:r>
        <w:rPr>
          <w:noProof/>
        </w:rPr>
        <w:drawing>
          <wp:inline distT="0" distB="0" distL="0" distR="0" wp14:anchorId="5B246274" wp14:editId="1DE1E052">
            <wp:extent cx="2143125" cy="447872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wo oxygen molecul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437" cy="45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9F2DD" w14:textId="0FBAB848" w:rsidR="002507B7" w:rsidRDefault="002507B7" w:rsidP="002507B7">
      <w:pPr>
        <w:pStyle w:val="ListParagraph"/>
        <w:spacing w:after="180"/>
        <w:ind w:left="567"/>
        <w:contextualSpacing w:val="0"/>
      </w:pPr>
      <w:r>
        <w:t>Key:</w:t>
      </w:r>
    </w:p>
    <w:p w14:paraId="093C6C6A" w14:textId="183D5E42" w:rsidR="002507B7" w:rsidRDefault="002507B7" w:rsidP="002507B7">
      <w:pPr>
        <w:pStyle w:val="ListParagraph"/>
        <w:spacing w:after="180"/>
        <w:ind w:left="567"/>
        <w:contextualSpacing w:val="0"/>
      </w:pPr>
      <w:r>
        <w:rPr>
          <w:noProof/>
          <w:szCs w:val="18"/>
        </w:rPr>
        <w:drawing>
          <wp:inline distT="0" distB="0" distL="0" distR="0" wp14:anchorId="0555C45A" wp14:editId="465A50EA">
            <wp:extent cx="1645327" cy="429373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y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32" cy="43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33EC1" w14:textId="77777777" w:rsidR="002507B7" w:rsidRDefault="002507B7" w:rsidP="002507B7">
      <w:pPr>
        <w:pStyle w:val="ListParagraph"/>
        <w:spacing w:after="180"/>
        <w:ind w:left="567"/>
        <w:contextualSpacing w:val="0"/>
      </w:pPr>
    </w:p>
    <w:p w14:paraId="50689141" w14:textId="5111D4FD" w:rsidR="002507B7" w:rsidRDefault="002507B7" w:rsidP="002507B7">
      <w:pPr>
        <w:spacing w:after="180"/>
        <w:ind w:firstLine="567"/>
      </w:pPr>
      <w:r>
        <w:t>A</w:t>
      </w:r>
      <w:r>
        <w:tab/>
      </w:r>
      <w:r>
        <w:tab/>
        <w:t>O</w:t>
      </w:r>
      <w:r>
        <w:rPr>
          <w:vertAlign w:val="subscript"/>
        </w:rPr>
        <w:t>4</w:t>
      </w:r>
    </w:p>
    <w:p w14:paraId="3424D384" w14:textId="6830623E" w:rsidR="002507B7" w:rsidRDefault="002507B7" w:rsidP="002507B7">
      <w:pPr>
        <w:spacing w:after="180"/>
        <w:ind w:firstLine="567"/>
      </w:pPr>
      <w:r>
        <w:t>B</w:t>
      </w:r>
      <w:r>
        <w:tab/>
      </w:r>
      <w:r>
        <w:tab/>
        <w:t>4O</w:t>
      </w:r>
    </w:p>
    <w:p w14:paraId="2335DD16" w14:textId="5F27FB01" w:rsidR="002507B7" w:rsidRDefault="002507B7" w:rsidP="002507B7">
      <w:pPr>
        <w:spacing w:after="180"/>
        <w:ind w:firstLine="567"/>
      </w:pPr>
      <w:r>
        <w:t>C</w:t>
      </w:r>
      <w:r>
        <w:tab/>
      </w:r>
      <w:r>
        <w:tab/>
        <w:t>2O</w:t>
      </w:r>
      <w:r>
        <w:rPr>
          <w:vertAlign w:val="subscript"/>
        </w:rPr>
        <w:t>2</w:t>
      </w:r>
    </w:p>
    <w:p w14:paraId="1BD53280" w14:textId="40AFD15D" w:rsidR="002507B7" w:rsidRPr="002507B7" w:rsidRDefault="002507B7" w:rsidP="002507B7">
      <w:pPr>
        <w:spacing w:after="180"/>
        <w:ind w:firstLine="567"/>
      </w:pPr>
      <w:r>
        <w:t>D</w:t>
      </w:r>
      <w:r>
        <w:tab/>
      </w:r>
      <w:r>
        <w:tab/>
        <w:t>O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</w:p>
    <w:p w14:paraId="3370338F" w14:textId="0C67978F" w:rsidR="002507B7" w:rsidRDefault="002507B7" w:rsidP="002507B7">
      <w:pPr>
        <w:pStyle w:val="ListParagraph"/>
        <w:spacing w:after="180"/>
        <w:ind w:left="567"/>
        <w:contextualSpacing w:val="0"/>
      </w:pPr>
    </w:p>
    <w:p w14:paraId="7D2DEEEF" w14:textId="21873DEA" w:rsidR="002507B7" w:rsidRPr="002507B7" w:rsidRDefault="002507B7" w:rsidP="002507B7">
      <w:pPr>
        <w:pStyle w:val="ListParagraph"/>
        <w:spacing w:after="180"/>
        <w:ind w:left="567"/>
        <w:contextualSpacing w:val="0"/>
      </w:pPr>
    </w:p>
    <w:p w14:paraId="06E351DA" w14:textId="77777777" w:rsidR="00201AC2" w:rsidRPr="00201AC2" w:rsidRDefault="00201AC2" w:rsidP="006F3279">
      <w:pPr>
        <w:spacing w:after="240"/>
        <w:rPr>
          <w:szCs w:val="18"/>
        </w:rPr>
      </w:pPr>
    </w:p>
    <w:p w14:paraId="353B7DA5" w14:textId="553E339B" w:rsidR="002507B7" w:rsidRDefault="002507B7" w:rsidP="002507B7">
      <w:pPr>
        <w:spacing w:after="240"/>
        <w:ind w:firstLine="720"/>
        <w:rPr>
          <w:szCs w:val="18"/>
        </w:rPr>
      </w:pPr>
    </w:p>
    <w:p w14:paraId="05C6B4A7" w14:textId="6969218D" w:rsidR="002507B7" w:rsidRDefault="002507B7" w:rsidP="006F3279">
      <w:pPr>
        <w:spacing w:after="240"/>
        <w:rPr>
          <w:szCs w:val="18"/>
        </w:rPr>
      </w:pPr>
    </w:p>
    <w:p w14:paraId="6678BB11" w14:textId="77777777" w:rsidR="002507B7" w:rsidRDefault="002507B7" w:rsidP="006F3279">
      <w:pPr>
        <w:spacing w:after="240"/>
        <w:rPr>
          <w:szCs w:val="18"/>
        </w:rPr>
      </w:pPr>
    </w:p>
    <w:p w14:paraId="59C7DC87" w14:textId="40AD63ED" w:rsidR="002507B7" w:rsidRPr="002507B7" w:rsidRDefault="002507B7" w:rsidP="006F3279">
      <w:pPr>
        <w:spacing w:after="240"/>
        <w:rPr>
          <w:szCs w:val="18"/>
        </w:rPr>
        <w:sectPr w:rsidR="002507B7" w:rsidRPr="002507B7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>
        <w:rPr>
          <w:szCs w:val="18"/>
        </w:rPr>
        <w:tab/>
      </w:r>
    </w:p>
    <w:p w14:paraId="0001FF75" w14:textId="77777777" w:rsidR="00F44100" w:rsidRPr="006F3279" w:rsidRDefault="00F44100" w:rsidP="00F4410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CPS: Particles and structure &gt; Topic CPS2: Elements and compounds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1F746D">
        <w:rPr>
          <w:i/>
          <w:sz w:val="18"/>
          <w:szCs w:val="18"/>
        </w:rPr>
        <w:t>CPS2.2: Symbols and formulae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3091396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12488453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71AEA130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0E411426" w14:textId="34818B68" w:rsidR="006F3279" w:rsidRPr="00CA4B46" w:rsidRDefault="00F4410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F44100">
              <w:rPr>
                <w:b/>
                <w:sz w:val="40"/>
                <w:szCs w:val="40"/>
              </w:rPr>
              <w:t xml:space="preserve">More than one </w:t>
            </w:r>
            <w:r w:rsidR="003B1BB9">
              <w:rPr>
                <w:b/>
                <w:sz w:val="40"/>
                <w:szCs w:val="40"/>
              </w:rPr>
              <w:t>molecule</w:t>
            </w:r>
          </w:p>
        </w:tc>
      </w:tr>
    </w:tbl>
    <w:p w14:paraId="536AA5CC" w14:textId="77777777" w:rsidR="006F3279" w:rsidRDefault="006F3279" w:rsidP="00E172C6">
      <w:pPr>
        <w:spacing w:after="180"/>
        <w:rPr>
          <w:b/>
        </w:rPr>
      </w:pPr>
    </w:p>
    <w:p w14:paraId="3D676A96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2259E940" w14:textId="77777777" w:rsidTr="003F16F9">
        <w:trPr>
          <w:trHeight w:val="340"/>
        </w:trPr>
        <w:tc>
          <w:tcPr>
            <w:tcW w:w="2196" w:type="dxa"/>
          </w:tcPr>
          <w:p w14:paraId="4370D069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59F836C4" w14:textId="2FBE21B1" w:rsidR="00FA5B3A" w:rsidRDefault="00F44100" w:rsidP="00FA5B3A">
            <w:pPr>
              <w:spacing w:before="60" w:after="60"/>
            </w:pPr>
            <w:r w:rsidRPr="00F44100">
              <w:rPr>
                <w:rFonts w:ascii="Calibri" w:eastAsia="Calibri" w:hAnsi="Calibri" w:cs="Calibri"/>
                <w:szCs w:val="20"/>
              </w:rPr>
              <w:t xml:space="preserve">A chemical formula provides information on the composition of a </w:t>
            </w:r>
            <w:r w:rsidR="009E324B">
              <w:rPr>
                <w:rFonts w:ascii="Calibri" w:eastAsia="Calibri" w:hAnsi="Calibri" w:cs="Calibri"/>
                <w:szCs w:val="20"/>
              </w:rPr>
              <w:t>substance.</w:t>
            </w:r>
          </w:p>
        </w:tc>
      </w:tr>
      <w:tr w:rsidR="00FA5B3A" w14:paraId="15702817" w14:textId="77777777" w:rsidTr="003F16F9">
        <w:trPr>
          <w:trHeight w:val="340"/>
        </w:trPr>
        <w:tc>
          <w:tcPr>
            <w:tcW w:w="2196" w:type="dxa"/>
          </w:tcPr>
          <w:p w14:paraId="6E56133D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772D06F0" w14:textId="3D45C0E7" w:rsidR="00FA5B3A" w:rsidRPr="00F44100" w:rsidRDefault="00F44100" w:rsidP="00FA5B3A">
            <w:pPr>
              <w:spacing w:before="60" w:after="60"/>
              <w:rPr>
                <w:b/>
              </w:rPr>
            </w:pPr>
            <w:r w:rsidRPr="00F44100">
              <w:t>Select an appropriate expression to represent more than one molecule.</w:t>
            </w:r>
          </w:p>
        </w:tc>
      </w:tr>
      <w:tr w:rsidR="00FA5B3A" w14:paraId="4501C7BE" w14:textId="77777777" w:rsidTr="003F16F9">
        <w:trPr>
          <w:trHeight w:val="340"/>
        </w:trPr>
        <w:tc>
          <w:tcPr>
            <w:tcW w:w="2196" w:type="dxa"/>
          </w:tcPr>
          <w:p w14:paraId="0ABEBA6C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52028053" w14:textId="641BE7A4" w:rsidR="00FA5B3A" w:rsidRPr="00F44100" w:rsidRDefault="00F44100" w:rsidP="00FA5B3A">
            <w:pPr>
              <w:spacing w:before="60" w:after="60"/>
            </w:pPr>
            <w:r w:rsidRPr="00F44100">
              <w:t>simple multiple choice</w:t>
            </w:r>
          </w:p>
        </w:tc>
      </w:tr>
      <w:tr w:rsidR="00FA5B3A" w14:paraId="166D378E" w14:textId="77777777" w:rsidTr="003F16F9">
        <w:trPr>
          <w:trHeight w:val="340"/>
        </w:trPr>
        <w:tc>
          <w:tcPr>
            <w:tcW w:w="2196" w:type="dxa"/>
          </w:tcPr>
          <w:p w14:paraId="7058AAD3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149E4296" w14:textId="40223671" w:rsidR="00FA5B3A" w:rsidRPr="00F44100" w:rsidRDefault="00F44100" w:rsidP="00FA5B3A">
            <w:pPr>
              <w:spacing w:before="60" w:after="60"/>
            </w:pPr>
            <w:r w:rsidRPr="00F44100">
              <w:t>atom, molecule, formula</w:t>
            </w:r>
          </w:p>
        </w:tc>
      </w:tr>
    </w:tbl>
    <w:p w14:paraId="3E98C353" w14:textId="77777777" w:rsidR="003B1BB9" w:rsidRDefault="003B1BB9" w:rsidP="00026DEC">
      <w:pPr>
        <w:spacing w:after="180"/>
        <w:rPr>
          <w:b/>
          <w:color w:val="E36C0A" w:themeColor="accent6" w:themeShade="BF"/>
          <w:sz w:val="24"/>
        </w:rPr>
      </w:pPr>
    </w:p>
    <w:p w14:paraId="771F334E" w14:textId="68CDEA0C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50B25362" w14:textId="77777777" w:rsidR="000946DB" w:rsidRPr="000946DB" w:rsidRDefault="00C82BF2" w:rsidP="000946DB">
      <w:pPr>
        <w:spacing w:after="180"/>
      </w:pPr>
      <w:r w:rsidRPr="000946DB">
        <w:t xml:space="preserve">A review of empirical research </w:t>
      </w:r>
      <w:r w:rsidRPr="000946DB">
        <w:fldChar w:fldCharType="begin"/>
      </w:r>
      <w:r w:rsidRPr="000946DB">
        <w:instrText xml:space="preserve"> ADDIN EN.CITE &lt;EndNote&gt;&lt;Cite&gt;&lt;Author&gt;Taskin&lt;/Author&gt;&lt;Year&gt;2012&lt;/Year&gt;&lt;IDText&gt;Students&amp;apos; understanding of chemical formulae: A review of empirical research&lt;/IDText&gt;&lt;DisplayText&gt;(Taskin and Bernholt, 2012)&lt;/DisplayText&gt;&lt;record&gt;&lt;titles&gt;&lt;title&gt;Students&amp;apos; understanding of chemical formulae: A review of empirical research&lt;/title&gt;&lt;secondary-title&gt;International Journal of Science Education&lt;/secondary-title&gt;&lt;/titles&gt;&lt;pages&gt;157-185&lt;/pages&gt;&lt;number&gt;1&lt;/number&gt;&lt;contributors&gt;&lt;authors&gt;&lt;author&gt;Taskin, Vahide&lt;/author&gt;&lt;author&gt;Bernholt, Sascha&lt;/author&gt;&lt;/authors&gt;&lt;/contributors&gt;&lt;added-date format="utc"&gt;1532343443&lt;/added-date&gt;&lt;ref-type name="Journal Article"&gt;17&lt;/ref-type&gt;&lt;dates&gt;&lt;year&gt;2012&lt;/year&gt;&lt;/dates&gt;&lt;rec-number&gt;9&lt;/rec-number&gt;&lt;last-updated-date format="utc"&gt;1532344398&lt;/last-updated-date&gt;&lt;volume&gt;36&lt;/volume&gt;&lt;/record&gt;&lt;/Cite&gt;&lt;/EndNote&gt;</w:instrText>
      </w:r>
      <w:r w:rsidRPr="000946DB">
        <w:fldChar w:fldCharType="separate"/>
      </w:r>
      <w:r w:rsidRPr="000946DB">
        <w:rPr>
          <w:noProof/>
        </w:rPr>
        <w:t>(Taskin and Bernholt, 2012)</w:t>
      </w:r>
      <w:r w:rsidRPr="000946DB">
        <w:fldChar w:fldCharType="end"/>
      </w:r>
      <w:r w:rsidRPr="000946DB">
        <w:t xml:space="preserve"> describes student misunderstandings in translating  chemical formula</w:t>
      </w:r>
      <w:r w:rsidR="000946DB" w:rsidRPr="000946DB">
        <w:t>e</w:t>
      </w:r>
      <w:r w:rsidRPr="000946DB">
        <w:t xml:space="preserve"> into particle diagrams. The inclusion of a multiplying coefficient (for example 2N</w:t>
      </w:r>
      <w:r w:rsidRPr="000946DB">
        <w:rPr>
          <w:vertAlign w:val="subscript"/>
        </w:rPr>
        <w:t>2</w:t>
      </w:r>
      <w:r w:rsidRPr="000946DB">
        <w:t xml:space="preserve">O) caused additional difficulties. </w:t>
      </w:r>
    </w:p>
    <w:p w14:paraId="7DE94C40" w14:textId="77777777" w:rsidR="000946DB" w:rsidRPr="000946DB" w:rsidRDefault="000946DB" w:rsidP="000946DB">
      <w:pPr>
        <w:spacing w:after="180"/>
      </w:pPr>
      <w:r w:rsidRPr="000946DB">
        <w:t>Some students confused the meaning of a subscript with a multiplying coefficient. They drew O</w:t>
      </w:r>
      <w:r w:rsidRPr="000946DB">
        <w:rPr>
          <w:vertAlign w:val="subscript"/>
        </w:rPr>
        <w:t>2</w:t>
      </w:r>
      <w:r w:rsidRPr="000946DB">
        <w:t xml:space="preserve"> as two separate atoms and 2N as two atoms joined. </w:t>
      </w:r>
    </w:p>
    <w:p w14:paraId="56275561" w14:textId="7D16B76B" w:rsidR="009720CA" w:rsidRPr="00FB2646" w:rsidRDefault="009720CA" w:rsidP="009720CA">
      <w:pPr>
        <w:spacing w:after="180"/>
      </w:pPr>
      <w:r w:rsidRPr="000946DB">
        <w:t>Another study observed that some students who were given the expression 2NO</w:t>
      </w:r>
      <w:r w:rsidRPr="000946DB">
        <w:rPr>
          <w:vertAlign w:val="subscript"/>
        </w:rPr>
        <w:t>2</w:t>
      </w:r>
      <w:r w:rsidRPr="000946DB">
        <w:t xml:space="preserve"> matched it with a diagram showing two separate N atoms and an O</w:t>
      </w:r>
      <w:r w:rsidRPr="000946DB">
        <w:rPr>
          <w:vertAlign w:val="subscript"/>
        </w:rPr>
        <w:t>2</w:t>
      </w:r>
      <w:r w:rsidRPr="000946DB">
        <w:t xml:space="preserve"> molecule. In other words, </w:t>
      </w:r>
      <w:r>
        <w:t>they did not recognise that NO</w:t>
      </w:r>
      <w:r>
        <w:rPr>
          <w:vertAlign w:val="subscript"/>
        </w:rPr>
        <w:t>2</w:t>
      </w:r>
      <w:r>
        <w:t xml:space="preserve"> was an integrative formula</w:t>
      </w:r>
      <w:r w:rsidR="009E324B">
        <w:t xml:space="preserve"> for a substance</w:t>
      </w:r>
      <w:r>
        <w:t xml:space="preserve"> that could not be broken down into discrete particles. Instead they appeared to have regarded 2N as separate to O</w:t>
      </w:r>
      <w:r>
        <w:rPr>
          <w:vertAlign w:val="subscript"/>
        </w:rPr>
        <w:t>2</w:t>
      </w:r>
      <w:r>
        <w:t>.</w:t>
      </w:r>
    </w:p>
    <w:p w14:paraId="27585162" w14:textId="4721520A" w:rsidR="00C82BF2" w:rsidRPr="000946DB" w:rsidRDefault="00C82BF2" w:rsidP="0050055B">
      <w:pPr>
        <w:spacing w:after="180"/>
      </w:pPr>
      <w:r w:rsidRPr="000946DB">
        <w:t xml:space="preserve">The review also summarises research findings that concluded </w:t>
      </w:r>
      <w:r w:rsidR="000946DB" w:rsidRPr="000946DB">
        <w:t xml:space="preserve">that </w:t>
      </w:r>
      <w:r w:rsidRPr="000946DB">
        <w:t xml:space="preserve">these misunderstandings </w:t>
      </w:r>
      <w:r w:rsidR="000946DB" w:rsidRPr="000946DB">
        <w:t>were</w:t>
      </w:r>
      <w:r w:rsidRPr="000946DB">
        <w:t xml:space="preserve"> contributory factor</w:t>
      </w:r>
      <w:r w:rsidR="000946DB" w:rsidRPr="000946DB">
        <w:t>s</w:t>
      </w:r>
      <w:r w:rsidRPr="000946DB">
        <w:t xml:space="preserve"> </w:t>
      </w:r>
      <w:r w:rsidR="002D3B92">
        <w:t>to</w:t>
      </w:r>
      <w:bookmarkStart w:id="1" w:name="_GoBack"/>
      <w:bookmarkEnd w:id="1"/>
      <w:r w:rsidRPr="000946DB">
        <w:t xml:space="preserve"> student difficulties in balancing chemical equations.</w:t>
      </w:r>
    </w:p>
    <w:p w14:paraId="38123578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3393D7AD" w14:textId="77777777" w:rsidR="005D0848" w:rsidRPr="00B36B69" w:rsidRDefault="005D0848" w:rsidP="005D0848">
      <w:pPr>
        <w:spacing w:after="180"/>
      </w:pPr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49C5C4D7" w14:textId="431D4066" w:rsidR="005D0848" w:rsidRDefault="005D0848" w:rsidP="005D0848">
      <w:pPr>
        <w:spacing w:after="180"/>
      </w:pPr>
      <w:r w:rsidRPr="00B36B69">
        <w:t xml:space="preserve">The answers to the question will show you whether students understood the concept sufficiently well to apply it correctly.  </w:t>
      </w:r>
    </w:p>
    <w:p w14:paraId="543C7028" w14:textId="4F98EBE4" w:rsidR="005D0848" w:rsidRPr="005D0848" w:rsidRDefault="005D0848" w:rsidP="005D0848">
      <w:pPr>
        <w:spacing w:after="180"/>
        <w:rPr>
          <w:i/>
        </w:rPr>
      </w:pPr>
      <w:r w:rsidRPr="005D0848">
        <w:rPr>
          <w:i/>
        </w:rPr>
        <w:t>Differentiation</w:t>
      </w:r>
    </w:p>
    <w:p w14:paraId="389E756D" w14:textId="2C8A1AD6" w:rsidR="005D0848" w:rsidRPr="00B36B69" w:rsidRDefault="005D0848" w:rsidP="005D0848">
      <w:pPr>
        <w:spacing w:after="180"/>
      </w:pPr>
      <w:r>
        <w:t xml:space="preserve">Students could be provided with </w:t>
      </w:r>
      <w:r w:rsidR="000946DB">
        <w:t>physical props (for example counters)</w:t>
      </w:r>
      <w:r>
        <w:t xml:space="preserve"> with which to make each answer option.</w:t>
      </w:r>
    </w:p>
    <w:p w14:paraId="6B61B3C8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1E3AE09E" w14:textId="6DE3C71A" w:rsidR="00BF6C8A" w:rsidRDefault="00F44100" w:rsidP="00BF6C8A">
      <w:pPr>
        <w:spacing w:after="180"/>
      </w:pPr>
      <w:r w:rsidRPr="005D0848">
        <w:t>C</w:t>
      </w:r>
    </w:p>
    <w:p w14:paraId="565A2183" w14:textId="5AC47C2D" w:rsidR="003B1BB9" w:rsidRDefault="003B1BB9" w:rsidP="00BF6C8A">
      <w:pPr>
        <w:spacing w:after="180"/>
      </w:pPr>
    </w:p>
    <w:p w14:paraId="3EDC9F2B" w14:textId="77777777" w:rsidR="003B1BB9" w:rsidRPr="005D0848" w:rsidRDefault="003B1BB9" w:rsidP="00BF6C8A">
      <w:pPr>
        <w:spacing w:after="180"/>
      </w:pPr>
    </w:p>
    <w:p w14:paraId="53C7C2AC" w14:textId="77777777" w:rsidR="006A4440" w:rsidRPr="005D0848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5D0848">
        <w:rPr>
          <w:b/>
          <w:color w:val="E36C0A" w:themeColor="accent6" w:themeShade="BF"/>
          <w:sz w:val="24"/>
        </w:rPr>
        <w:t>How to respond - w</w:t>
      </w:r>
      <w:r w:rsidR="006A4440" w:rsidRPr="005D0848">
        <w:rPr>
          <w:b/>
          <w:color w:val="E36C0A" w:themeColor="accent6" w:themeShade="BF"/>
          <w:sz w:val="24"/>
        </w:rPr>
        <w:t>h</w:t>
      </w:r>
      <w:r w:rsidRPr="005D0848">
        <w:rPr>
          <w:b/>
          <w:color w:val="E36C0A" w:themeColor="accent6" w:themeShade="BF"/>
          <w:sz w:val="24"/>
        </w:rPr>
        <w:t>at</w:t>
      </w:r>
      <w:r w:rsidR="006A4440" w:rsidRPr="005D0848">
        <w:rPr>
          <w:b/>
          <w:color w:val="E36C0A" w:themeColor="accent6" w:themeShade="BF"/>
          <w:sz w:val="24"/>
        </w:rPr>
        <w:t xml:space="preserve"> next?</w:t>
      </w:r>
    </w:p>
    <w:p w14:paraId="5AD01D99" w14:textId="3B28B77F" w:rsidR="00F44100" w:rsidRPr="005D0848" w:rsidRDefault="00F44100" w:rsidP="006A4440">
      <w:pPr>
        <w:spacing w:after="180"/>
      </w:pPr>
      <w:r w:rsidRPr="005D0848">
        <w:t>Selection of options A and B suggests that a student is counting atoms but is not expressing the existence of two discrete molecules. The expression in A suggests that the four oxygen atoms are all joined whereas B implies that the four atoms are separate.  Selection of option D shows that the student has recognised the presence of two molecules but may be unfamiliar with the use of a ‘large number’ as a multiplying factor.</w:t>
      </w:r>
    </w:p>
    <w:p w14:paraId="5B796929" w14:textId="77777777" w:rsidR="00F44100" w:rsidRDefault="004F039C" w:rsidP="006A4440">
      <w:pPr>
        <w:spacing w:after="180"/>
      </w:pPr>
      <w:r w:rsidRPr="004F039C">
        <w:t xml:space="preserve">If students have </w:t>
      </w:r>
      <w:r w:rsidR="001E4950">
        <w:t>misunderstanding</w:t>
      </w:r>
      <w:r w:rsidRPr="004F039C">
        <w:t xml:space="preserve">s </w:t>
      </w:r>
      <w:r w:rsidR="00F44100">
        <w:t>about how to express more than one molecule it may help to draw what each of the incorrect answers represents.</w:t>
      </w:r>
    </w:p>
    <w:p w14:paraId="34CA4A20" w14:textId="699D880E" w:rsidR="005F1A7B" w:rsidRPr="000946DB" w:rsidRDefault="004F039C" w:rsidP="006A4440">
      <w:pPr>
        <w:spacing w:after="180"/>
      </w:pPr>
      <w:r>
        <w:t xml:space="preserve"> </w:t>
      </w:r>
      <w:r w:rsidRPr="000946DB">
        <w:t xml:space="preserve">The following </w:t>
      </w:r>
      <w:r w:rsidR="005F1A7B" w:rsidRPr="000946DB">
        <w:t xml:space="preserve">BEST </w:t>
      </w:r>
      <w:r w:rsidR="004C5D20" w:rsidRPr="000946DB">
        <w:t xml:space="preserve">‘response </w:t>
      </w:r>
      <w:r w:rsidR="00C1460B" w:rsidRPr="000946DB">
        <w:t>activities</w:t>
      </w:r>
      <w:r w:rsidR="004C5D20" w:rsidRPr="000946DB">
        <w:t>’</w:t>
      </w:r>
      <w:r w:rsidR="005F1A7B" w:rsidRPr="000946DB">
        <w:t xml:space="preserve"> </w:t>
      </w:r>
      <w:r w:rsidR="004C5D20" w:rsidRPr="000946DB">
        <w:t>c</w:t>
      </w:r>
      <w:r w:rsidR="005F1A7B" w:rsidRPr="000946DB">
        <w:t xml:space="preserve">ould </w:t>
      </w:r>
      <w:r w:rsidR="004C5D20" w:rsidRPr="000946DB">
        <w:t>be used in follow-up to this diagnostic question</w:t>
      </w:r>
      <w:r w:rsidRPr="000946DB">
        <w:t>:</w:t>
      </w:r>
    </w:p>
    <w:p w14:paraId="4F8A84D7" w14:textId="673EBB29" w:rsidR="00A6111E" w:rsidRPr="000946DB" w:rsidRDefault="000946DB" w:rsidP="00402E34">
      <w:pPr>
        <w:pStyle w:val="ListParagraph"/>
        <w:numPr>
          <w:ilvl w:val="0"/>
          <w:numId w:val="1"/>
        </w:numPr>
        <w:spacing w:after="180"/>
      </w:pPr>
      <w:r w:rsidRPr="000946DB">
        <w:t>Molecule expressions</w:t>
      </w:r>
    </w:p>
    <w:p w14:paraId="1017166F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60C44A22" w14:textId="5469B519" w:rsidR="00D278E8" w:rsidRPr="005D0848" w:rsidRDefault="00D278E8" w:rsidP="00E172C6">
      <w:pPr>
        <w:spacing w:after="180"/>
      </w:pPr>
      <w:r w:rsidRPr="005D0848">
        <w:t xml:space="preserve">Developed </w:t>
      </w:r>
      <w:r w:rsidR="0015356E" w:rsidRPr="005D0848">
        <w:t xml:space="preserve">by </w:t>
      </w:r>
      <w:r w:rsidR="00F44100" w:rsidRPr="005D0848">
        <w:t>Helen Harden</w:t>
      </w:r>
      <w:r w:rsidR="0015356E" w:rsidRPr="005D0848">
        <w:t xml:space="preserve"> (UYSEG)</w:t>
      </w:r>
      <w:r w:rsidR="00F44100" w:rsidRPr="005D0848">
        <w:t>.</w:t>
      </w:r>
    </w:p>
    <w:p w14:paraId="655CE1D3" w14:textId="065FC0E6" w:rsidR="00CC78A5" w:rsidRDefault="00D278E8" w:rsidP="00E172C6">
      <w:pPr>
        <w:spacing w:after="180"/>
      </w:pPr>
      <w:r w:rsidRPr="005D0848">
        <w:t xml:space="preserve">Images: </w:t>
      </w:r>
      <w:r w:rsidR="00F44100" w:rsidRPr="005D0848">
        <w:t>Helen Harden</w:t>
      </w:r>
    </w:p>
    <w:p w14:paraId="2B441C9E" w14:textId="6C9F0F00" w:rsidR="00C82BF2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668177D7" w14:textId="77777777" w:rsidR="00C82BF2" w:rsidRPr="00C82BF2" w:rsidRDefault="00C82BF2" w:rsidP="00C82BF2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C82BF2">
        <w:t xml:space="preserve">Taskin, V. and Bernholt, S. (2012). Students' understanding of chemical formulae: A review of empirical research. </w:t>
      </w:r>
      <w:r w:rsidRPr="00C82BF2">
        <w:rPr>
          <w:i/>
        </w:rPr>
        <w:t>International Journal of Science Education,</w:t>
      </w:r>
      <w:r w:rsidRPr="00C82BF2">
        <w:t xml:space="preserve"> 36(1)</w:t>
      </w:r>
      <w:r w:rsidRPr="00C82BF2">
        <w:rPr>
          <w:b/>
        </w:rPr>
        <w:t>,</w:t>
      </w:r>
      <w:r w:rsidRPr="00C82BF2">
        <w:t xml:space="preserve"> 157-185.</w:t>
      </w:r>
    </w:p>
    <w:p w14:paraId="375055F0" w14:textId="125BCAD8" w:rsidR="00B46FF9" w:rsidRPr="001E4950" w:rsidRDefault="00C82BF2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B436C" w14:textId="77777777" w:rsidR="005520AC" w:rsidRDefault="005520AC" w:rsidP="000B473B">
      <w:r>
        <w:separator/>
      </w:r>
    </w:p>
  </w:endnote>
  <w:endnote w:type="continuationSeparator" w:id="0">
    <w:p w14:paraId="08B54102" w14:textId="77777777" w:rsidR="005520AC" w:rsidRDefault="005520A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9D8F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3212C59" wp14:editId="7AAF202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DBA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6105380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04406AB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18DFC" w14:textId="77777777" w:rsidR="005520AC" w:rsidRDefault="005520AC" w:rsidP="000B473B">
      <w:r>
        <w:separator/>
      </w:r>
    </w:p>
  </w:footnote>
  <w:footnote w:type="continuationSeparator" w:id="0">
    <w:p w14:paraId="2F0AE2F0" w14:textId="77777777" w:rsidR="005520AC" w:rsidRDefault="005520A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B197D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6561A94" wp14:editId="20467CD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2F9B6B" wp14:editId="7C6A3FD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71DB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48790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B727A5A" wp14:editId="61CC891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EB317C1" wp14:editId="37A34B5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471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711A3"/>
    <w:rsid w:val="00015578"/>
    <w:rsid w:val="00024731"/>
    <w:rsid w:val="00026DEC"/>
    <w:rsid w:val="000505CA"/>
    <w:rsid w:val="0007651D"/>
    <w:rsid w:val="0009089A"/>
    <w:rsid w:val="000946DB"/>
    <w:rsid w:val="000947E2"/>
    <w:rsid w:val="00095E04"/>
    <w:rsid w:val="000B45C3"/>
    <w:rsid w:val="000B473B"/>
    <w:rsid w:val="000D0E89"/>
    <w:rsid w:val="000E2689"/>
    <w:rsid w:val="000E6B46"/>
    <w:rsid w:val="00142613"/>
    <w:rsid w:val="00144DA7"/>
    <w:rsid w:val="0015356E"/>
    <w:rsid w:val="00161D3F"/>
    <w:rsid w:val="001915D4"/>
    <w:rsid w:val="001A1FED"/>
    <w:rsid w:val="001A40E2"/>
    <w:rsid w:val="001B3602"/>
    <w:rsid w:val="001C4805"/>
    <w:rsid w:val="001E4950"/>
    <w:rsid w:val="00201AC2"/>
    <w:rsid w:val="00214608"/>
    <w:rsid w:val="0021607B"/>
    <w:rsid w:val="002178AC"/>
    <w:rsid w:val="0022547C"/>
    <w:rsid w:val="00242736"/>
    <w:rsid w:val="002507B7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D3B92"/>
    <w:rsid w:val="00301AA9"/>
    <w:rsid w:val="003117F6"/>
    <w:rsid w:val="00323334"/>
    <w:rsid w:val="003533B8"/>
    <w:rsid w:val="003752BE"/>
    <w:rsid w:val="003A346A"/>
    <w:rsid w:val="003B1BB9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20AC"/>
    <w:rsid w:val="00555342"/>
    <w:rsid w:val="005560E2"/>
    <w:rsid w:val="005A452E"/>
    <w:rsid w:val="005A6EE7"/>
    <w:rsid w:val="005D0848"/>
    <w:rsid w:val="005F1A7B"/>
    <w:rsid w:val="006355D8"/>
    <w:rsid w:val="0064042F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38"/>
    <w:rsid w:val="00813F47"/>
    <w:rsid w:val="008450D6"/>
    <w:rsid w:val="00856FCA"/>
    <w:rsid w:val="00857AFB"/>
    <w:rsid w:val="00873B8C"/>
    <w:rsid w:val="00880E3B"/>
    <w:rsid w:val="008A405F"/>
    <w:rsid w:val="008C7F34"/>
    <w:rsid w:val="008E580C"/>
    <w:rsid w:val="0090047A"/>
    <w:rsid w:val="009201A7"/>
    <w:rsid w:val="00925026"/>
    <w:rsid w:val="00931264"/>
    <w:rsid w:val="00942A4B"/>
    <w:rsid w:val="00961D59"/>
    <w:rsid w:val="009720CA"/>
    <w:rsid w:val="009B2CE4"/>
    <w:rsid w:val="009B2D55"/>
    <w:rsid w:val="009C0343"/>
    <w:rsid w:val="009E0D11"/>
    <w:rsid w:val="009E324B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82BF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11A3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44100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A8E71"/>
  <w15:docId w15:val="{B53A471A-98CC-406F-B794-39C9EE08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82BF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82BF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82BF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82BF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52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8</cp:revision>
  <cp:lastPrinted>2017-02-24T16:20:00Z</cp:lastPrinted>
  <dcterms:created xsi:type="dcterms:W3CDTF">2018-07-24T09:28:00Z</dcterms:created>
  <dcterms:modified xsi:type="dcterms:W3CDTF">2018-07-26T09:49:00Z</dcterms:modified>
</cp:coreProperties>
</file>