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E01C" w14:textId="3335EFCC" w:rsidR="00201AC2" w:rsidRPr="000F2988" w:rsidRDefault="000F2988" w:rsidP="00201AC2">
      <w:pPr>
        <w:spacing w:after="180"/>
        <w:rPr>
          <w:b/>
          <w:sz w:val="44"/>
          <w:szCs w:val="44"/>
        </w:rPr>
      </w:pPr>
      <w:r w:rsidRPr="000F2988">
        <w:rPr>
          <w:b/>
          <w:sz w:val="44"/>
          <w:szCs w:val="44"/>
        </w:rPr>
        <w:t>Property mistakes</w:t>
      </w:r>
    </w:p>
    <w:p w14:paraId="243C492C" w14:textId="7AB2E3B2" w:rsidR="00201AC2" w:rsidRPr="000F2988" w:rsidRDefault="00201AC2" w:rsidP="00201AC2">
      <w:pPr>
        <w:spacing w:after="180"/>
      </w:pPr>
    </w:p>
    <w:p w14:paraId="4D51F941" w14:textId="08AEB1AA" w:rsidR="00544924" w:rsidRDefault="000F2988" w:rsidP="00544924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0F2988">
        <w:t>Copper is ductile It can be drawn out into wires.</w:t>
      </w:r>
    </w:p>
    <w:p w14:paraId="29836DA9" w14:textId="6C9185C0" w:rsidR="00544924" w:rsidRPr="000F2988" w:rsidRDefault="00544924" w:rsidP="00544924">
      <w:pPr>
        <w:spacing w:after="180"/>
        <w:ind w:left="1287" w:firstLine="153"/>
      </w:pPr>
      <w:r>
        <w:rPr>
          <w:noProof/>
        </w:rPr>
        <w:drawing>
          <wp:inline distT="0" distB="0" distL="0" distR="0" wp14:anchorId="5D70A22B" wp14:editId="5D1BC299">
            <wp:extent cx="814365" cy="108585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pper-8824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36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6535B" w14:textId="579A3811" w:rsidR="000F2988" w:rsidRDefault="000F2988" w:rsidP="000F2988">
      <w:pPr>
        <w:spacing w:after="180"/>
        <w:ind w:left="567"/>
      </w:pPr>
      <w:r w:rsidRPr="000F2988">
        <w:t>Which explanation best explains this property?</w:t>
      </w:r>
    </w:p>
    <w:p w14:paraId="5265D1F2" w14:textId="10AE01E6" w:rsidR="000F2988" w:rsidRDefault="000F2988" w:rsidP="000F2988">
      <w:pPr>
        <w:spacing w:after="180"/>
        <w:ind w:left="567"/>
      </w:pPr>
      <w:r>
        <w:t>A</w:t>
      </w:r>
      <w:r>
        <w:tab/>
      </w:r>
      <w:r>
        <w:tab/>
        <w:t>There are no forces of attraction between copper atoms.</w:t>
      </w:r>
    </w:p>
    <w:p w14:paraId="38FE1DDE" w14:textId="07CC913D" w:rsidR="000F2988" w:rsidRDefault="000F2988" w:rsidP="000F2988">
      <w:pPr>
        <w:spacing w:after="180"/>
        <w:ind w:left="567"/>
      </w:pPr>
      <w:r>
        <w:t>B</w:t>
      </w:r>
      <w:r>
        <w:tab/>
      </w:r>
      <w:r>
        <w:tab/>
        <w:t>Atoms of copper are easily stretched.</w:t>
      </w:r>
    </w:p>
    <w:p w14:paraId="2DC97FB9" w14:textId="0962A105" w:rsidR="000F2988" w:rsidRDefault="000F2988" w:rsidP="000F2988">
      <w:pPr>
        <w:spacing w:after="180"/>
        <w:ind w:left="567"/>
      </w:pPr>
      <w:r>
        <w:t>C</w:t>
      </w:r>
      <w:r>
        <w:tab/>
      </w:r>
      <w:r>
        <w:tab/>
        <w:t>Atoms of copper can slide across each other.</w:t>
      </w:r>
    </w:p>
    <w:p w14:paraId="262CF317" w14:textId="00F462FD" w:rsidR="000F2988" w:rsidRPr="000F2988" w:rsidRDefault="000F2988" w:rsidP="000F2988">
      <w:pPr>
        <w:spacing w:after="180"/>
        <w:ind w:left="567"/>
      </w:pPr>
      <w:r>
        <w:t>D</w:t>
      </w:r>
      <w:r>
        <w:tab/>
      </w:r>
      <w:r>
        <w:tab/>
        <w:t>Copper has a low melting point.</w:t>
      </w:r>
    </w:p>
    <w:p w14:paraId="5B321123" w14:textId="77777777" w:rsidR="00201AC2" w:rsidRPr="00201AC2" w:rsidRDefault="00201AC2" w:rsidP="006F3279">
      <w:pPr>
        <w:spacing w:after="240"/>
        <w:rPr>
          <w:szCs w:val="18"/>
        </w:rPr>
      </w:pPr>
    </w:p>
    <w:p w14:paraId="2AC843C2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FDC2D5C" w14:textId="14F910A8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AC5AA6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AC5AA6">
        <w:rPr>
          <w:i/>
          <w:sz w:val="18"/>
          <w:szCs w:val="18"/>
        </w:rPr>
        <w:t>CPS2: Elements and compounds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AC5AA6">
        <w:rPr>
          <w:i/>
          <w:sz w:val="18"/>
          <w:szCs w:val="18"/>
        </w:rPr>
        <w:t>CPS2.1: Atoms and molecules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F500282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CC511FE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16C65BB7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4B7D08C5" w14:textId="678D4216" w:rsidR="006F3279" w:rsidRPr="00CA4B46" w:rsidRDefault="00AC5AA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460E1D">
              <w:rPr>
                <w:b/>
                <w:sz w:val="40"/>
                <w:szCs w:val="40"/>
              </w:rPr>
              <w:t>Property mistakes</w:t>
            </w:r>
          </w:p>
        </w:tc>
      </w:tr>
    </w:tbl>
    <w:p w14:paraId="52B92F68" w14:textId="77777777" w:rsidR="006F3279" w:rsidRDefault="006F3279" w:rsidP="00E172C6">
      <w:pPr>
        <w:spacing w:after="180"/>
        <w:rPr>
          <w:b/>
        </w:rPr>
      </w:pPr>
    </w:p>
    <w:p w14:paraId="255C7DE7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AC5AA6" w14:paraId="244D43EF" w14:textId="77777777" w:rsidTr="00AC5AA6">
        <w:trPr>
          <w:trHeight w:val="340"/>
        </w:trPr>
        <w:tc>
          <w:tcPr>
            <w:tcW w:w="2196" w:type="dxa"/>
          </w:tcPr>
          <w:p w14:paraId="6856C794" w14:textId="77777777" w:rsidR="00AC5AA6" w:rsidRDefault="00AC5AA6" w:rsidP="00AC5AA6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3C83A82E" w14:textId="3E491A0F" w:rsidR="00AC5AA6" w:rsidRPr="00B75483" w:rsidRDefault="00AC5AA6" w:rsidP="00AC5AA6">
            <w:pPr>
              <w:spacing w:before="60" w:after="60"/>
              <w:rPr>
                <w:highlight w:val="yellow"/>
              </w:rPr>
            </w:pPr>
            <w:r w:rsidRPr="00EA78CA">
              <w:t>The properties of elements and compounds arise from the structural arrangement of their constituent atoms.</w:t>
            </w:r>
          </w:p>
        </w:tc>
      </w:tr>
      <w:tr w:rsidR="00AC5AA6" w14:paraId="427CB00B" w14:textId="77777777" w:rsidTr="00AC5AA6">
        <w:trPr>
          <w:trHeight w:val="340"/>
        </w:trPr>
        <w:tc>
          <w:tcPr>
            <w:tcW w:w="2196" w:type="dxa"/>
          </w:tcPr>
          <w:p w14:paraId="4333EB43" w14:textId="77777777" w:rsidR="00AC5AA6" w:rsidRDefault="00AC5AA6" w:rsidP="00AC5AA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6D2289D1" w14:textId="15798226" w:rsidR="00AC5AA6" w:rsidRPr="00B75483" w:rsidRDefault="00AC5AA6" w:rsidP="00AC5AA6">
            <w:pPr>
              <w:spacing w:before="60" w:after="60"/>
              <w:rPr>
                <w:highlight w:val="yellow"/>
              </w:rPr>
            </w:pPr>
            <w:r w:rsidRPr="00544924">
              <w:t>Link the properties of an element to the collective behaviour its atoms.</w:t>
            </w:r>
          </w:p>
        </w:tc>
      </w:tr>
      <w:tr w:rsidR="00AC5AA6" w14:paraId="01D6325E" w14:textId="77777777" w:rsidTr="00AC5AA6">
        <w:trPr>
          <w:trHeight w:val="340"/>
        </w:trPr>
        <w:tc>
          <w:tcPr>
            <w:tcW w:w="2196" w:type="dxa"/>
          </w:tcPr>
          <w:p w14:paraId="447A674B" w14:textId="77777777" w:rsidR="00AC5AA6" w:rsidRDefault="00AC5AA6" w:rsidP="00AC5AA6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7127A65C" w14:textId="4D01CA6F" w:rsidR="00AC5AA6" w:rsidRPr="001915D4" w:rsidRDefault="00F1557F" w:rsidP="00AC5AA6">
            <w:pPr>
              <w:spacing w:before="60" w:after="60"/>
              <w:rPr>
                <w:highlight w:val="yellow"/>
              </w:rPr>
            </w:pPr>
            <w:r>
              <w:t>a</w:t>
            </w:r>
            <w:bookmarkStart w:id="0" w:name="_GoBack"/>
            <w:bookmarkEnd w:id="0"/>
            <w:r>
              <w:t>pplication and practice/simple multiple choice</w:t>
            </w:r>
          </w:p>
        </w:tc>
      </w:tr>
      <w:tr w:rsidR="00AC5AA6" w14:paraId="48C0F1CA" w14:textId="77777777" w:rsidTr="00AC5AA6">
        <w:trPr>
          <w:trHeight w:val="340"/>
        </w:trPr>
        <w:tc>
          <w:tcPr>
            <w:tcW w:w="2196" w:type="dxa"/>
          </w:tcPr>
          <w:p w14:paraId="1156E3AB" w14:textId="77777777" w:rsidR="00AC5AA6" w:rsidRDefault="00AC5AA6" w:rsidP="00AC5AA6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14:paraId="65344925" w14:textId="33839F00" w:rsidR="00AC5AA6" w:rsidRPr="001C4805" w:rsidRDefault="00AC5AA6" w:rsidP="00AC5AA6">
            <w:pPr>
              <w:spacing w:before="60" w:after="60"/>
              <w:rPr>
                <w:highlight w:val="yellow"/>
              </w:rPr>
            </w:pPr>
            <w:r w:rsidRPr="00EA78CA">
              <w:t>atom, property</w:t>
            </w:r>
          </w:p>
        </w:tc>
      </w:tr>
    </w:tbl>
    <w:p w14:paraId="2D08BAD6" w14:textId="77777777" w:rsidR="00E172C6" w:rsidRDefault="00E172C6" w:rsidP="00E172C6">
      <w:pPr>
        <w:spacing w:after="180"/>
      </w:pPr>
    </w:p>
    <w:p w14:paraId="42F45F29" w14:textId="4D3D96D9" w:rsidR="006A320F" w:rsidRPr="00AC5AA6" w:rsidRDefault="006A320F" w:rsidP="006A320F">
      <w:pPr>
        <w:spacing w:after="180"/>
      </w:pPr>
      <w:r>
        <w:t xml:space="preserve">This activity can help develop students’ understanding by addressing the </w:t>
      </w:r>
      <w:r w:rsidR="00966F3C">
        <w:t>misunderstandings</w:t>
      </w:r>
      <w:r>
        <w:t xml:space="preserve"> revealed by the following diagnostic </w:t>
      </w:r>
      <w:r w:rsidRPr="00AC5AA6">
        <w:t>question(s):</w:t>
      </w:r>
    </w:p>
    <w:p w14:paraId="33F3834F" w14:textId="6BFA7D68" w:rsidR="00456227" w:rsidRPr="00AC5AA6" w:rsidRDefault="00AC5AA6" w:rsidP="00456227">
      <w:pPr>
        <w:pStyle w:val="ListParagraph"/>
        <w:numPr>
          <w:ilvl w:val="0"/>
          <w:numId w:val="1"/>
        </w:numPr>
        <w:spacing w:after="180"/>
      </w:pPr>
      <w:r w:rsidRPr="00AC5AA6">
        <w:t>Properties of copper</w:t>
      </w:r>
    </w:p>
    <w:p w14:paraId="1719930F" w14:textId="77777777" w:rsidR="00F72ECC" w:rsidRDefault="00F72ECC" w:rsidP="00F72ECC"/>
    <w:p w14:paraId="4B2B659D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42BC4A4C" w14:textId="533CA600" w:rsidR="00AC5AA6" w:rsidRDefault="000F2988" w:rsidP="00AC5AA6">
      <w:pPr>
        <w:spacing w:after="180"/>
      </w:pPr>
      <w:r>
        <w:t xml:space="preserve">A research study </w:t>
      </w:r>
      <w:r>
        <w:fldChar w:fldCharType="begin"/>
      </w:r>
      <w:r>
        <w:instrText xml:space="preserve"> ADDIN EN.CITE &lt;EndNote&gt;&lt;Cite&gt;&lt;Author&gt;Ben-Zvi&lt;/Author&gt;&lt;Year&gt;1986&lt;/Year&gt;&lt;IDText&gt;Is an atom of copper malleable?&lt;/IDText&gt;&lt;DisplayText&gt;(Ben-Zvi, 1986)&lt;/DisplayText&gt;&lt;record&gt;&lt;titles&gt;&lt;title&gt;Is an atom of copper malleable?&lt;/title&gt;&lt;secondary-title&gt;Journal of Chemical Education&lt;/secondary-title&gt;&lt;/titles&gt;&lt;pages&gt;64-66&lt;/pages&gt;&lt;number&gt;1&lt;/number&gt;&lt;contributors&gt;&lt;authors&gt;&lt;author&gt;Ben-Zvi, Ruth&lt;/author&gt;&lt;/authors&gt;&lt;/contributors&gt;&lt;added-date format="utc"&gt;1531470239&lt;/added-date&gt;&lt;ref-type name="Journal Article"&gt;17&lt;/ref-type&gt;&lt;dates&gt;&lt;year&gt;1986&lt;/year&gt;&lt;/dates&gt;&lt;rec-number&gt;5&lt;/rec-number&gt;&lt;last-updated-date format="utc"&gt;1531470331&lt;/last-updated-date&gt;&lt;volume&gt;63&lt;/volume&gt;&lt;/record&gt;&lt;/Cite&gt;&lt;/EndNote&gt;</w:instrText>
      </w:r>
      <w:r>
        <w:fldChar w:fldCharType="separate"/>
      </w:r>
      <w:r>
        <w:rPr>
          <w:noProof/>
        </w:rPr>
        <w:t>(Ben-Zvi, 1986)</w:t>
      </w:r>
      <w:r>
        <w:fldChar w:fldCharType="end"/>
      </w:r>
      <w:r w:rsidR="00AC5AA6">
        <w:t xml:space="preserve"> investigated student perceptions of atoms, including misunderstandings about the atom being a ‘piece of the matter’ that has the macroscopic properties of the substance. This question was inspired by the title of this research </w:t>
      </w:r>
      <w:proofErr w:type="gramStart"/>
      <w:r w:rsidR="00AC5AA6">
        <w:t>article ;</w:t>
      </w:r>
      <w:proofErr w:type="gramEnd"/>
      <w:r w:rsidR="00AC5AA6">
        <w:t>’Is an atom of copper malleable?’.</w:t>
      </w:r>
    </w:p>
    <w:p w14:paraId="4C7B2C43" w14:textId="5D0592C0" w:rsidR="00AC5AA6" w:rsidRDefault="000F2988" w:rsidP="00AC5AA6">
      <w:pPr>
        <w:spacing w:after="180"/>
      </w:pPr>
      <w:r>
        <w:t xml:space="preserve">Other research </w:t>
      </w:r>
      <w:r>
        <w:fldChar w:fldCharType="begin"/>
      </w:r>
      <w:r>
        <w:instrText xml:space="preserve"> ADDIN EN.CITE &lt;EndNote&gt;&lt;Cite&gt;&lt;Author&gt;Tümay&lt;/Author&gt;&lt;Year&gt;2016&lt;/Year&gt;&lt;IDText&gt;Reconsidering learning difficulties and misconceptions in chemistry:emergence in chemistry and its implications for chemical education.&lt;/IDText&gt;&lt;DisplayText&gt;(Tümay, 2016)&lt;/DisplayText&gt;&lt;record&gt;&lt;titles&gt;&lt;title&gt;Reconsidering learning difficulties and misconceptions in chemistry:emergence in chemistry and its implications for chemical education.&lt;/title&gt;&lt;secondary-title&gt;Chemistry Education Research and Practice&lt;/secondary-title&gt;&lt;/titles&gt;&lt;pages&gt;229-245&lt;/pages&gt;&lt;contributors&gt;&lt;authors&gt;&lt;author&gt;Tümay, Halil&lt;/author&gt;&lt;/authors&gt;&lt;/contributors&gt;&lt;added-date format="utc"&gt;1531469790&lt;/added-date&gt;&lt;ref-type name="Journal Article"&gt;17&lt;/ref-type&gt;&lt;dates&gt;&lt;year&gt;2016&lt;/year&gt;&lt;/dates&gt;&lt;rec-number&gt;4&lt;/rec-number&gt;&lt;last-updated-date format="utc"&gt;1531470002&lt;/last-updated-date&gt;&lt;volume&gt;17&lt;/volume&gt;&lt;/record&gt;&lt;/Cite&gt;&lt;/EndNote&gt;</w:instrText>
      </w:r>
      <w:r>
        <w:fldChar w:fldCharType="separate"/>
      </w:r>
      <w:r>
        <w:rPr>
          <w:noProof/>
        </w:rPr>
        <w:t>(Tümay, 2016)</w:t>
      </w:r>
      <w:r>
        <w:fldChar w:fldCharType="end"/>
      </w:r>
      <w:r w:rsidR="00AC5AA6">
        <w:t xml:space="preserve"> suggests that the fundamental sources of many students’ difficulties in chemistry is a failure to understand the emergent nature properties of chemical substances and their interactions. He argues that the concept that properties emerge from the collective arrangement of atoms that make up a substance should be </w:t>
      </w:r>
      <w:proofErr w:type="gramStart"/>
      <w:r w:rsidR="00AC5AA6">
        <w:t>taken into account</w:t>
      </w:r>
      <w:proofErr w:type="gramEnd"/>
      <w:r w:rsidR="00AC5AA6">
        <w:t xml:space="preserve"> when addressing students’ misunderstandings.</w:t>
      </w:r>
    </w:p>
    <w:p w14:paraId="278DE079" w14:textId="7CA99D54" w:rsidR="00AC5AA6" w:rsidRDefault="00AC5AA6" w:rsidP="00AC5AA6">
      <w:pPr>
        <w:spacing w:after="180"/>
      </w:pPr>
      <w:proofErr w:type="spellStart"/>
      <w:r>
        <w:t>Talanquer</w:t>
      </w:r>
      <w:proofErr w:type="spellEnd"/>
      <w:r>
        <w:t xml:space="preserve"> </w:t>
      </w:r>
      <w:r w:rsidR="000F2988">
        <w:fldChar w:fldCharType="begin"/>
      </w:r>
      <w:r w:rsidR="000F2988">
        <w:instrText xml:space="preserve"> ADDIN EN.CITE &lt;EndNote&gt;&lt;Cite&gt;&lt;Author&gt;Talanquer&lt;/Author&gt;&lt;Year&gt;2017&lt;/Year&gt;&lt;IDText&gt;Concept inventories: Predicting the wrong answer may boost performance&lt;/IDText&gt;&lt;DisplayText&gt;(Talanquer and Vicente, 2017)&lt;/DisplayText&gt;&lt;record&gt;&lt;titles&gt;&lt;title&gt;Concept inventories: Predicting the wrong answer may boost performance&lt;/title&gt;&lt;secondary-title&gt;Journal of Chemical Education&lt;/secondary-title&gt;&lt;/titles&gt;&lt;pages&gt;1805-1810&lt;/pages&gt;&lt;contributors&gt;&lt;authors&gt;&lt;author&gt;Talanquer&lt;/author&gt;&lt;author&gt;Vicente&lt;/author&gt;&lt;/authors&gt;&lt;/contributors&gt;&lt;section&gt;1805&lt;/section&gt;&lt;added-date format="utc"&gt;1530022459&lt;/added-date&gt;&lt;ref-type name="Journal Article"&gt;17&lt;/ref-type&gt;&lt;dates&gt;&lt;year&gt;2017&lt;/year&gt;&lt;/dates&gt;&lt;rec-number&gt;1&lt;/rec-number&gt;&lt;last-updated-date format="utc"&gt;1530022553&lt;/last-updated-date&gt;&lt;volume&gt;94&lt;/volume&gt;&lt;/record&gt;&lt;/Cite&gt;&lt;/EndNote&gt;</w:instrText>
      </w:r>
      <w:r w:rsidR="000F2988">
        <w:fldChar w:fldCharType="separate"/>
      </w:r>
      <w:r w:rsidR="000F2988">
        <w:rPr>
          <w:noProof/>
        </w:rPr>
        <w:t>(Talanquer 2017)</w:t>
      </w:r>
      <w:r w:rsidR="000F2988">
        <w:fldChar w:fldCharType="end"/>
      </w:r>
      <w:r w:rsidR="000F2988">
        <w:t xml:space="preserve"> r</w:t>
      </w:r>
      <w:r>
        <w:t>esearched whether the prediction of wrong answers could improve student assessment results. H</w:t>
      </w:r>
      <w:r w:rsidR="000F2988">
        <w:t>is</w:t>
      </w:r>
      <w:r>
        <w:t xml:space="preserve"> conclusion was that this method did show a significant impact on questions in certain areas of chemistry. The research was insufficient to explain why the approach has this </w:t>
      </w:r>
      <w:proofErr w:type="gramStart"/>
      <w:r>
        <w:t>effect</w:t>
      </w:r>
      <w:proofErr w:type="gramEnd"/>
      <w:r>
        <w:t xml:space="preserve"> but he speculates that the prompt to consider incorrect answers could have raised awareness of the presence of potential intuitive ‘traps’ and could have led</w:t>
      </w:r>
      <w:r w:rsidR="00460E1D">
        <w:t xml:space="preserve"> some students to rethink their own answers or perhaps to spend more time in discriminating between multiple choice options.</w:t>
      </w:r>
    </w:p>
    <w:p w14:paraId="47FDA7E6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691F04DC" w14:textId="2ADB7832" w:rsidR="00456227" w:rsidRPr="000F2988" w:rsidRDefault="000F2988" w:rsidP="00456227">
      <w:pPr>
        <w:spacing w:after="180"/>
      </w:pPr>
      <w:r w:rsidRPr="000F2988">
        <w:t>This question provides an opportunity for students to practise. Students could be encouraged to discuss reasons why the other options provide incorrect explanations.</w:t>
      </w:r>
    </w:p>
    <w:p w14:paraId="0D8D8F91" w14:textId="77777777" w:rsidR="00E172C6" w:rsidRPr="000F2988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0F2988">
        <w:rPr>
          <w:b/>
          <w:color w:val="E36C0A" w:themeColor="accent6" w:themeShade="BF"/>
          <w:sz w:val="24"/>
        </w:rPr>
        <w:t>Expected answers</w:t>
      </w:r>
    </w:p>
    <w:p w14:paraId="0AC96101" w14:textId="3B73E589" w:rsidR="00BF6C8A" w:rsidRDefault="000F2988" w:rsidP="00BF6C8A">
      <w:pPr>
        <w:spacing w:after="180"/>
      </w:pPr>
      <w:r w:rsidRPr="000F2988">
        <w:t>C</w:t>
      </w:r>
    </w:p>
    <w:p w14:paraId="6A9B2719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5D37CBB6" w14:textId="4D6DC00C" w:rsidR="00D278E8" w:rsidRDefault="00D278E8" w:rsidP="00E172C6">
      <w:pPr>
        <w:spacing w:after="180"/>
      </w:pPr>
      <w:r>
        <w:t xml:space="preserve">Developed </w:t>
      </w:r>
      <w:r w:rsidR="0015356E">
        <w:t>by</w:t>
      </w:r>
      <w:r w:rsidR="00AC5AA6">
        <w:t xml:space="preserve"> Helen Harden</w:t>
      </w:r>
      <w:r w:rsidR="0015356E">
        <w:t xml:space="preserve"> (UYSEG</w:t>
      </w:r>
      <w:r w:rsidR="0015356E" w:rsidRPr="00544924">
        <w:t>)</w:t>
      </w:r>
      <w:r w:rsidR="000F2988" w:rsidRPr="00544924">
        <w:t>.</w:t>
      </w:r>
    </w:p>
    <w:p w14:paraId="408EF8F5" w14:textId="4D8C4915" w:rsidR="00CC78A5" w:rsidRDefault="00D278E8" w:rsidP="00E172C6">
      <w:pPr>
        <w:spacing w:after="180"/>
      </w:pPr>
      <w:r w:rsidRPr="0045323E">
        <w:t xml:space="preserve">Images: </w:t>
      </w:r>
      <w:r w:rsidR="000F2988" w:rsidRPr="000F2988">
        <w:t xml:space="preserve">Cooper wire, by Emilian </w:t>
      </w:r>
      <w:proofErr w:type="spellStart"/>
      <w:r w:rsidR="000F2988" w:rsidRPr="000F2988">
        <w:t>Vicol</w:t>
      </w:r>
      <w:proofErr w:type="spellEnd"/>
      <w:r w:rsidR="000F2988" w:rsidRPr="000F2988">
        <w:t xml:space="preserve"> (</w:t>
      </w:r>
      <w:proofErr w:type="spellStart"/>
      <w:r w:rsidR="000F2988" w:rsidRPr="000F2988">
        <w:t>byrev</w:t>
      </w:r>
      <w:proofErr w:type="spellEnd"/>
      <w:r w:rsidR="000F2988" w:rsidRPr="000F2988">
        <w:t xml:space="preserve">) via  </w:t>
      </w:r>
      <w:hyperlink r:id="rId10" w:history="1">
        <w:r w:rsidR="000F2988" w:rsidRPr="000F2988">
          <w:rPr>
            <w:rStyle w:val="Hyperlink"/>
          </w:rPr>
          <w:t>https://pixabay.com/en/copper-enamelled-lp-lmx-polyamide-88248/</w:t>
        </w:r>
      </w:hyperlink>
      <w:r w:rsidR="000F2988">
        <w:t xml:space="preserve"> </w:t>
      </w:r>
    </w:p>
    <w:p w14:paraId="47F1A1CD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38D57D56" w14:textId="77777777" w:rsidR="000F2988" w:rsidRPr="000F2988" w:rsidRDefault="000F2988" w:rsidP="000F2988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F2988">
        <w:t xml:space="preserve">Ben-Zvi, R. (1986). Is an atom of copper malleable? </w:t>
      </w:r>
      <w:r w:rsidRPr="000F2988">
        <w:rPr>
          <w:i/>
        </w:rPr>
        <w:t>Journal of Chemical Education,</w:t>
      </w:r>
      <w:r w:rsidRPr="000F2988">
        <w:t xml:space="preserve"> 63(1)</w:t>
      </w:r>
      <w:r w:rsidRPr="000F2988">
        <w:rPr>
          <w:b/>
        </w:rPr>
        <w:t>,</w:t>
      </w:r>
      <w:r w:rsidRPr="000F2988">
        <w:t xml:space="preserve"> 64-66.</w:t>
      </w:r>
    </w:p>
    <w:p w14:paraId="422F6A08" w14:textId="3D3BCDA7" w:rsidR="000F2988" w:rsidRPr="000F2988" w:rsidRDefault="000F2988" w:rsidP="000F2988">
      <w:pPr>
        <w:pStyle w:val="EndNoteBibliography"/>
      </w:pPr>
      <w:r w:rsidRPr="000F2988">
        <w:t>Talanquer</w:t>
      </w:r>
      <w:r w:rsidR="005B01BA">
        <w:t xml:space="preserve">, V. </w:t>
      </w:r>
      <w:r w:rsidRPr="000F2988">
        <w:t xml:space="preserve"> (2017). Concept inventories: Predicting the wrong answer may boost performance. </w:t>
      </w:r>
      <w:r w:rsidRPr="000F2988">
        <w:rPr>
          <w:i/>
        </w:rPr>
        <w:t>Journal of Chemical Education,</w:t>
      </w:r>
      <w:r w:rsidRPr="000F2988">
        <w:t xml:space="preserve"> 94</w:t>
      </w:r>
      <w:r w:rsidRPr="000F2988">
        <w:rPr>
          <w:b/>
        </w:rPr>
        <w:t>,</w:t>
      </w:r>
      <w:r w:rsidRPr="000F2988">
        <w:t xml:space="preserve"> 1805-1810.</w:t>
      </w:r>
    </w:p>
    <w:p w14:paraId="1E19BFD5" w14:textId="77777777" w:rsidR="000F2988" w:rsidRPr="000F2988" w:rsidRDefault="000F2988" w:rsidP="000F2988">
      <w:pPr>
        <w:pStyle w:val="EndNoteBibliography"/>
      </w:pPr>
      <w:r w:rsidRPr="000F2988">
        <w:t xml:space="preserve">Tümay, H. (2016). Reconsidering learning difficulties and misconceptions in chemistry:emergence in chemistry and its implications for chemical education. </w:t>
      </w:r>
      <w:r w:rsidRPr="000F2988">
        <w:rPr>
          <w:i/>
        </w:rPr>
        <w:t>Chemistry Education Research and Practice,</w:t>
      </w:r>
      <w:r w:rsidRPr="000F2988">
        <w:t xml:space="preserve"> 17</w:t>
      </w:r>
      <w:r w:rsidRPr="000F2988">
        <w:rPr>
          <w:b/>
        </w:rPr>
        <w:t>,</w:t>
      </w:r>
      <w:r w:rsidRPr="000F2988">
        <w:t xml:space="preserve"> 229-245.</w:t>
      </w:r>
    </w:p>
    <w:p w14:paraId="1BD9044D" w14:textId="10A8282B" w:rsidR="00B46FF9" w:rsidRDefault="000F2988" w:rsidP="00E24309">
      <w:pPr>
        <w:spacing w:after="180"/>
      </w:pPr>
      <w: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E3B1D" w14:textId="77777777" w:rsidR="007D6D95" w:rsidRDefault="007D6D95" w:rsidP="000B473B">
      <w:r>
        <w:separator/>
      </w:r>
    </w:p>
  </w:endnote>
  <w:endnote w:type="continuationSeparator" w:id="0">
    <w:p w14:paraId="29A99477" w14:textId="77777777" w:rsidR="007D6D95" w:rsidRDefault="007D6D9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171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97E5DDB" wp14:editId="3FE364F6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54ED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F6578">
      <w:rPr>
        <w:noProof/>
      </w:rPr>
      <w:t>2</w:t>
    </w:r>
    <w:r>
      <w:rPr>
        <w:noProof/>
      </w:rPr>
      <w:fldChar w:fldCharType="end"/>
    </w:r>
  </w:p>
  <w:p w14:paraId="34FD7EE2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BF98069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6BD4F" w14:textId="77777777" w:rsidR="007D6D95" w:rsidRDefault="007D6D95" w:rsidP="000B473B">
      <w:r>
        <w:separator/>
      </w:r>
    </w:p>
  </w:footnote>
  <w:footnote w:type="continuationSeparator" w:id="0">
    <w:p w14:paraId="108D0AB8" w14:textId="77777777" w:rsidR="007D6D95" w:rsidRDefault="007D6D9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3641B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F1B793B" wp14:editId="5C06C13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A306E9F" wp14:editId="7F10905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F08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60290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1A5195F" wp14:editId="05CB097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937A7D2" wp14:editId="472E11F5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6BC0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6320F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988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6320F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60E1D"/>
    <w:rsid w:val="004B0EE1"/>
    <w:rsid w:val="004C06CB"/>
    <w:rsid w:val="004D0D83"/>
    <w:rsid w:val="004E1DF1"/>
    <w:rsid w:val="004E5592"/>
    <w:rsid w:val="0050055B"/>
    <w:rsid w:val="00524710"/>
    <w:rsid w:val="00544924"/>
    <w:rsid w:val="00555342"/>
    <w:rsid w:val="005560E2"/>
    <w:rsid w:val="005A452E"/>
    <w:rsid w:val="005A6EE7"/>
    <w:rsid w:val="005B01BA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22F9A"/>
    <w:rsid w:val="00752AE8"/>
    <w:rsid w:val="00754539"/>
    <w:rsid w:val="00781BC6"/>
    <w:rsid w:val="007A3C86"/>
    <w:rsid w:val="007A683E"/>
    <w:rsid w:val="007A748B"/>
    <w:rsid w:val="007D1D65"/>
    <w:rsid w:val="007D6D9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52D04"/>
    <w:rsid w:val="00961D59"/>
    <w:rsid w:val="00966F3C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C5AA6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8351C"/>
    <w:rsid w:val="00E9330A"/>
    <w:rsid w:val="00EE6B97"/>
    <w:rsid w:val="00F12C3B"/>
    <w:rsid w:val="00F1557F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7A663"/>
  <w15:docId w15:val="{A8C7377D-C623-466F-B421-CB68939F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298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988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F2988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F298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F2988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F2988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pixabay.com/en/copper-enamelled-lp-lmx-polyamide-88248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50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6</cp:revision>
  <cp:lastPrinted>2017-02-24T16:20:00Z</cp:lastPrinted>
  <dcterms:created xsi:type="dcterms:W3CDTF">2018-07-13T08:57:00Z</dcterms:created>
  <dcterms:modified xsi:type="dcterms:W3CDTF">2018-07-26T09:00:00Z</dcterms:modified>
</cp:coreProperties>
</file>