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BDF5B" w14:textId="1F690C54" w:rsidR="00201AC2" w:rsidRPr="008F1F02" w:rsidRDefault="008F1F02" w:rsidP="00201AC2">
      <w:pPr>
        <w:spacing w:after="180"/>
        <w:rPr>
          <w:b/>
          <w:sz w:val="44"/>
          <w:szCs w:val="44"/>
        </w:rPr>
      </w:pPr>
      <w:r w:rsidRPr="008F1F02">
        <w:rPr>
          <w:b/>
          <w:sz w:val="44"/>
          <w:szCs w:val="44"/>
        </w:rPr>
        <w:t>Changing to the gas state</w:t>
      </w:r>
    </w:p>
    <w:p w14:paraId="24F14949" w14:textId="77777777" w:rsidR="002F41B2" w:rsidRPr="008F1F02" w:rsidRDefault="002F41B2" w:rsidP="002F41B2">
      <w:pPr>
        <w:spacing w:after="180"/>
      </w:pPr>
    </w:p>
    <w:p w14:paraId="14911F6D" w14:textId="3E5F01C2" w:rsidR="00201AC2" w:rsidRDefault="008F1F02" w:rsidP="00201AC2">
      <w:pPr>
        <w:pStyle w:val="ListParagraph"/>
        <w:numPr>
          <w:ilvl w:val="0"/>
          <w:numId w:val="3"/>
        </w:numPr>
        <w:spacing w:after="180"/>
        <w:ind w:left="567" w:hanging="567"/>
        <w:contextualSpacing w:val="0"/>
      </w:pPr>
      <w:r>
        <w:t>An element in the liquid state is made up of separate molecules. Each molecule is made of two atoms.</w:t>
      </w:r>
    </w:p>
    <w:p w14:paraId="5DD356CD" w14:textId="21A676FE" w:rsidR="008F1F02" w:rsidRPr="008F1F02" w:rsidRDefault="008F1F02" w:rsidP="008F1F02">
      <w:pPr>
        <w:spacing w:after="180"/>
        <w:ind w:left="567"/>
      </w:pPr>
      <w:r>
        <w:t>Which diagram best shows what happens when the substance is heated and it changes into the gas state?</w:t>
      </w:r>
    </w:p>
    <w:p w14:paraId="7577615C" w14:textId="22245BF2" w:rsidR="00201AC2" w:rsidRPr="00201AC2" w:rsidRDefault="008F1F02" w:rsidP="006F3279">
      <w:pPr>
        <w:spacing w:after="240"/>
        <w:rPr>
          <w:szCs w:val="18"/>
        </w:rPr>
      </w:pPr>
      <w:r>
        <w:rPr>
          <w:noProof/>
        </w:rPr>
        <w:drawing>
          <wp:inline distT="0" distB="0" distL="0" distR="0" wp14:anchorId="67E80F87" wp14:editId="567A6581">
            <wp:extent cx="5731510" cy="251841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518410"/>
                    </a:xfrm>
                    <a:prstGeom prst="rect">
                      <a:avLst/>
                    </a:prstGeom>
                  </pic:spPr>
                </pic:pic>
              </a:graphicData>
            </a:graphic>
          </wp:inline>
        </w:drawing>
      </w:r>
    </w:p>
    <w:p w14:paraId="7FDEF7B6" w14:textId="77777777" w:rsidR="00201AC2" w:rsidRPr="00201AC2" w:rsidRDefault="00201AC2" w:rsidP="006F3279">
      <w:pPr>
        <w:spacing w:after="240"/>
        <w:rPr>
          <w:szCs w:val="18"/>
        </w:rPr>
      </w:pPr>
    </w:p>
    <w:p w14:paraId="27D1F389"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3C789055" w14:textId="79C7CFD5"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8F1F02">
        <w:rPr>
          <w:i/>
          <w:sz w:val="18"/>
          <w:szCs w:val="18"/>
        </w:rPr>
        <w:t>CPS: Particles and structure</w:t>
      </w:r>
      <w:r>
        <w:rPr>
          <w:i/>
          <w:sz w:val="18"/>
          <w:szCs w:val="18"/>
        </w:rPr>
        <w:t xml:space="preserve"> &gt; Topic </w:t>
      </w:r>
      <w:r w:rsidR="008F1F02">
        <w:rPr>
          <w:i/>
          <w:sz w:val="18"/>
          <w:szCs w:val="18"/>
        </w:rPr>
        <w:t>CPS2: Elements and compounds</w:t>
      </w:r>
      <w:r w:rsidRPr="00CA4B46">
        <w:rPr>
          <w:i/>
          <w:sz w:val="18"/>
          <w:szCs w:val="18"/>
        </w:rPr>
        <w:t xml:space="preserve"> &gt; </w:t>
      </w:r>
      <w:r>
        <w:rPr>
          <w:i/>
          <w:sz w:val="18"/>
          <w:szCs w:val="18"/>
        </w:rPr>
        <w:t>Key concept</w:t>
      </w:r>
      <w:r w:rsidRPr="00CA4B46">
        <w:rPr>
          <w:i/>
          <w:sz w:val="18"/>
          <w:szCs w:val="18"/>
        </w:rPr>
        <w:t xml:space="preserve"> </w:t>
      </w:r>
      <w:r w:rsidR="008F1F02">
        <w:rPr>
          <w:i/>
          <w:sz w:val="18"/>
          <w:szCs w:val="18"/>
        </w:rPr>
        <w:t>CPS2.1: Atoms and molecules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C5216C9" w14:textId="77777777" w:rsidTr="001C2E59">
        <w:tc>
          <w:tcPr>
            <w:tcW w:w="12021" w:type="dxa"/>
            <w:shd w:val="clear" w:color="auto" w:fill="FABF8F" w:themeFill="accent6" w:themeFillTint="99"/>
          </w:tcPr>
          <w:p w14:paraId="7845E43E"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289F0660" w14:textId="77777777" w:rsidTr="001C2E59">
        <w:tc>
          <w:tcPr>
            <w:tcW w:w="12021" w:type="dxa"/>
            <w:shd w:val="clear" w:color="auto" w:fill="FBD4B4" w:themeFill="accent6" w:themeFillTint="66"/>
          </w:tcPr>
          <w:p w14:paraId="6440E506" w14:textId="28CC2415" w:rsidR="006F3279" w:rsidRPr="00CA4B46" w:rsidRDefault="008F1F02" w:rsidP="006F3279">
            <w:pPr>
              <w:spacing w:after="60"/>
              <w:ind w:left="1304"/>
              <w:rPr>
                <w:b/>
                <w:sz w:val="40"/>
                <w:szCs w:val="40"/>
              </w:rPr>
            </w:pPr>
            <w:r w:rsidRPr="008F1F02">
              <w:rPr>
                <w:b/>
                <w:sz w:val="40"/>
                <w:szCs w:val="40"/>
              </w:rPr>
              <w:t>Changing to the gas state</w:t>
            </w:r>
          </w:p>
        </w:tc>
      </w:tr>
    </w:tbl>
    <w:p w14:paraId="77C459A1" w14:textId="77777777" w:rsidR="006F3279" w:rsidRDefault="006F3279" w:rsidP="00E172C6">
      <w:pPr>
        <w:spacing w:after="180"/>
        <w:rPr>
          <w:b/>
        </w:rPr>
      </w:pPr>
    </w:p>
    <w:p w14:paraId="42AF5DA4"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3E4C12C0" w14:textId="77777777" w:rsidTr="003F16F9">
        <w:trPr>
          <w:trHeight w:val="340"/>
        </w:trPr>
        <w:tc>
          <w:tcPr>
            <w:tcW w:w="2196" w:type="dxa"/>
          </w:tcPr>
          <w:p w14:paraId="5CA822A2" w14:textId="77777777" w:rsidR="006A320F" w:rsidRDefault="006A320F" w:rsidP="006A320F">
            <w:pPr>
              <w:spacing w:before="60" w:after="60"/>
            </w:pPr>
            <w:r>
              <w:t>Learning objective:</w:t>
            </w:r>
          </w:p>
        </w:tc>
        <w:tc>
          <w:tcPr>
            <w:tcW w:w="6820" w:type="dxa"/>
          </w:tcPr>
          <w:p w14:paraId="39459AB0" w14:textId="78E2C44F" w:rsidR="006A320F" w:rsidRDefault="008F1F02" w:rsidP="006A320F">
            <w:pPr>
              <w:spacing w:before="60" w:after="60"/>
            </w:pPr>
            <w:r>
              <w:t>The properties of elements and compounds arise from the structural arrangement of their constituent atoms.</w:t>
            </w:r>
          </w:p>
        </w:tc>
      </w:tr>
      <w:tr w:rsidR="008F1F02" w:rsidRPr="008F1F02" w14:paraId="2B51EAC4" w14:textId="77777777" w:rsidTr="003F16F9">
        <w:trPr>
          <w:trHeight w:val="340"/>
        </w:trPr>
        <w:tc>
          <w:tcPr>
            <w:tcW w:w="2196" w:type="dxa"/>
          </w:tcPr>
          <w:p w14:paraId="07782E2A" w14:textId="77777777" w:rsidR="008F1F02" w:rsidRPr="008F1F02" w:rsidRDefault="008F1F02" w:rsidP="008F1F02">
            <w:pPr>
              <w:spacing w:before="60" w:after="60"/>
            </w:pPr>
            <w:r w:rsidRPr="008F1F02">
              <w:t>Observable learning outcome:</w:t>
            </w:r>
          </w:p>
        </w:tc>
        <w:tc>
          <w:tcPr>
            <w:tcW w:w="6820" w:type="dxa"/>
          </w:tcPr>
          <w:p w14:paraId="288FAFA4" w14:textId="662BC5FD" w:rsidR="008F1F02" w:rsidRPr="008F1F02" w:rsidRDefault="008F1F02" w:rsidP="008F1F02">
            <w:pPr>
              <w:spacing w:before="60" w:after="60"/>
              <w:rPr>
                <w:b/>
              </w:rPr>
            </w:pPr>
            <w:r w:rsidRPr="008F1F02">
              <w:t>Explain differences in melting points between elements in terms of their structure (separate molecules or a single giant structure).</w:t>
            </w:r>
          </w:p>
        </w:tc>
      </w:tr>
      <w:tr w:rsidR="008F1F02" w:rsidRPr="008F1F02" w14:paraId="62254B17" w14:textId="77777777" w:rsidTr="003F16F9">
        <w:trPr>
          <w:trHeight w:val="340"/>
        </w:trPr>
        <w:tc>
          <w:tcPr>
            <w:tcW w:w="2196" w:type="dxa"/>
          </w:tcPr>
          <w:p w14:paraId="00A81FEC" w14:textId="77777777" w:rsidR="008F1F02" w:rsidRPr="008F1F02" w:rsidRDefault="008F1F02" w:rsidP="008F1F02">
            <w:pPr>
              <w:spacing w:before="60" w:after="60"/>
            </w:pPr>
            <w:r w:rsidRPr="008F1F02">
              <w:t>Activity type:</w:t>
            </w:r>
          </w:p>
        </w:tc>
        <w:tc>
          <w:tcPr>
            <w:tcW w:w="6820" w:type="dxa"/>
          </w:tcPr>
          <w:p w14:paraId="4CDD557C" w14:textId="4182F8A3" w:rsidR="008F1F02" w:rsidRPr="008F1F02" w:rsidRDefault="00DE4939" w:rsidP="008F1F02">
            <w:pPr>
              <w:spacing w:before="60" w:after="60"/>
            </w:pPr>
            <w:r>
              <w:t>clarifying thinking/</w:t>
            </w:r>
            <w:r w:rsidR="008F1F02" w:rsidRPr="008F1F02">
              <w:t>simple multiple choice</w:t>
            </w:r>
          </w:p>
        </w:tc>
      </w:tr>
      <w:tr w:rsidR="008F1F02" w14:paraId="786B5F53" w14:textId="77777777" w:rsidTr="003F16F9">
        <w:trPr>
          <w:trHeight w:val="340"/>
        </w:trPr>
        <w:tc>
          <w:tcPr>
            <w:tcW w:w="2196" w:type="dxa"/>
          </w:tcPr>
          <w:p w14:paraId="4BBE9CE1" w14:textId="77777777" w:rsidR="008F1F02" w:rsidRPr="008F1F02" w:rsidRDefault="008F1F02" w:rsidP="008F1F02">
            <w:pPr>
              <w:spacing w:before="60" w:after="60"/>
            </w:pPr>
            <w:r w:rsidRPr="008F1F02">
              <w:t>Key words:</w:t>
            </w:r>
          </w:p>
        </w:tc>
        <w:tc>
          <w:tcPr>
            <w:tcW w:w="6820" w:type="dxa"/>
            <w:tcBorders>
              <w:bottom w:val="dotted" w:sz="4" w:space="0" w:color="auto"/>
            </w:tcBorders>
          </w:tcPr>
          <w:p w14:paraId="6A953050" w14:textId="7710F2C0" w:rsidR="008F1F02" w:rsidRDefault="008F1F02" w:rsidP="008F1F02">
            <w:pPr>
              <w:spacing w:before="60" w:after="60"/>
            </w:pPr>
            <w:r w:rsidRPr="008F1F02">
              <w:t>substance, molecule, atom, gas state</w:t>
            </w:r>
          </w:p>
        </w:tc>
      </w:tr>
    </w:tbl>
    <w:p w14:paraId="4A34F36E" w14:textId="77777777" w:rsidR="00E172C6" w:rsidRDefault="00E172C6" w:rsidP="00E172C6">
      <w:pPr>
        <w:spacing w:after="180"/>
      </w:pPr>
    </w:p>
    <w:p w14:paraId="6C6B9B99" w14:textId="68810650" w:rsidR="006A320F" w:rsidRPr="008F1F02" w:rsidRDefault="006A320F" w:rsidP="006A320F">
      <w:pPr>
        <w:spacing w:after="180"/>
      </w:pPr>
      <w:r w:rsidRPr="008F1F02">
        <w:t>This activity can help develop students’ understanding by addressing the sticking-points revealed by the following diagnostic question</w:t>
      </w:r>
      <w:r w:rsidR="008F1F02" w:rsidRPr="008F1F02">
        <w:t>:</w:t>
      </w:r>
    </w:p>
    <w:p w14:paraId="773D3836" w14:textId="5310D916" w:rsidR="00456227" w:rsidRPr="008F1F02" w:rsidRDefault="008F1F02" w:rsidP="00456227">
      <w:pPr>
        <w:pStyle w:val="ListParagraph"/>
        <w:numPr>
          <w:ilvl w:val="0"/>
          <w:numId w:val="1"/>
        </w:numPr>
        <w:spacing w:after="180"/>
      </w:pPr>
      <w:r w:rsidRPr="008F1F02">
        <w:t>Element differences</w:t>
      </w:r>
    </w:p>
    <w:p w14:paraId="62D11C6D"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8F0F21F" w14:textId="4007C4AF" w:rsidR="00B3394B" w:rsidRPr="00D97BAA" w:rsidRDefault="00B3394B" w:rsidP="00B3394B">
      <w:pPr>
        <w:spacing w:after="180"/>
      </w:pPr>
      <w:r w:rsidRPr="00D97BAA">
        <w:t xml:space="preserve">This </w:t>
      </w:r>
      <w:r w:rsidR="00DE4939">
        <w:t>learning outcome</w:t>
      </w:r>
      <w:r w:rsidRPr="00D97BAA">
        <w:t xml:space="preserve"> is inspired by the fourth unit developed for a study </w:t>
      </w:r>
      <w:r w:rsidRPr="00D97BAA">
        <w:fldChar w:fldCharType="begin"/>
      </w:r>
      <w:r w:rsidRPr="00D97BAA">
        <w:instrText xml:space="preserve"> ADDIN EN.CITE &lt;EndNote&gt;&lt;Cite&gt;&lt;Author&gt;Johnson&lt;/Author&gt;&lt;Year&gt;2000&lt;/Year&gt;&lt;IDText&gt;Children&amp;apos;s understanding of substances, part 1: recognizing chemical change&lt;/IDText&gt;&lt;DisplayText&gt;(Johnson, 2000)&lt;/DisplayText&gt;&lt;record&gt;&lt;titles&gt;&lt;title&gt;Children&amp;apos;s understanding of substances, part 1: recognizing chemical change&lt;/title&gt;&lt;secondary-title&gt;International Journal of Science Education&lt;/secondary-title&gt;&lt;/titles&gt;&lt;pages&gt;719-737&lt;/pages&gt;&lt;number&gt;7&lt;/number&gt;&lt;contributors&gt;&lt;authors&gt;&lt;author&gt;Johnson, Philip&lt;/author&gt;&lt;/authors&gt;&lt;/contributors&gt;&lt;added-date format="utc"&gt;1531841650&lt;/added-date&gt;&lt;ref-type name="Journal Article"&gt;17&lt;/ref-type&gt;&lt;dates&gt;&lt;year&gt;2000&lt;/year&gt;&lt;/dates&gt;&lt;rec-number&gt;7&lt;/rec-number&gt;&lt;last-updated-date format="utc"&gt;1531841724&lt;/last-updated-date&gt;&lt;volume&gt;22&lt;/volume&gt;&lt;/record&gt;&lt;/Cite&gt;&lt;/EndNote&gt;</w:instrText>
      </w:r>
      <w:r w:rsidRPr="00D97BAA">
        <w:fldChar w:fldCharType="separate"/>
      </w:r>
      <w:r w:rsidRPr="00D97BAA">
        <w:rPr>
          <w:noProof/>
        </w:rPr>
        <w:t>(Johnson, 2000)</w:t>
      </w:r>
      <w:r w:rsidRPr="00D97BAA">
        <w:fldChar w:fldCharType="end"/>
      </w:r>
      <w:r w:rsidRPr="00D97BAA">
        <w:t xml:space="preserve"> into</w:t>
      </w:r>
      <w:r w:rsidR="00DE4939">
        <w:t xml:space="preserve"> the</w:t>
      </w:r>
      <w:r w:rsidRPr="00D97BAA">
        <w:t xml:space="preserve"> development of student</w:t>
      </w:r>
      <w:r w:rsidR="00DE4939">
        <w:t>s’</w:t>
      </w:r>
      <w:r w:rsidRPr="00D97BAA">
        <w:t xml:space="preserve"> understanding of the concept of substance. In this study elements and compounds were explained in terms of atoms and molecules with both ‘molecular’ and ‘giant’ structures being given as possibilities. This is earlier than these ideas are typically introduced in chemistry courses however the idea is useful in explaining, in general terms, the low and high melting points of different substances.</w:t>
      </w:r>
    </w:p>
    <w:p w14:paraId="3E85649B" w14:textId="77777777" w:rsidR="00B3394B" w:rsidRDefault="00B3394B" w:rsidP="00B3394B">
      <w:pPr>
        <w:spacing w:after="180"/>
      </w:pPr>
      <w:r>
        <w:t xml:space="preserve">At this stage, whilst considering changes of state, the emphasis should be on the substance remaining the same. Later, when studying chemical change, students should be more able to recognise that changes in the combination of atoms must result in different properties, and hence new substances. </w:t>
      </w:r>
      <w:r>
        <w:fldChar w:fldCharType="begin"/>
      </w:r>
      <w:r>
        <w:instrText xml:space="preserve"> ADDIN EN.CITE &lt;EndNote&gt;&lt;Cite&gt;&lt;Author&gt;Johnson&lt;/Author&gt;&lt;Year&gt;2002&lt;/Year&gt;&lt;IDText&gt;Children&amp;apos;s understanding of substances, part 2: Explaining chemical change&lt;/IDText&gt;&lt;DisplayText&gt;(Johnson, 2002)&lt;/DisplayText&gt;&lt;record&gt;&lt;titles&gt;&lt;title&gt;Children&amp;apos;s understanding of substances, part 2: Explaining chemical change&lt;/title&gt;&lt;secondary-title&gt;International Journal of Science Education&lt;/secondary-title&gt;&lt;/titles&gt;&lt;pages&gt;1037-1054&lt;/pages&gt;&lt;number&gt;10&lt;/number&gt;&lt;contributors&gt;&lt;authors&gt;&lt;author&gt;Johnson, Philip&lt;/author&gt;&lt;/authors&gt;&lt;/contributors&gt;&lt;added-date format="utc"&gt;1531841771&lt;/added-date&gt;&lt;ref-type name="Journal Article"&gt;17&lt;/ref-type&gt;&lt;dates&gt;&lt;year&gt;2002&lt;/year&gt;&lt;/dates&gt;&lt;rec-number&gt;8&lt;/rec-number&gt;&lt;last-updated-date format="utc"&gt;1531841852&lt;/last-updated-date&gt;&lt;volume&gt;24&lt;/volume&gt;&lt;/record&gt;&lt;/Cite&gt;&lt;/EndNote&gt;</w:instrText>
      </w:r>
      <w:r>
        <w:fldChar w:fldCharType="separate"/>
      </w:r>
      <w:r>
        <w:rPr>
          <w:noProof/>
        </w:rPr>
        <w:t>(Johnson, 2002)</w:t>
      </w:r>
      <w:r>
        <w:fldChar w:fldCharType="end"/>
      </w:r>
    </w:p>
    <w:p w14:paraId="27F3CDAF"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88965F2" w14:textId="649B485B" w:rsidR="00DE4939" w:rsidRDefault="00DE4939" w:rsidP="00DE4939">
      <w:pPr>
        <w:spacing w:after="180"/>
      </w:pPr>
      <w:r>
        <w:t>This activity gives students the opportunity to clarify their thinking through discussion.  To support this, s</w:t>
      </w:r>
      <w:r w:rsidRPr="00DA3B6C">
        <w:t xml:space="preserve">tudents </w:t>
      </w:r>
      <w:r>
        <w:t xml:space="preserve">should answer the question in pairs or small groups. </w:t>
      </w:r>
    </w:p>
    <w:p w14:paraId="1315D988" w14:textId="77777777" w:rsidR="00DE4939" w:rsidRPr="00095A98" w:rsidRDefault="00DE4939" w:rsidP="00DE4939">
      <w:pPr>
        <w:spacing w:after="180"/>
        <w:rPr>
          <w:i/>
        </w:rPr>
      </w:pPr>
      <w:r w:rsidRPr="00095A98">
        <w:rPr>
          <w:i/>
        </w:rPr>
        <w:t>Differentiation</w:t>
      </w:r>
    </w:p>
    <w:p w14:paraId="4846F113" w14:textId="2B12DE79" w:rsidR="00DE4939" w:rsidRPr="00DA3B6C" w:rsidRDefault="00DE4939" w:rsidP="00DE4939">
      <w:pPr>
        <w:spacing w:after="180"/>
      </w:pPr>
      <w:r>
        <w:t xml:space="preserve">If some students are working with a teaching assistant, then a list of prompt questions </w:t>
      </w:r>
      <w:r w:rsidR="004450BD">
        <w:t>for the teaching assistant</w:t>
      </w:r>
      <w:r>
        <w:t xml:space="preserve"> could help to make this activity more purposeful.  </w:t>
      </w:r>
    </w:p>
    <w:p w14:paraId="23BEDEC0" w14:textId="77777777" w:rsidR="00E172C6" w:rsidRPr="008F1F02" w:rsidRDefault="00BB44B4" w:rsidP="00026DEC">
      <w:pPr>
        <w:spacing w:after="180"/>
        <w:rPr>
          <w:b/>
          <w:color w:val="E36C0A" w:themeColor="accent6" w:themeShade="BF"/>
          <w:sz w:val="24"/>
        </w:rPr>
      </w:pPr>
      <w:r w:rsidRPr="008F1F02">
        <w:rPr>
          <w:b/>
          <w:color w:val="E36C0A" w:themeColor="accent6" w:themeShade="BF"/>
          <w:sz w:val="24"/>
        </w:rPr>
        <w:t>Expected answers</w:t>
      </w:r>
    </w:p>
    <w:p w14:paraId="6C7427D7" w14:textId="0DED937D" w:rsidR="00BF6C8A" w:rsidRDefault="008F1F02" w:rsidP="00BF6C8A">
      <w:pPr>
        <w:spacing w:after="180"/>
      </w:pPr>
      <w:r w:rsidRPr="008F1F02">
        <w:t>A</w:t>
      </w:r>
    </w:p>
    <w:p w14:paraId="6E3FD97B" w14:textId="228730EE" w:rsidR="004450BD" w:rsidRDefault="004450BD" w:rsidP="00BF6C8A">
      <w:pPr>
        <w:spacing w:after="180"/>
      </w:pPr>
    </w:p>
    <w:p w14:paraId="376CEE02" w14:textId="77777777" w:rsidR="004450BD" w:rsidRPr="008F1F02" w:rsidRDefault="004450BD" w:rsidP="00BF6C8A">
      <w:pPr>
        <w:spacing w:after="180"/>
      </w:pPr>
    </w:p>
    <w:p w14:paraId="3F2956DF" w14:textId="77777777" w:rsidR="003117F6" w:rsidRPr="008F1F02" w:rsidRDefault="00CC78A5" w:rsidP="00026DEC">
      <w:pPr>
        <w:spacing w:after="180"/>
        <w:rPr>
          <w:b/>
          <w:color w:val="E36C0A" w:themeColor="accent6" w:themeShade="BF"/>
          <w:sz w:val="24"/>
        </w:rPr>
      </w:pPr>
      <w:r w:rsidRPr="008F1F02">
        <w:rPr>
          <w:b/>
          <w:color w:val="E36C0A" w:themeColor="accent6" w:themeShade="BF"/>
          <w:sz w:val="24"/>
        </w:rPr>
        <w:t>Acknowledgments</w:t>
      </w:r>
    </w:p>
    <w:p w14:paraId="2FF674EA" w14:textId="0A016BBC" w:rsidR="00D278E8" w:rsidRPr="008F1F02" w:rsidRDefault="00D278E8" w:rsidP="00E172C6">
      <w:pPr>
        <w:spacing w:after="180"/>
      </w:pPr>
      <w:r w:rsidRPr="008F1F02">
        <w:t xml:space="preserve">Developed </w:t>
      </w:r>
      <w:r w:rsidR="0015356E" w:rsidRPr="008F1F02">
        <w:t xml:space="preserve">by </w:t>
      </w:r>
      <w:r w:rsidR="008F1F02" w:rsidRPr="008F1F02">
        <w:t>Helen Harden</w:t>
      </w:r>
      <w:r w:rsidR="0015356E" w:rsidRPr="008F1F02">
        <w:t xml:space="preserve"> (UYSEG</w:t>
      </w:r>
      <w:r w:rsidR="008F1F02" w:rsidRPr="008F1F02">
        <w:t>.</w:t>
      </w:r>
    </w:p>
    <w:p w14:paraId="1CF00EED" w14:textId="3CDF4D4F" w:rsidR="00CC78A5" w:rsidRDefault="00D278E8" w:rsidP="00E172C6">
      <w:pPr>
        <w:spacing w:after="180"/>
      </w:pPr>
      <w:r w:rsidRPr="008F1F02">
        <w:t xml:space="preserve">Images: </w:t>
      </w:r>
      <w:r w:rsidR="008F1F02" w:rsidRPr="008F1F02">
        <w:t>Helen Harden</w:t>
      </w:r>
    </w:p>
    <w:p w14:paraId="012A46BE" w14:textId="4DE886F1" w:rsidR="004450BD" w:rsidRDefault="008D7667" w:rsidP="00026DEC">
      <w:pPr>
        <w:spacing w:after="180"/>
        <w:rPr>
          <w:b/>
          <w:color w:val="E36C0A" w:themeColor="accent6" w:themeShade="BF"/>
          <w:sz w:val="24"/>
        </w:rPr>
      </w:pPr>
      <w:r>
        <w:rPr>
          <w:b/>
          <w:color w:val="E36C0A" w:themeColor="accent6" w:themeShade="BF"/>
          <w:sz w:val="24"/>
        </w:rPr>
        <w:t>References</w:t>
      </w:r>
      <w:bookmarkStart w:id="0" w:name="_GoBack"/>
      <w:bookmarkEnd w:id="0"/>
    </w:p>
    <w:p w14:paraId="0D0650A9" w14:textId="77777777" w:rsidR="00B3394B" w:rsidRPr="00B3394B" w:rsidRDefault="00B3394B" w:rsidP="00B3394B">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B3394B">
        <w:t xml:space="preserve">Johnson, P. (2000). Children's understanding of substances, part 1: recognizing chemical change. </w:t>
      </w:r>
      <w:r w:rsidRPr="00B3394B">
        <w:rPr>
          <w:i/>
        </w:rPr>
        <w:t>International Journal of Science Education,</w:t>
      </w:r>
      <w:r w:rsidRPr="00B3394B">
        <w:t xml:space="preserve"> 22(7)</w:t>
      </w:r>
      <w:r w:rsidRPr="00B3394B">
        <w:rPr>
          <w:b/>
        </w:rPr>
        <w:t>,</w:t>
      </w:r>
      <w:r w:rsidRPr="00B3394B">
        <w:t xml:space="preserve"> 719-737.</w:t>
      </w:r>
    </w:p>
    <w:p w14:paraId="19E1B672" w14:textId="77777777" w:rsidR="00B3394B" w:rsidRPr="00B3394B" w:rsidRDefault="00B3394B" w:rsidP="00B3394B">
      <w:pPr>
        <w:pStyle w:val="EndNoteBibliography"/>
      </w:pPr>
      <w:r w:rsidRPr="00B3394B">
        <w:t xml:space="preserve">Johnson, P. (2002). Children's understanding of substances, part 2: Explaining chemical change. </w:t>
      </w:r>
      <w:r w:rsidRPr="00B3394B">
        <w:rPr>
          <w:i/>
        </w:rPr>
        <w:t>International Journal of Science Education,</w:t>
      </w:r>
      <w:r w:rsidRPr="00B3394B">
        <w:t xml:space="preserve"> 24(10)</w:t>
      </w:r>
      <w:r w:rsidRPr="00B3394B">
        <w:rPr>
          <w:b/>
        </w:rPr>
        <w:t>,</w:t>
      </w:r>
      <w:r w:rsidRPr="00B3394B">
        <w:t xml:space="preserve"> 1037-1054.</w:t>
      </w:r>
    </w:p>
    <w:p w14:paraId="40794C60" w14:textId="2EB96844" w:rsidR="003117F6" w:rsidRPr="001C2E59" w:rsidRDefault="00B3394B"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D9A94" w14:textId="77777777" w:rsidR="00C806D7" w:rsidRDefault="00C806D7" w:rsidP="000B473B">
      <w:r>
        <w:separator/>
      </w:r>
    </w:p>
  </w:endnote>
  <w:endnote w:type="continuationSeparator" w:id="0">
    <w:p w14:paraId="2A23CDB6" w14:textId="77777777" w:rsidR="00C806D7" w:rsidRDefault="00C806D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7406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8981476" wp14:editId="2D55F20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DAD07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6C2EE32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5DCDDF75"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5E109" w14:textId="77777777" w:rsidR="00C806D7" w:rsidRDefault="00C806D7" w:rsidP="000B473B">
      <w:r>
        <w:separator/>
      </w:r>
    </w:p>
  </w:footnote>
  <w:footnote w:type="continuationSeparator" w:id="0">
    <w:p w14:paraId="2049667C" w14:textId="77777777" w:rsidR="00C806D7" w:rsidRDefault="00C806D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3B095"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D4AECAC" wp14:editId="7E6645E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495347E" wp14:editId="5B0BA3C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BA721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A514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5328D05" wp14:editId="0F58E58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06AA81C" wp14:editId="76C03739">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E33EA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F1F02"/>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450BD"/>
    <w:rsid w:val="0045323E"/>
    <w:rsid w:val="00456227"/>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8F1F02"/>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3394B"/>
    <w:rsid w:val="00B46FF9"/>
    <w:rsid w:val="00B75483"/>
    <w:rsid w:val="00BA7952"/>
    <w:rsid w:val="00BB44B4"/>
    <w:rsid w:val="00BF0BBF"/>
    <w:rsid w:val="00BF6C8A"/>
    <w:rsid w:val="00C05571"/>
    <w:rsid w:val="00C246CE"/>
    <w:rsid w:val="00C57FA2"/>
    <w:rsid w:val="00C80257"/>
    <w:rsid w:val="00C806D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DE4939"/>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DE2D7"/>
  <w15:docId w15:val="{BA35186E-9DD5-46BC-8994-F6D3938D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3394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3394B"/>
    <w:rPr>
      <w:rFonts w:ascii="Calibri" w:hAnsi="Calibri" w:cs="Calibri"/>
      <w:noProof/>
      <w:lang w:val="en-US"/>
    </w:rPr>
  </w:style>
  <w:style w:type="paragraph" w:customStyle="1" w:styleId="EndNoteBibliography">
    <w:name w:val="EndNote Bibliography"/>
    <w:basedOn w:val="Normal"/>
    <w:link w:val="EndNoteBibliographyChar"/>
    <w:rsid w:val="00B3394B"/>
    <w:rPr>
      <w:rFonts w:ascii="Calibri" w:hAnsi="Calibri" w:cs="Calibri"/>
      <w:noProof/>
      <w:lang w:val="en-US"/>
    </w:rPr>
  </w:style>
  <w:style w:type="character" w:customStyle="1" w:styleId="EndNoteBibliographyChar">
    <w:name w:val="EndNote Bibliography Char"/>
    <w:basedOn w:val="DefaultParagraphFont"/>
    <w:link w:val="EndNoteBibliography"/>
    <w:rsid w:val="00B3394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20</TotalTime>
  <Pages>3</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2</cp:revision>
  <cp:lastPrinted>2017-02-24T16:20:00Z</cp:lastPrinted>
  <dcterms:created xsi:type="dcterms:W3CDTF">2018-07-26T08:50:00Z</dcterms:created>
  <dcterms:modified xsi:type="dcterms:W3CDTF">2018-07-26T09:13:00Z</dcterms:modified>
</cp:coreProperties>
</file>