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87212" w14:textId="3D640C8C" w:rsidR="006F08C3" w:rsidRPr="006F08C3" w:rsidRDefault="00A66029" w:rsidP="006F08C3">
      <w:pPr>
        <w:pStyle w:val="CMHeading"/>
      </w:pPr>
      <w:r>
        <w:t>Drug r</w:t>
      </w:r>
      <w:r w:rsidR="006F08C3" w:rsidRPr="006F08C3">
        <w:t>eport</w:t>
      </w:r>
    </w:p>
    <w:p w14:paraId="534CE093" w14:textId="49E7AE64" w:rsidR="006F08C3" w:rsidRPr="006F08C3" w:rsidRDefault="006F08C3" w:rsidP="006F08C3">
      <w:pPr>
        <w:pStyle w:val="CMText"/>
      </w:pPr>
      <w:r w:rsidRPr="006F08C3">
        <w:t xml:space="preserve">In this report I am investigating the possible outcomes of taking Cormathzadrine and how much of the drug will be left within your body after one week. I tested </w:t>
      </w:r>
      <w:r w:rsidR="00A66029">
        <w:t>four</w:t>
      </w:r>
      <w:r w:rsidRPr="006F08C3">
        <w:t xml:space="preserve"> possibl</w:t>
      </w:r>
      <w:r w:rsidR="00A66029">
        <w:t>e scenarios and it resulted in four different</w:t>
      </w:r>
      <w:r w:rsidRPr="006F08C3">
        <w:t xml:space="preserve"> outcomes. This investigation shows you what route suits you the best.</w:t>
      </w:r>
    </w:p>
    <w:p w14:paraId="47503E8C" w14:textId="69DFA942" w:rsidR="006F08C3" w:rsidRPr="006F08C3" w:rsidRDefault="006F08C3" w:rsidP="006F08C3">
      <w:pPr>
        <w:pStyle w:val="CMText"/>
      </w:pPr>
      <w:r w:rsidRPr="006F08C3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0FF3C8BA" wp14:editId="2D2D7773">
            <wp:simplePos x="0" y="0"/>
            <wp:positionH relativeFrom="column">
              <wp:align>right</wp:align>
            </wp:positionH>
            <wp:positionV relativeFrom="page">
              <wp:posOffset>2988310</wp:posOffset>
            </wp:positionV>
            <wp:extent cx="3418205" cy="2324100"/>
            <wp:effectExtent l="0" t="0" r="0" b="0"/>
            <wp:wrapTight wrapText="bothSides">
              <wp:wrapPolygon edited="0">
                <wp:start x="0" y="0"/>
                <wp:lineTo x="0" y="21423"/>
                <wp:lineTo x="21548" y="21423"/>
                <wp:lineTo x="21548" y="0"/>
                <wp:lineTo x="0" y="0"/>
              </wp:wrapPolygon>
            </wp:wrapTight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8C3">
        <w:t>The first scen</w:t>
      </w:r>
      <w:r w:rsidR="00A66029">
        <w:t>ario and route was 1000g every four</w:t>
      </w:r>
      <w:r w:rsidRPr="006F08C3">
        <w:t xml:space="preserve"> hours with a half-life of 0.5. This was the typical scenario</w:t>
      </w:r>
      <w:r w:rsidR="00A66029">
        <w:t>,</w:t>
      </w:r>
      <w:r w:rsidRPr="006F08C3">
        <w:t xml:space="preserve"> </w:t>
      </w:r>
      <w:bookmarkStart w:id="0" w:name="_GoBack"/>
      <w:bookmarkEnd w:id="0"/>
      <w:r w:rsidRPr="006F08C3">
        <w:t>which was tested first. Each day for the whole week ended with around the same amount of drug left in the body. It starts o</w:t>
      </w:r>
      <w:r w:rsidR="00A66029">
        <w:t>f</w:t>
      </w:r>
      <w:r w:rsidRPr="006F08C3">
        <w:t xml:space="preserve">f at 332.0313 and throughout the week it stagnates at around 332.1123. As you can </w:t>
      </w:r>
      <w:r w:rsidR="00A66029">
        <w:t>see from</w:t>
      </w:r>
      <w:r w:rsidRPr="006F08C3">
        <w:t xml:space="preserve"> the bar chart it seems to be a</w:t>
      </w:r>
      <w:r w:rsidR="00A66029">
        <w:t>ll around the same mark throughout the whole week.</w:t>
      </w:r>
      <w:r w:rsidRPr="006F08C3">
        <w:t xml:space="preserve"> </w:t>
      </w:r>
      <w:r w:rsidR="00A66029">
        <w:t>I b</w:t>
      </w:r>
      <w:r w:rsidRPr="006F08C3">
        <w:t>eli</w:t>
      </w:r>
      <w:r w:rsidR="00A66029">
        <w:t>e</w:t>
      </w:r>
      <w:r w:rsidRPr="006F08C3">
        <w:t>ve that this route is very consist</w:t>
      </w:r>
      <w:r w:rsidR="00A66029">
        <w:t>e</w:t>
      </w:r>
      <w:r w:rsidRPr="006F08C3">
        <w:t>nt over the week but also rea</w:t>
      </w:r>
      <w:r w:rsidR="00A66029">
        <w:t>s</w:t>
      </w:r>
      <w:r w:rsidRPr="006F08C3">
        <w:t>onabl</w:t>
      </w:r>
      <w:r w:rsidR="00A66029">
        <w:t>y</w:t>
      </w:r>
      <w:r w:rsidRPr="006F08C3">
        <w:t xml:space="preserve"> high. I wouldn’t personally choose this option but most people will</w:t>
      </w:r>
      <w:r w:rsidR="00A66029">
        <w:t>,</w:t>
      </w:r>
      <w:r w:rsidRPr="006F08C3">
        <w:t xml:space="preserve"> due to the</w:t>
      </w:r>
      <w:r w:rsidR="00A66029">
        <w:t>ir</w:t>
      </w:r>
      <w:r w:rsidR="00F21248">
        <w:t xml:space="preserve"> meta</w:t>
      </w:r>
      <w:r w:rsidRPr="006F08C3">
        <w:t>bolic rate.</w:t>
      </w:r>
    </w:p>
    <w:p w14:paraId="6C7C4950" w14:textId="5D5E9BAA" w:rsidR="006F08C3" w:rsidRPr="006F08C3" w:rsidRDefault="006F08C3" w:rsidP="006F08C3">
      <w:pPr>
        <w:pStyle w:val="CMText"/>
      </w:pPr>
      <w:r w:rsidRPr="006F08C3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5D9821D" wp14:editId="4B2F9015">
            <wp:simplePos x="0" y="0"/>
            <wp:positionH relativeFrom="column">
              <wp:align>right</wp:align>
            </wp:positionH>
            <wp:positionV relativeFrom="page">
              <wp:posOffset>6030595</wp:posOffset>
            </wp:positionV>
            <wp:extent cx="3419475" cy="2397760"/>
            <wp:effectExtent l="0" t="0" r="0" b="0"/>
            <wp:wrapSquare wrapText="bothSides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8C3">
        <w:t xml:space="preserve">The </w:t>
      </w:r>
      <w:r w:rsidR="00A66029">
        <w:t>s</w:t>
      </w:r>
      <w:r w:rsidRPr="006F08C3">
        <w:t xml:space="preserve">econd scenario is 1000g every </w:t>
      </w:r>
      <w:r w:rsidR="00A66029">
        <w:t>four hours but with a half-</w:t>
      </w:r>
      <w:r w:rsidRPr="006F08C3">
        <w:t xml:space="preserve">life of 0.75. </w:t>
      </w:r>
      <w:r w:rsidR="00A66029">
        <w:t>T</w:t>
      </w:r>
      <w:r w:rsidRPr="006F08C3">
        <w:t xml:space="preserve">his means that the drug dies down </w:t>
      </w:r>
      <w:r w:rsidR="00A66029">
        <w:t>more and more slowly,</w:t>
      </w:r>
      <w:r w:rsidRPr="006F08C3">
        <w:t xml:space="preserve"> therefore leaving more drug within your body every day. This route was </w:t>
      </w:r>
      <w:r w:rsidR="00A66029">
        <w:t>very</w:t>
      </w:r>
      <w:r w:rsidRPr="006F08C3">
        <w:t xml:space="preserve"> different </w:t>
      </w:r>
      <w:r w:rsidR="00A66029">
        <w:t>from</w:t>
      </w:r>
      <w:r w:rsidRPr="006F08C3">
        <w:t xml:space="preserve"> the first route. This is because the 0.75 half</w:t>
      </w:r>
      <w:r w:rsidR="00A66029">
        <w:t>-</w:t>
      </w:r>
      <w:r w:rsidRPr="006F08C3">
        <w:t>life made the amount of drug left</w:t>
      </w:r>
      <w:r w:rsidR="00A66029">
        <w:t xml:space="preserve"> over in the</w:t>
      </w:r>
      <w:r w:rsidRPr="006F08C3">
        <w:t xml:space="preserve"> body very high. The first day after 24 hours </w:t>
      </w:r>
      <w:r w:rsidR="00A66029">
        <w:t>the amount of drug left within the</w:t>
      </w:r>
      <w:r w:rsidRPr="006F08C3">
        <w:t xml:space="preserve"> body is 1156.997681. This is just over 800g </w:t>
      </w:r>
      <w:r w:rsidR="00A66029">
        <w:t>more than route 1.</w:t>
      </w:r>
      <w:r w:rsidRPr="006F08C3">
        <w:t xml:space="preserve"> Throughout the week t</w:t>
      </w:r>
      <w:r w:rsidR="00A66029">
        <w:t xml:space="preserve">he amount increases a lot. </w:t>
      </w:r>
      <w:r w:rsidRPr="006F08C3">
        <w:t>Once again</w:t>
      </w:r>
      <w:r w:rsidR="00A66029">
        <w:t>,</w:t>
      </w:r>
      <w:r w:rsidRPr="006F08C3">
        <w:t xml:space="preserve"> as the table shows</w:t>
      </w:r>
      <w:r w:rsidR="00A66029">
        <w:t>,</w:t>
      </w:r>
      <w:r w:rsidRPr="006F08C3">
        <w:t xml:space="preserve"> you can see how it stagnates after one day. This is a good route for people </w:t>
      </w:r>
      <w:r w:rsidR="00A66029">
        <w:t>who</w:t>
      </w:r>
      <w:r w:rsidRPr="006F08C3">
        <w:t xml:space="preserve"> have a high metabolic rate. </w:t>
      </w:r>
    </w:p>
    <w:p w14:paraId="486DB109" w14:textId="77777777" w:rsidR="006F08C3" w:rsidRDefault="006F08C3" w:rsidP="006F08C3">
      <w:pPr>
        <w:pStyle w:val="CMText"/>
      </w:pPr>
    </w:p>
    <w:p w14:paraId="332D904B" w14:textId="77777777" w:rsidR="006F08C3" w:rsidRDefault="006F08C3" w:rsidP="006F08C3">
      <w:pPr>
        <w:pStyle w:val="CMText"/>
      </w:pPr>
    </w:p>
    <w:p w14:paraId="760567E8" w14:textId="77777777" w:rsidR="006F08C3" w:rsidRDefault="006F08C3" w:rsidP="006F08C3">
      <w:pPr>
        <w:pStyle w:val="CMText"/>
      </w:pPr>
    </w:p>
    <w:p w14:paraId="43DCE9DF" w14:textId="5DD9A06F" w:rsidR="006F08C3" w:rsidRPr="006F08C3" w:rsidRDefault="00A66029" w:rsidP="006F08C3">
      <w:pPr>
        <w:pStyle w:val="CMText"/>
      </w:pPr>
      <w:r>
        <w:lastRenderedPageBreak/>
        <w:t>The t</w:t>
      </w:r>
      <w:r w:rsidR="006F08C3" w:rsidRPr="006F08C3">
        <w:t>hird scenario is the same as the first scenario with the 0.5 half-life but you t</w:t>
      </w:r>
      <w:r>
        <w:t>ake a 1000g dose every two</w:t>
      </w:r>
      <w:r w:rsidR="006F08C3" w:rsidRPr="006F08C3">
        <w:t xml:space="preserve"> hours instead of </w:t>
      </w:r>
      <w:r>
        <w:t>four</w:t>
      </w:r>
      <w:r w:rsidR="006F08C3" w:rsidRPr="006F08C3">
        <w:t xml:space="preserve"> hours. This will </w:t>
      </w:r>
      <w:r>
        <w:t>show</w:t>
      </w:r>
      <w:r w:rsidR="006F08C3" w:rsidRPr="006F08C3">
        <w:t xml:space="preserve"> if the time period has any part to play within the route. The overall conclusion is that it plays a major part in the route. As you can see</w:t>
      </w:r>
      <w:r>
        <w:t>,</w:t>
      </w:r>
      <w:r w:rsidR="006F08C3" w:rsidRPr="006F08C3">
        <w:t xml:space="preserve"> it decreases by 250g</w:t>
      </w:r>
      <w:r>
        <w:t xml:space="preserve"> –</w:t>
      </w:r>
      <w:r w:rsidR="006F08C3" w:rsidRPr="006F08C3">
        <w:t xml:space="preserve"> that’s major</w:t>
      </w:r>
      <w:r>
        <w:t>, alth</w:t>
      </w:r>
      <w:r w:rsidR="006F08C3" w:rsidRPr="006F08C3">
        <w:t>ough i</w:t>
      </w:r>
      <w:r w:rsidR="006F08C3">
        <w:t>t was just over 300g in the firs</w:t>
      </w:r>
      <w:r w:rsidR="006F08C3" w:rsidRPr="006F08C3">
        <w:t>t route. The first day it starts at 58.59375</w:t>
      </w:r>
      <w:r>
        <w:t>,</w:t>
      </w:r>
      <w:r w:rsidR="006F08C3" w:rsidRPr="006F08C3">
        <w:t xml:space="preserve"> then it just stays round th</w:t>
      </w:r>
      <w:r>
        <w:t>e 58g mark. This is good for</w:t>
      </w:r>
      <w:r w:rsidR="006F08C3" w:rsidRPr="006F08C3">
        <w:t xml:space="preserve"> p</w:t>
      </w:r>
      <w:r>
        <w:t>eople with low metabolic rates.</w:t>
      </w:r>
    </w:p>
    <w:p w14:paraId="0D04E5E2" w14:textId="5D68C7FB" w:rsidR="006F08C3" w:rsidRPr="006F08C3" w:rsidRDefault="006F08C3" w:rsidP="006F08C3">
      <w:pPr>
        <w:pStyle w:val="CMText"/>
      </w:pPr>
      <w:r>
        <w:br/>
      </w:r>
      <w:r w:rsidRPr="006F08C3">
        <w:t>Th</w:t>
      </w:r>
      <w:r w:rsidR="00A66029">
        <w:t>e final scenario is 1000g over two</w:t>
      </w:r>
      <w:r w:rsidRPr="006F08C3">
        <w:t xml:space="preserve"> hours and a half-life of 0.75.</w:t>
      </w:r>
      <w:r w:rsidR="00A66029">
        <w:t xml:space="preserve"> L</w:t>
      </w:r>
      <w:r w:rsidRPr="006F08C3">
        <w:t xml:space="preserve">ike the second route it </w:t>
      </w:r>
      <w:r w:rsidR="00A66029">
        <w:t>h</w:t>
      </w:r>
      <w:r w:rsidRPr="006F08C3">
        <w:t>as the same half-life but different time periods. This route is to help the pe</w:t>
      </w:r>
      <w:r w:rsidR="00A66029">
        <w:t>ople with high metabolic rates over</w:t>
      </w:r>
      <w:r w:rsidRPr="006F08C3">
        <w:t xml:space="preserve"> short times. This graph and route is different to every other route. This is because the original day starts at 730g </w:t>
      </w:r>
      <w:r w:rsidR="00A66029">
        <w:t>but then</w:t>
      </w:r>
      <w:r w:rsidRPr="006F08C3">
        <w:t xml:space="preserve"> decreas</w:t>
      </w:r>
      <w:r w:rsidR="00A66029">
        <w:t>es by 50g. N</w:t>
      </w:r>
      <w:r w:rsidRPr="006F08C3">
        <w:t>ormally it should increase after the first day</w:t>
      </w:r>
      <w:r w:rsidR="00A66029">
        <w:t>,</w:t>
      </w:r>
      <w:r w:rsidRPr="006F08C3">
        <w:t xml:space="preserve"> due to the excess drug from the first day.</w:t>
      </w:r>
    </w:p>
    <w:p w14:paraId="60BC0844" w14:textId="61409DFB" w:rsidR="004F1DA8" w:rsidRPr="006F08C3" w:rsidRDefault="006F08C3" w:rsidP="006F08C3">
      <w:pPr>
        <w:pStyle w:val="CMText"/>
      </w:pPr>
      <w:r w:rsidRPr="006F08C3"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55A4B1C8" wp14:editId="446D38EB">
            <wp:simplePos x="0" y="0"/>
            <wp:positionH relativeFrom="column">
              <wp:align>right</wp:align>
            </wp:positionH>
            <wp:positionV relativeFrom="page">
              <wp:posOffset>1548130</wp:posOffset>
            </wp:positionV>
            <wp:extent cx="3419475" cy="2562225"/>
            <wp:effectExtent l="0" t="0" r="0" b="0"/>
            <wp:wrapTight wrapText="bothSides">
              <wp:wrapPolygon edited="0">
                <wp:start x="0" y="0"/>
                <wp:lineTo x="0" y="21520"/>
                <wp:lineTo x="21540" y="21520"/>
                <wp:lineTo x="21540" y="0"/>
                <wp:lineTo x="0" y="0"/>
              </wp:wrapPolygon>
            </wp:wrapTight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8C3"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3C45B53C" wp14:editId="2E5B4D8A">
            <wp:simplePos x="0" y="0"/>
            <wp:positionH relativeFrom="column">
              <wp:align>right</wp:align>
            </wp:positionH>
            <wp:positionV relativeFrom="page">
              <wp:posOffset>4500880</wp:posOffset>
            </wp:positionV>
            <wp:extent cx="3419475" cy="2743200"/>
            <wp:effectExtent l="0" t="0" r="0" b="0"/>
            <wp:wrapTight wrapText="bothSides">
              <wp:wrapPolygon edited="0">
                <wp:start x="0" y="0"/>
                <wp:lineTo x="0" y="21450"/>
                <wp:lineTo x="21540" y="21450"/>
                <wp:lineTo x="21540" y="0"/>
                <wp:lineTo x="0" y="0"/>
              </wp:wrapPolygon>
            </wp:wrapTight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1DA8" w:rsidRPr="006F08C3" w:rsidSect="00792A14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55BCF" w14:textId="77777777" w:rsidR="00420532" w:rsidRDefault="00420532" w:rsidP="00204C5E">
      <w:r>
        <w:separator/>
      </w:r>
    </w:p>
  </w:endnote>
  <w:endnote w:type="continuationSeparator" w:id="0">
    <w:p w14:paraId="3A961E45" w14:textId="77777777" w:rsidR="00420532" w:rsidRDefault="00420532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5E131B42" w:rsidR="005C1873" w:rsidRPr="00AF669C" w:rsidRDefault="00420532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 w14:anchorId="442C2AC8"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F21248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F21248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5C1873" w:rsidRDefault="005C18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5C1873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77EFD40B" w:rsidR="005C1873" w:rsidRDefault="00420532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val="en-US"/>
          </w:rPr>
          <w:pict w14:anchorId="713ED284"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14:paraId="2E60859C" w14:textId="7609FB05" w:rsidR="005C1873" w:rsidRPr="00AF669C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F21248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F21248">
          <w:rPr>
            <w:rFonts w:ascii="Arial" w:hAnsi="Arial"/>
            <w:b/>
            <w:noProof/>
            <w:color w:val="38B4B4"/>
            <w:sz w:val="16"/>
            <w:szCs w:val="16"/>
          </w:rPr>
          <w:t>2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5C1873" w:rsidRDefault="005C1873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3D04E" w14:textId="77777777" w:rsidR="00420532" w:rsidRDefault="00420532" w:rsidP="00204C5E">
      <w:r>
        <w:separator/>
      </w:r>
    </w:p>
  </w:footnote>
  <w:footnote w:type="continuationSeparator" w:id="0">
    <w:p w14:paraId="32FCF043" w14:textId="77777777" w:rsidR="00420532" w:rsidRDefault="00420532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77777777" w:rsidR="005C1873" w:rsidRDefault="00420532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val="en-US"/>
      </w:rPr>
      <w:pict w14:anchorId="158981C0"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8" name="Picture 8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187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4DFBF53B" w:rsidR="005C1873" w:rsidRDefault="00420532">
    <w:pPr>
      <w:pStyle w:val="Header"/>
    </w:pPr>
    <w:r>
      <w:rPr>
        <w:noProof/>
        <w:lang w:val="en-US"/>
      </w:rPr>
      <w:pict w14:anchorId="6D7221AE"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724D02AD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151890" cy="51625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1873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10" name="Picture 10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5C1873" w:rsidRDefault="005C1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E4A8E"/>
    <w:multiLevelType w:val="hybridMultilevel"/>
    <w:tmpl w:val="ED9E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51A8"/>
    <w:multiLevelType w:val="hybridMultilevel"/>
    <w:tmpl w:val="BD46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65E37"/>
    <w:multiLevelType w:val="hybridMultilevel"/>
    <w:tmpl w:val="5E429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674161"/>
    <w:multiLevelType w:val="hybridMultilevel"/>
    <w:tmpl w:val="BE1CD526"/>
    <w:lvl w:ilvl="0" w:tplc="9AA6548E">
      <w:start w:val="1"/>
      <w:numFmt w:val="bullet"/>
      <w:lvlText w:val="•"/>
      <w:lvlJc w:val="left"/>
      <w:pPr>
        <w:ind w:left="340" w:hanging="227"/>
      </w:pPr>
      <w:rPr>
        <w:rFonts w:ascii="Verdana" w:hAnsi="Verdana"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860BD"/>
    <w:multiLevelType w:val="hybridMultilevel"/>
    <w:tmpl w:val="F386E1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E1363F"/>
    <w:multiLevelType w:val="hybridMultilevel"/>
    <w:tmpl w:val="83086B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239C5"/>
    <w:rsid w:val="000075D1"/>
    <w:rsid w:val="00077C21"/>
    <w:rsid w:val="000941F1"/>
    <w:rsid w:val="000D7DD9"/>
    <w:rsid w:val="001E5B64"/>
    <w:rsid w:val="00204C5E"/>
    <w:rsid w:val="00223DD2"/>
    <w:rsid w:val="002406E9"/>
    <w:rsid w:val="002879E7"/>
    <w:rsid w:val="002B5550"/>
    <w:rsid w:val="00303719"/>
    <w:rsid w:val="003B04CC"/>
    <w:rsid w:val="00420532"/>
    <w:rsid w:val="00461925"/>
    <w:rsid w:val="004E2A91"/>
    <w:rsid w:val="004E6A4B"/>
    <w:rsid w:val="004F1DA8"/>
    <w:rsid w:val="004F67A5"/>
    <w:rsid w:val="0051792B"/>
    <w:rsid w:val="0052286F"/>
    <w:rsid w:val="00523E9B"/>
    <w:rsid w:val="00540381"/>
    <w:rsid w:val="00543C5D"/>
    <w:rsid w:val="0055053F"/>
    <w:rsid w:val="005646D3"/>
    <w:rsid w:val="00571BF6"/>
    <w:rsid w:val="00582BF6"/>
    <w:rsid w:val="005C1873"/>
    <w:rsid w:val="0060746A"/>
    <w:rsid w:val="00680A69"/>
    <w:rsid w:val="00683893"/>
    <w:rsid w:val="00687A1B"/>
    <w:rsid w:val="006B6DF8"/>
    <w:rsid w:val="006F08C3"/>
    <w:rsid w:val="00702B2C"/>
    <w:rsid w:val="00705029"/>
    <w:rsid w:val="007640C2"/>
    <w:rsid w:val="00792A14"/>
    <w:rsid w:val="00811DB2"/>
    <w:rsid w:val="00865881"/>
    <w:rsid w:val="008D5301"/>
    <w:rsid w:val="008E29A3"/>
    <w:rsid w:val="0091131D"/>
    <w:rsid w:val="009236A2"/>
    <w:rsid w:val="00976C7A"/>
    <w:rsid w:val="009A2BC1"/>
    <w:rsid w:val="009E53CB"/>
    <w:rsid w:val="00A03A06"/>
    <w:rsid w:val="00A66029"/>
    <w:rsid w:val="00AA75E2"/>
    <w:rsid w:val="00AF669C"/>
    <w:rsid w:val="00B76F41"/>
    <w:rsid w:val="00BD1F89"/>
    <w:rsid w:val="00BE56A0"/>
    <w:rsid w:val="00C239C5"/>
    <w:rsid w:val="00C44C8A"/>
    <w:rsid w:val="00C57EA4"/>
    <w:rsid w:val="00C81164"/>
    <w:rsid w:val="00C93D0B"/>
    <w:rsid w:val="00CB3A2E"/>
    <w:rsid w:val="00CB691C"/>
    <w:rsid w:val="00D00619"/>
    <w:rsid w:val="00D21C97"/>
    <w:rsid w:val="00DC5CC1"/>
    <w:rsid w:val="00DD1CA0"/>
    <w:rsid w:val="00DE3091"/>
    <w:rsid w:val="00E03EB1"/>
    <w:rsid w:val="00E56F8F"/>
    <w:rsid w:val="00E578A5"/>
    <w:rsid w:val="00EF0BF6"/>
    <w:rsid w:val="00F212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81E3F8AA-0E20-4D5B-BDDE-1D29A1E4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705029"/>
    <w:pPr>
      <w:suppressAutoHyphens/>
      <w:spacing w:after="120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571BF6"/>
    <w:pPr>
      <w:spacing w:after="24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6F08C3"/>
    <w:pPr>
      <w:spacing w:after="24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ths\Desktop\Core%20Maths\Drug%20research%20(Autosaved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ths\Desktop\Core%20Maths\Drug%20research%20(Autosaved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ths\Desktop\Core%20Maths\Drug%20research%20(Autosaved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ths\Desktop\Core%20Maths\Drug%20research%20(Autosaved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Amount of drug in body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9965786136291"/>
          <c:y val="0.249180327868852"/>
          <c:w val="0.52268690730953804"/>
          <c:h val="0.6123867303472310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Sheet1!$D$24</c:f>
              <c:strCache>
                <c:ptCount val="1"/>
                <c:pt idx="0">
                  <c:v>Amount of Drug in Body</c:v>
                </c:pt>
              </c:strCache>
            </c:strRef>
          </c:tx>
          <c:spPr>
            <a:solidFill>
              <a:schemeClr val="accent6"/>
            </a:solidFill>
          </c:spPr>
          <c:invertIfNegative val="0"/>
          <c:val>
            <c:numRef>
              <c:f>Sheet1!$D$25:$D$31</c:f>
              <c:numCache>
                <c:formatCode>General</c:formatCode>
                <c:ptCount val="7"/>
                <c:pt idx="0">
                  <c:v>332.03124999999972</c:v>
                </c:pt>
                <c:pt idx="1">
                  <c:v>332.11231229999999</c:v>
                </c:pt>
                <c:pt idx="2">
                  <c:v>332.1123321</c:v>
                </c:pt>
                <c:pt idx="3">
                  <c:v>332.1123321</c:v>
                </c:pt>
                <c:pt idx="4">
                  <c:v>332.1123321</c:v>
                </c:pt>
                <c:pt idx="5">
                  <c:v>332.1123321</c:v>
                </c:pt>
                <c:pt idx="6">
                  <c:v>332.1123321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7600360"/>
        <c:axId val="327598792"/>
        <c:axId val="0"/>
      </c:bar3DChart>
      <c:catAx>
        <c:axId val="327600360"/>
        <c:scaling>
          <c:orientation val="minMax"/>
        </c:scaling>
        <c:delete val="0"/>
        <c:axPos val="b"/>
        <c:majorTickMark val="out"/>
        <c:minorTickMark val="none"/>
        <c:tickLblPos val="nextTo"/>
        <c:crossAx val="327598792"/>
        <c:crosses val="autoZero"/>
        <c:auto val="1"/>
        <c:lblAlgn val="ctr"/>
        <c:lblOffset val="100"/>
        <c:noMultiLvlLbl val="0"/>
      </c:catAx>
      <c:valAx>
        <c:axId val="327598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76003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308420647679105"/>
          <c:y val="0.50381050729314603"/>
          <c:w val="0.25467307965814601"/>
          <c:h val="0.2197013897852932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Arial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Amount of drug in body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1782876026291"/>
          <c:y val="0.229433962264151"/>
          <c:w val="0.55422952353796995"/>
          <c:h val="0.643103253602733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Sheet1!$D$24</c:f>
              <c:strCache>
                <c:ptCount val="1"/>
                <c:pt idx="0">
                  <c:v>Amount of Drug in Body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val>
            <c:numRef>
              <c:f>Sheet1!$D$25:$D$31</c:f>
              <c:numCache>
                <c:formatCode>General</c:formatCode>
                <c:ptCount val="7"/>
                <c:pt idx="0">
                  <c:v>1156.9976810000001</c:v>
                </c:pt>
                <c:pt idx="1">
                  <c:v>1193.647146</c:v>
                </c:pt>
                <c:pt idx="2">
                  <c:v>1194.808068</c:v>
                </c:pt>
                <c:pt idx="3">
                  <c:v>1194.844842</c:v>
                </c:pt>
                <c:pt idx="4">
                  <c:v>1194.846006</c:v>
                </c:pt>
                <c:pt idx="5">
                  <c:v>1194.846043</c:v>
                </c:pt>
                <c:pt idx="6">
                  <c:v>1194.846045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7592912"/>
        <c:axId val="327597616"/>
        <c:axId val="0"/>
      </c:bar3DChart>
      <c:catAx>
        <c:axId val="327592912"/>
        <c:scaling>
          <c:orientation val="minMax"/>
        </c:scaling>
        <c:delete val="0"/>
        <c:axPos val="b"/>
        <c:majorTickMark val="out"/>
        <c:minorTickMark val="none"/>
        <c:tickLblPos val="nextTo"/>
        <c:crossAx val="327597616"/>
        <c:crosses val="autoZero"/>
        <c:auto val="1"/>
        <c:lblAlgn val="ctr"/>
        <c:lblOffset val="100"/>
        <c:noMultiLvlLbl val="0"/>
      </c:catAx>
      <c:valAx>
        <c:axId val="327597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75929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229837913714798"/>
          <c:y val="0.50350834447580795"/>
          <c:w val="0.270561416591728"/>
          <c:h val="0.202291090972119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Arial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Amount of drug in body</a:t>
            </a:r>
          </a:p>
        </c:rich>
      </c:tx>
      <c:layout>
        <c:manualLayout>
          <c:xMode val="edge"/>
          <c:yMode val="edge"/>
          <c:x val="0.10637890319420379"/>
          <c:y val="4.9566294919454773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9964395119134"/>
          <c:y val="0.22602230483271399"/>
          <c:w val="0.55204614743491298"/>
          <c:h val="0.648410268419050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Sheet1!$D$24</c:f>
              <c:strCache>
                <c:ptCount val="1"/>
                <c:pt idx="0">
                  <c:v>Amount of Drug in Body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val>
            <c:numRef>
              <c:f>Sheet1!$D$25:$D$31</c:f>
              <c:numCache>
                <c:formatCode>General</c:formatCode>
                <c:ptCount val="7"/>
                <c:pt idx="0">
                  <c:v>58.59375</c:v>
                </c:pt>
                <c:pt idx="1">
                  <c:v>58.608055110000002</c:v>
                </c:pt>
                <c:pt idx="2">
                  <c:v>58.60805861</c:v>
                </c:pt>
                <c:pt idx="3">
                  <c:v>58.60805861</c:v>
                </c:pt>
                <c:pt idx="4">
                  <c:v>58.60805861</c:v>
                </c:pt>
                <c:pt idx="5">
                  <c:v>58.60805861</c:v>
                </c:pt>
                <c:pt idx="6">
                  <c:v>58.60805861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7593696"/>
        <c:axId val="327282128"/>
        <c:axId val="0"/>
      </c:bar3DChart>
      <c:catAx>
        <c:axId val="327593696"/>
        <c:scaling>
          <c:orientation val="minMax"/>
        </c:scaling>
        <c:delete val="0"/>
        <c:axPos val="b"/>
        <c:majorTickMark val="out"/>
        <c:minorTickMark val="none"/>
        <c:tickLblPos val="nextTo"/>
        <c:crossAx val="327282128"/>
        <c:crosses val="autoZero"/>
        <c:auto val="1"/>
        <c:lblAlgn val="ctr"/>
        <c:lblOffset val="100"/>
        <c:noMultiLvlLbl val="0"/>
      </c:catAx>
      <c:valAx>
        <c:axId val="327282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75936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086848127270996"/>
          <c:y val="0.50345617578471802"/>
          <c:w val="0.25199131445616602"/>
          <c:h val="0.18936978602581739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Arial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Amount of drug in body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1217730792008"/>
          <c:y val="0.211111111111111"/>
          <c:w val="0.59336477090781503"/>
          <c:h val="0.671605424321960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Sheet1!$D$24</c:f>
              <c:strCache>
                <c:ptCount val="1"/>
                <c:pt idx="0">
                  <c:v>Amount of Drug in Body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val>
            <c:numRef>
              <c:f>Sheet1!$D$25:$D$31</c:f>
              <c:numCache>
                <c:formatCode>General</c:formatCode>
                <c:ptCount val="7"/>
                <c:pt idx="0">
                  <c:v>727.98156739999945</c:v>
                </c:pt>
                <c:pt idx="1">
                  <c:v>671.93980529999999</c:v>
                </c:pt>
                <c:pt idx="2">
                  <c:v>670.16460669999947</c:v>
                </c:pt>
                <c:pt idx="3">
                  <c:v>670.10837489999994</c:v>
                </c:pt>
                <c:pt idx="4">
                  <c:v>670.10659369999996</c:v>
                </c:pt>
                <c:pt idx="5" formatCode="#,##0.0000000">
                  <c:v>670.10653720000005</c:v>
                </c:pt>
                <c:pt idx="6">
                  <c:v>670.10653539999998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7282912"/>
        <c:axId val="327283696"/>
        <c:axId val="0"/>
      </c:bar3DChart>
      <c:catAx>
        <c:axId val="327282912"/>
        <c:scaling>
          <c:orientation val="minMax"/>
        </c:scaling>
        <c:delete val="0"/>
        <c:axPos val="b"/>
        <c:majorTickMark val="out"/>
        <c:minorTickMark val="none"/>
        <c:tickLblPos val="nextTo"/>
        <c:crossAx val="327283696"/>
        <c:crosses val="autoZero"/>
        <c:auto val="1"/>
        <c:lblAlgn val="ctr"/>
        <c:lblOffset val="100"/>
        <c:noMultiLvlLbl val="0"/>
      </c:catAx>
      <c:valAx>
        <c:axId val="3272836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72829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972641999137297"/>
          <c:y val="0.50322834645669301"/>
          <c:w val="0.27798945744595299"/>
          <c:h val="0.14446923301254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D1A1D6-D5CB-438F-BAC9-E493B81C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18</cp:revision>
  <cp:lastPrinted>2014-09-09T16:00:00Z</cp:lastPrinted>
  <dcterms:created xsi:type="dcterms:W3CDTF">2014-09-11T13:30:00Z</dcterms:created>
  <dcterms:modified xsi:type="dcterms:W3CDTF">2015-04-02T14:02:00Z</dcterms:modified>
</cp:coreProperties>
</file>