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B6B07A" w14:textId="6E3D7F63" w:rsidR="00755D62" w:rsidRPr="001430C0" w:rsidRDefault="00CC26E1" w:rsidP="00755D62">
      <w:pPr>
        <w:spacing w:after="180"/>
        <w:rPr>
          <w:rFonts w:ascii="Century Gothic" w:hAnsi="Century Gothic"/>
          <w:b/>
          <w:sz w:val="44"/>
          <w:szCs w:val="44"/>
        </w:rPr>
      </w:pPr>
      <w:r w:rsidRPr="001430C0">
        <w:rPr>
          <w:rFonts w:ascii="Century Gothic" w:hAnsi="Century Gothic"/>
          <w:b/>
          <w:sz w:val="44"/>
          <w:szCs w:val="44"/>
        </w:rPr>
        <w:t>Vase</w:t>
      </w:r>
    </w:p>
    <w:p w14:paraId="559CEB7F" w14:textId="0EEF39BA" w:rsidR="00755D62" w:rsidRPr="001430C0" w:rsidRDefault="00B365FF" w:rsidP="00755D62">
      <w:pPr>
        <w:spacing w:after="180"/>
        <w:rPr>
          <w:rFonts w:ascii="Century Gothic" w:hAnsi="Century Gothic"/>
          <w:sz w:val="28"/>
          <w:szCs w:val="28"/>
        </w:rPr>
      </w:pPr>
      <w:r w:rsidRPr="00B365FF">
        <w:rPr>
          <w:rFonts w:ascii="Century Gothic" w:hAnsi="Century Gothic"/>
          <w:noProof/>
          <w:sz w:val="28"/>
          <w:szCs w:val="28"/>
          <w:lang w:eastAsia="en-GB"/>
        </w:rPr>
        <w:drawing>
          <wp:anchor distT="0" distB="0" distL="114300" distR="114300" simplePos="0" relativeHeight="251658240" behindDoc="0" locked="0" layoutInCell="1" allowOverlap="1" wp14:anchorId="0AE104AE" wp14:editId="5ED3768D">
            <wp:simplePos x="0" y="0"/>
            <wp:positionH relativeFrom="margin">
              <wp:posOffset>3945890</wp:posOffset>
            </wp:positionH>
            <wp:positionV relativeFrom="paragraph">
              <wp:posOffset>337185</wp:posOffset>
            </wp:positionV>
            <wp:extent cx="1706880" cy="2790825"/>
            <wp:effectExtent l="0" t="0" r="7620" b="9525"/>
            <wp:wrapSquare wrapText="bothSides"/>
            <wp:docPr id="2" name="Picture 2" descr="A blue vase&#10;&#10;Description automatically generated">
              <a:extLst xmlns:a="http://schemas.openxmlformats.org/drawingml/2006/main">
                <a:ext uri="{FF2B5EF4-FFF2-40B4-BE49-F238E27FC236}">
                  <a16:creationId xmlns:a16="http://schemas.microsoft.com/office/drawing/2014/main" id="{7FF8B728-6191-4391-B1E9-1E6D072FA69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blue vase&#10;&#10;Description automatically generated">
                      <a:extLst>
                        <a:ext uri="{FF2B5EF4-FFF2-40B4-BE49-F238E27FC236}">
                          <a16:creationId xmlns:a16="http://schemas.microsoft.com/office/drawing/2014/main" id="{7FF8B728-6191-4391-B1E9-1E6D072FA69A}"/>
                        </a:ext>
                      </a:extLst>
                    </pic:cNvPr>
                    <pic:cNvPicPr>
                      <a:picLocks noChangeAspect="1"/>
                    </pic:cNvPicPr>
                  </pic:nvPicPr>
                  <pic:blipFill rotWithShape="1">
                    <a:blip r:embed="rId7" cstate="print">
                      <a:extLst>
                        <a:ext uri="{28A0092B-C50C-407E-A947-70E740481C1C}">
                          <a14:useLocalDpi xmlns:a14="http://schemas.microsoft.com/office/drawing/2010/main" val="0"/>
                        </a:ext>
                      </a:extLst>
                    </a:blip>
                    <a:srcRect l="-489" t="4544" r="489" b="568"/>
                    <a:stretch/>
                  </pic:blipFill>
                  <pic:spPr bwMode="auto">
                    <a:xfrm>
                      <a:off x="0" y="0"/>
                      <a:ext cx="1706880" cy="27908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FC5FB65" w14:textId="1C589F98" w:rsidR="001430C0" w:rsidRPr="00B365FF" w:rsidRDefault="00462904" w:rsidP="00755D62">
      <w:pPr>
        <w:spacing w:after="180"/>
        <w:rPr>
          <w:rFonts w:ascii="Century Gothic" w:hAnsi="Century Gothic"/>
          <w:sz w:val="28"/>
          <w:szCs w:val="28"/>
        </w:rPr>
      </w:pPr>
      <w:r w:rsidRPr="00B365FF">
        <w:rPr>
          <w:rFonts w:ascii="Century Gothic" w:hAnsi="Century Gothic"/>
          <w:sz w:val="28"/>
          <w:szCs w:val="28"/>
        </w:rPr>
        <w:t>A vase</w:t>
      </w:r>
      <w:r w:rsidR="001430C0" w:rsidRPr="00B365FF">
        <w:rPr>
          <w:rFonts w:ascii="Century Gothic" w:hAnsi="Century Gothic"/>
          <w:sz w:val="28"/>
          <w:szCs w:val="28"/>
        </w:rPr>
        <w:t xml:space="preserve"> can be made</w:t>
      </w:r>
      <w:r w:rsidR="007A1E64" w:rsidRPr="00B365FF">
        <w:rPr>
          <w:rFonts w:ascii="Century Gothic" w:hAnsi="Century Gothic"/>
          <w:sz w:val="28"/>
          <w:szCs w:val="28"/>
        </w:rPr>
        <w:t xml:space="preserve"> of</w:t>
      </w:r>
      <w:r w:rsidR="001430C0" w:rsidRPr="00B365FF">
        <w:rPr>
          <w:rFonts w:ascii="Century Gothic" w:hAnsi="Century Gothic"/>
          <w:sz w:val="28"/>
          <w:szCs w:val="28"/>
        </w:rPr>
        <w:t xml:space="preserve"> glass or materials known as ceramics.</w:t>
      </w:r>
    </w:p>
    <w:p w14:paraId="68634B0D" w14:textId="77777777" w:rsidR="00B365FF" w:rsidRPr="00B365FF" w:rsidRDefault="00CC26E1" w:rsidP="00755D62">
      <w:pPr>
        <w:spacing w:after="180"/>
        <w:rPr>
          <w:rFonts w:ascii="Century Gothic" w:hAnsi="Century Gothic"/>
          <w:sz w:val="28"/>
          <w:szCs w:val="28"/>
        </w:rPr>
      </w:pPr>
      <w:r w:rsidRPr="00B365FF">
        <w:rPr>
          <w:rFonts w:ascii="Century Gothic" w:hAnsi="Century Gothic"/>
          <w:sz w:val="28"/>
          <w:szCs w:val="28"/>
        </w:rPr>
        <w:t>Look at the vase in the photograph.</w:t>
      </w:r>
      <w:r w:rsidR="001430C0" w:rsidRPr="00B365FF">
        <w:rPr>
          <w:rFonts w:ascii="Century Gothic" w:hAnsi="Century Gothic"/>
          <w:sz w:val="28"/>
          <w:szCs w:val="28"/>
        </w:rPr>
        <w:t xml:space="preserve"> </w:t>
      </w:r>
    </w:p>
    <w:p w14:paraId="0003434E" w14:textId="77468B84" w:rsidR="00755D62" w:rsidRPr="00B365FF" w:rsidRDefault="001430C0" w:rsidP="00755D62">
      <w:pPr>
        <w:spacing w:after="180"/>
        <w:rPr>
          <w:rFonts w:ascii="Century Gothic" w:hAnsi="Century Gothic"/>
          <w:sz w:val="28"/>
          <w:szCs w:val="28"/>
        </w:rPr>
      </w:pPr>
      <w:r w:rsidRPr="00B365FF">
        <w:rPr>
          <w:rFonts w:ascii="Century Gothic" w:hAnsi="Century Gothic"/>
          <w:sz w:val="28"/>
          <w:szCs w:val="28"/>
        </w:rPr>
        <w:t>It is used as an ornament.</w:t>
      </w:r>
    </w:p>
    <w:p w14:paraId="5695319A" w14:textId="46540C91" w:rsidR="00CC26E1" w:rsidRPr="001430C0" w:rsidRDefault="00CC26E1" w:rsidP="00755D62">
      <w:pPr>
        <w:spacing w:after="180"/>
        <w:rPr>
          <w:rFonts w:ascii="Century Gothic" w:hAnsi="Century Gothic"/>
          <w:sz w:val="28"/>
          <w:szCs w:val="28"/>
        </w:rPr>
      </w:pPr>
    </w:p>
    <w:p w14:paraId="1839A47C" w14:textId="3F9D1943" w:rsidR="00755D62" w:rsidRDefault="00755D62" w:rsidP="00755D62">
      <w:pPr>
        <w:spacing w:after="240"/>
        <w:rPr>
          <w:rFonts w:ascii="Century Gothic" w:hAnsi="Century Gothic"/>
          <w:sz w:val="28"/>
          <w:szCs w:val="28"/>
        </w:rPr>
      </w:pPr>
    </w:p>
    <w:p w14:paraId="08DEEFF7" w14:textId="6BA89B4A" w:rsidR="00B365FF" w:rsidRDefault="00B365FF" w:rsidP="00755D62">
      <w:pPr>
        <w:spacing w:after="240"/>
        <w:rPr>
          <w:rFonts w:ascii="Century Gothic" w:hAnsi="Century Gothic"/>
          <w:sz w:val="28"/>
          <w:szCs w:val="28"/>
        </w:rPr>
      </w:pPr>
    </w:p>
    <w:p w14:paraId="721D849B" w14:textId="71751AE1" w:rsidR="00B365FF" w:rsidRDefault="00B365FF" w:rsidP="00755D62">
      <w:pPr>
        <w:spacing w:after="240"/>
        <w:rPr>
          <w:rFonts w:ascii="Century Gothic" w:hAnsi="Century Gothic"/>
          <w:sz w:val="28"/>
          <w:szCs w:val="28"/>
        </w:rPr>
      </w:pPr>
    </w:p>
    <w:p w14:paraId="698C4C10" w14:textId="77777777" w:rsidR="00B365FF" w:rsidRDefault="00462904" w:rsidP="008C5DD9">
      <w:pPr>
        <w:spacing w:before="360" w:after="180" w:line="276" w:lineRule="auto"/>
        <w:rPr>
          <w:rFonts w:ascii="Century Gothic" w:hAnsi="Century Gothic"/>
          <w:sz w:val="28"/>
          <w:szCs w:val="28"/>
        </w:rPr>
      </w:pPr>
      <w:r w:rsidRPr="00B365FF">
        <w:rPr>
          <w:rFonts w:ascii="Century Gothic" w:hAnsi="Century Gothic"/>
          <w:sz w:val="28"/>
          <w:szCs w:val="28"/>
        </w:rPr>
        <w:t xml:space="preserve">Think about the properties of the vase. </w:t>
      </w:r>
    </w:p>
    <w:p w14:paraId="64556826" w14:textId="21F5B0CC" w:rsidR="00CC26E1" w:rsidRPr="008C5DD9" w:rsidRDefault="00CC26E1" w:rsidP="008C5DD9">
      <w:pPr>
        <w:spacing w:after="360" w:line="276" w:lineRule="auto"/>
        <w:rPr>
          <w:rFonts w:ascii="Century Gothic" w:hAnsi="Century Gothic"/>
          <w:sz w:val="32"/>
          <w:szCs w:val="28"/>
        </w:rPr>
      </w:pPr>
      <w:r w:rsidRPr="008C5DD9">
        <w:rPr>
          <w:rFonts w:ascii="Century Gothic" w:hAnsi="Century Gothic"/>
          <w:sz w:val="32"/>
          <w:szCs w:val="28"/>
        </w:rPr>
        <w:t>How could you tell that</w:t>
      </w:r>
      <w:r w:rsidR="00462904" w:rsidRPr="008C5DD9">
        <w:rPr>
          <w:rFonts w:ascii="Century Gothic" w:hAnsi="Century Gothic"/>
          <w:sz w:val="32"/>
          <w:szCs w:val="28"/>
        </w:rPr>
        <w:t xml:space="preserve"> it </w:t>
      </w:r>
      <w:r w:rsidRPr="008C5DD9">
        <w:rPr>
          <w:rFonts w:ascii="Century Gothic" w:hAnsi="Century Gothic"/>
          <w:sz w:val="32"/>
          <w:szCs w:val="28"/>
        </w:rPr>
        <w:t>is made of a ceramic</w:t>
      </w:r>
      <w:r w:rsidR="001430C0" w:rsidRPr="008C5DD9">
        <w:rPr>
          <w:rFonts w:ascii="Century Gothic" w:hAnsi="Century Gothic"/>
          <w:sz w:val="32"/>
          <w:szCs w:val="28"/>
        </w:rPr>
        <w:t xml:space="preserve"> material</w:t>
      </w:r>
      <w:r w:rsidRPr="008C5DD9">
        <w:rPr>
          <w:rFonts w:cstheme="minorHAnsi"/>
          <w:sz w:val="32"/>
          <w:szCs w:val="28"/>
        </w:rPr>
        <w:t>?</w:t>
      </w:r>
    </w:p>
    <w:p w14:paraId="0AB3D0D3" w14:textId="36902973" w:rsidR="00CC26E1" w:rsidRPr="00B365FF" w:rsidRDefault="00755D62" w:rsidP="00B365FF">
      <w:pPr>
        <w:spacing w:after="180" w:line="276" w:lineRule="auto"/>
        <w:rPr>
          <w:rFonts w:ascii="Century Gothic" w:hAnsi="Century Gothic"/>
          <w:i/>
          <w:sz w:val="24"/>
          <w:szCs w:val="28"/>
        </w:rPr>
      </w:pPr>
      <w:r w:rsidRPr="00B365FF">
        <w:rPr>
          <w:rFonts w:ascii="Century Gothic" w:hAnsi="Century Gothic"/>
          <w:i/>
          <w:sz w:val="24"/>
          <w:szCs w:val="28"/>
        </w:rPr>
        <w:t>For each statement, tick (</w:t>
      </w:r>
      <w:r w:rsidRPr="00B365FF">
        <w:rPr>
          <w:rFonts w:ascii="Century Gothic" w:hAnsi="Century Gothic"/>
          <w:i/>
          <w:sz w:val="24"/>
          <w:szCs w:val="28"/>
        </w:rPr>
        <w:sym w:font="Wingdings" w:char="F0FC"/>
      </w:r>
      <w:r w:rsidRPr="00B365FF">
        <w:rPr>
          <w:rFonts w:ascii="Century Gothic" w:hAnsi="Century Gothic"/>
          <w:i/>
          <w:sz w:val="24"/>
          <w:szCs w:val="28"/>
        </w:rPr>
        <w:t xml:space="preserve">) </w:t>
      </w:r>
      <w:r w:rsidRPr="00B365FF">
        <w:rPr>
          <w:rFonts w:ascii="Century Gothic" w:hAnsi="Century Gothic"/>
          <w:b/>
          <w:i/>
          <w:sz w:val="24"/>
          <w:szCs w:val="28"/>
        </w:rPr>
        <w:t>one</w:t>
      </w:r>
      <w:r w:rsidRPr="00B365FF">
        <w:rPr>
          <w:rFonts w:ascii="Century Gothic" w:hAnsi="Century Gothic"/>
          <w:i/>
          <w:sz w:val="24"/>
          <w:szCs w:val="28"/>
        </w:rPr>
        <w:t xml:space="preserve"> </w:t>
      </w:r>
      <w:r w:rsidR="00462904" w:rsidRPr="00B365FF">
        <w:rPr>
          <w:rFonts w:ascii="Century Gothic" w:hAnsi="Century Gothic"/>
          <w:i/>
          <w:sz w:val="24"/>
          <w:szCs w:val="28"/>
        </w:rPr>
        <w:t xml:space="preserve">box </w:t>
      </w:r>
      <w:r w:rsidRPr="00B365FF">
        <w:rPr>
          <w:rFonts w:ascii="Century Gothic" w:hAnsi="Century Gothic"/>
          <w:i/>
          <w:sz w:val="24"/>
          <w:szCs w:val="28"/>
        </w:rPr>
        <w:t>to show what you think.</w:t>
      </w:r>
    </w:p>
    <w:tbl>
      <w:tblPr>
        <w:tblW w:w="9204"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57"/>
        <w:gridCol w:w="4536"/>
        <w:gridCol w:w="1027"/>
        <w:gridCol w:w="1028"/>
        <w:gridCol w:w="1028"/>
        <w:gridCol w:w="1028"/>
      </w:tblGrid>
      <w:tr w:rsidR="00755D62" w:rsidRPr="001430C0" w14:paraId="7ECCDF6F" w14:textId="77777777" w:rsidTr="008C5DD9">
        <w:trPr>
          <w:cantSplit/>
          <w:trHeight w:hRule="exact" w:val="1062"/>
          <w:jc w:val="center"/>
        </w:trPr>
        <w:tc>
          <w:tcPr>
            <w:tcW w:w="5093" w:type="dxa"/>
            <w:gridSpan w:val="2"/>
            <w:tcBorders>
              <w:bottom w:val="single" w:sz="8" w:space="0" w:color="000000"/>
            </w:tcBorders>
            <w:vAlign w:val="center"/>
          </w:tcPr>
          <w:p w14:paraId="4DED5D6A" w14:textId="19C80B66" w:rsidR="00755D62" w:rsidRPr="001430C0" w:rsidRDefault="00755D62" w:rsidP="00677EDD">
            <w:pPr>
              <w:tabs>
                <w:tab w:val="right" w:leader="dot" w:pos="8680"/>
              </w:tabs>
              <w:jc w:val="center"/>
              <w:rPr>
                <w:rFonts w:ascii="Century Gothic" w:eastAsia="Times New Roman" w:hAnsi="Century Gothic" w:cs="Times New Roman"/>
                <w:sz w:val="28"/>
                <w:szCs w:val="28"/>
                <w:lang w:eastAsia="en-GB"/>
              </w:rPr>
            </w:pPr>
          </w:p>
        </w:tc>
        <w:tc>
          <w:tcPr>
            <w:tcW w:w="1027" w:type="dxa"/>
            <w:tcMar>
              <w:left w:w="28" w:type="dxa"/>
              <w:right w:w="28" w:type="dxa"/>
            </w:tcMar>
            <w:vAlign w:val="center"/>
          </w:tcPr>
          <w:p w14:paraId="26258F50" w14:textId="77777777" w:rsidR="00755D62" w:rsidRPr="00B365FF" w:rsidRDefault="00755D62" w:rsidP="00677EDD">
            <w:pPr>
              <w:tabs>
                <w:tab w:val="right" w:leader="dot" w:pos="8680"/>
              </w:tabs>
              <w:jc w:val="center"/>
              <w:rPr>
                <w:rFonts w:ascii="Century Gothic" w:eastAsia="Times New Roman" w:hAnsi="Century Gothic" w:cs="Times New Roman"/>
                <w:sz w:val="24"/>
                <w:szCs w:val="24"/>
                <w:lang w:eastAsia="en-GB"/>
              </w:rPr>
            </w:pPr>
            <w:r w:rsidRPr="008C5DD9">
              <w:rPr>
                <w:rFonts w:ascii="Century Gothic" w:eastAsia="Times New Roman" w:hAnsi="Century Gothic" w:cs="Times New Roman"/>
                <w:b/>
                <w:sz w:val="24"/>
                <w:szCs w:val="24"/>
                <w:lang w:eastAsia="en-GB"/>
              </w:rPr>
              <w:t>I am sure</w:t>
            </w:r>
            <w:r w:rsidRPr="00B365FF">
              <w:rPr>
                <w:rFonts w:ascii="Century Gothic" w:eastAsia="Times New Roman" w:hAnsi="Century Gothic" w:cs="Times New Roman"/>
                <w:sz w:val="24"/>
                <w:szCs w:val="24"/>
                <w:lang w:eastAsia="en-GB"/>
              </w:rPr>
              <w:t xml:space="preserve"> this is </w:t>
            </w:r>
            <w:r w:rsidRPr="00B365FF">
              <w:rPr>
                <w:rFonts w:ascii="Century Gothic" w:hAnsi="Century Gothic"/>
                <w:sz w:val="24"/>
                <w:szCs w:val="24"/>
              </w:rPr>
              <w:t>right</w:t>
            </w:r>
          </w:p>
        </w:tc>
        <w:tc>
          <w:tcPr>
            <w:tcW w:w="1028" w:type="dxa"/>
            <w:tcMar>
              <w:left w:w="28" w:type="dxa"/>
              <w:right w:w="28" w:type="dxa"/>
            </w:tcMar>
            <w:vAlign w:val="center"/>
          </w:tcPr>
          <w:p w14:paraId="09F7C7CF" w14:textId="77777777" w:rsidR="00755D62" w:rsidRPr="00B365FF" w:rsidRDefault="00755D62" w:rsidP="00677EDD">
            <w:pPr>
              <w:tabs>
                <w:tab w:val="right" w:leader="dot" w:pos="8680"/>
              </w:tabs>
              <w:jc w:val="center"/>
              <w:rPr>
                <w:rFonts w:ascii="Century Gothic" w:eastAsia="Times New Roman" w:hAnsi="Century Gothic" w:cs="Times New Roman"/>
                <w:sz w:val="24"/>
                <w:szCs w:val="24"/>
                <w:lang w:eastAsia="en-GB"/>
              </w:rPr>
            </w:pPr>
            <w:r w:rsidRPr="008C5DD9">
              <w:rPr>
                <w:rFonts w:ascii="Century Gothic" w:eastAsia="Times New Roman" w:hAnsi="Century Gothic" w:cs="Times New Roman"/>
                <w:b/>
                <w:sz w:val="24"/>
                <w:szCs w:val="24"/>
                <w:lang w:eastAsia="en-GB"/>
              </w:rPr>
              <w:t>I think</w:t>
            </w:r>
            <w:r w:rsidRPr="00B365FF">
              <w:rPr>
                <w:rFonts w:ascii="Century Gothic" w:eastAsia="Times New Roman" w:hAnsi="Century Gothic" w:cs="Times New Roman"/>
                <w:sz w:val="24"/>
                <w:szCs w:val="24"/>
                <w:lang w:eastAsia="en-GB"/>
              </w:rPr>
              <w:t xml:space="preserve"> this is </w:t>
            </w:r>
            <w:r w:rsidRPr="00B365FF">
              <w:rPr>
                <w:rFonts w:ascii="Century Gothic" w:hAnsi="Century Gothic"/>
                <w:sz w:val="24"/>
                <w:szCs w:val="24"/>
              </w:rPr>
              <w:t>right</w:t>
            </w:r>
          </w:p>
        </w:tc>
        <w:tc>
          <w:tcPr>
            <w:tcW w:w="1028" w:type="dxa"/>
            <w:tcMar>
              <w:left w:w="28" w:type="dxa"/>
              <w:right w:w="28" w:type="dxa"/>
            </w:tcMar>
            <w:vAlign w:val="center"/>
          </w:tcPr>
          <w:p w14:paraId="01B8F837" w14:textId="77777777" w:rsidR="00755D62" w:rsidRPr="00B365FF" w:rsidRDefault="00755D62" w:rsidP="00677EDD">
            <w:pPr>
              <w:tabs>
                <w:tab w:val="right" w:leader="dot" w:pos="8680"/>
              </w:tabs>
              <w:jc w:val="center"/>
              <w:rPr>
                <w:rFonts w:ascii="Century Gothic" w:eastAsia="Times New Roman" w:hAnsi="Century Gothic" w:cs="Times New Roman"/>
                <w:sz w:val="24"/>
                <w:szCs w:val="24"/>
                <w:lang w:eastAsia="en-GB"/>
              </w:rPr>
            </w:pPr>
            <w:r w:rsidRPr="008C5DD9">
              <w:rPr>
                <w:rFonts w:ascii="Century Gothic" w:eastAsia="Times New Roman" w:hAnsi="Century Gothic" w:cs="Times New Roman"/>
                <w:b/>
                <w:sz w:val="24"/>
                <w:szCs w:val="24"/>
                <w:lang w:eastAsia="en-GB"/>
              </w:rPr>
              <w:t>I think</w:t>
            </w:r>
            <w:r w:rsidRPr="00B365FF">
              <w:rPr>
                <w:rFonts w:ascii="Century Gothic" w:eastAsia="Times New Roman" w:hAnsi="Century Gothic" w:cs="Times New Roman"/>
                <w:sz w:val="24"/>
                <w:szCs w:val="24"/>
                <w:lang w:eastAsia="en-GB"/>
              </w:rPr>
              <w:t xml:space="preserve"> this is wrong</w:t>
            </w:r>
          </w:p>
        </w:tc>
        <w:tc>
          <w:tcPr>
            <w:tcW w:w="1028" w:type="dxa"/>
            <w:tcMar>
              <w:left w:w="28" w:type="dxa"/>
              <w:right w:w="28" w:type="dxa"/>
            </w:tcMar>
            <w:vAlign w:val="center"/>
          </w:tcPr>
          <w:p w14:paraId="3017094F" w14:textId="77777777" w:rsidR="00755D62" w:rsidRPr="00B365FF" w:rsidRDefault="00755D62" w:rsidP="00677EDD">
            <w:pPr>
              <w:tabs>
                <w:tab w:val="right" w:leader="dot" w:pos="8680"/>
              </w:tabs>
              <w:jc w:val="center"/>
              <w:rPr>
                <w:rFonts w:ascii="Century Gothic" w:eastAsia="Times New Roman" w:hAnsi="Century Gothic" w:cs="Times New Roman"/>
                <w:sz w:val="24"/>
                <w:szCs w:val="24"/>
                <w:lang w:eastAsia="en-GB"/>
              </w:rPr>
            </w:pPr>
            <w:r w:rsidRPr="008C5DD9">
              <w:rPr>
                <w:rFonts w:ascii="Century Gothic" w:eastAsia="Times New Roman" w:hAnsi="Century Gothic" w:cs="Times New Roman"/>
                <w:b/>
                <w:sz w:val="24"/>
                <w:szCs w:val="24"/>
                <w:lang w:eastAsia="en-GB"/>
              </w:rPr>
              <w:t>I am sure</w:t>
            </w:r>
            <w:r w:rsidRPr="00B365FF">
              <w:rPr>
                <w:rFonts w:ascii="Century Gothic" w:eastAsia="Times New Roman" w:hAnsi="Century Gothic" w:cs="Times New Roman"/>
                <w:sz w:val="24"/>
                <w:szCs w:val="24"/>
                <w:lang w:eastAsia="en-GB"/>
              </w:rPr>
              <w:t xml:space="preserve"> this is wrong</w:t>
            </w:r>
          </w:p>
        </w:tc>
      </w:tr>
      <w:tr w:rsidR="00755D62" w:rsidRPr="001430C0" w14:paraId="0B2498A5" w14:textId="77777777" w:rsidTr="008C5DD9">
        <w:trPr>
          <w:cantSplit/>
          <w:trHeight w:val="791"/>
          <w:jc w:val="center"/>
        </w:trPr>
        <w:tc>
          <w:tcPr>
            <w:tcW w:w="557" w:type="dxa"/>
            <w:tcBorders>
              <w:right w:val="nil"/>
            </w:tcBorders>
            <w:vAlign w:val="center"/>
          </w:tcPr>
          <w:p w14:paraId="14A49DF6" w14:textId="77777777" w:rsidR="00755D62" w:rsidRPr="001430C0" w:rsidRDefault="00755D62" w:rsidP="00677EDD">
            <w:pPr>
              <w:tabs>
                <w:tab w:val="right" w:leader="dot" w:pos="8680"/>
              </w:tabs>
              <w:jc w:val="center"/>
              <w:rPr>
                <w:rFonts w:ascii="Century Gothic" w:eastAsia="Times New Roman" w:hAnsi="Century Gothic" w:cs="Times New Roman"/>
                <w:b/>
                <w:sz w:val="28"/>
                <w:szCs w:val="28"/>
                <w:lang w:eastAsia="en-GB"/>
              </w:rPr>
            </w:pPr>
            <w:r w:rsidRPr="001430C0">
              <w:rPr>
                <w:rFonts w:ascii="Century Gothic" w:eastAsia="Times New Roman" w:hAnsi="Century Gothic" w:cs="Times New Roman"/>
                <w:b/>
                <w:sz w:val="28"/>
                <w:szCs w:val="28"/>
                <w:lang w:eastAsia="en-GB"/>
              </w:rPr>
              <w:t>A</w:t>
            </w:r>
          </w:p>
        </w:tc>
        <w:tc>
          <w:tcPr>
            <w:tcW w:w="4536" w:type="dxa"/>
            <w:tcBorders>
              <w:left w:val="nil"/>
            </w:tcBorders>
            <w:vAlign w:val="center"/>
          </w:tcPr>
          <w:p w14:paraId="0A4CAAEE" w14:textId="4B634183" w:rsidR="00755D62" w:rsidRPr="00B365FF" w:rsidRDefault="00CC26E1" w:rsidP="00677EDD">
            <w:pPr>
              <w:tabs>
                <w:tab w:val="right" w:leader="dot" w:pos="8680"/>
              </w:tabs>
              <w:rPr>
                <w:rFonts w:ascii="Century Gothic" w:eastAsia="Times New Roman" w:hAnsi="Century Gothic" w:cs="Times New Roman"/>
                <w:sz w:val="28"/>
                <w:szCs w:val="28"/>
                <w:lang w:eastAsia="en-GB"/>
              </w:rPr>
            </w:pPr>
            <w:r w:rsidRPr="00B365FF">
              <w:rPr>
                <w:rFonts w:ascii="Century Gothic" w:eastAsia="Times New Roman" w:hAnsi="Century Gothic" w:cs="Times New Roman"/>
                <w:sz w:val="28"/>
                <w:szCs w:val="28"/>
                <w:lang w:eastAsia="en-GB"/>
              </w:rPr>
              <w:t>T</w:t>
            </w:r>
            <w:r w:rsidR="00371200" w:rsidRPr="00B365FF">
              <w:rPr>
                <w:rFonts w:ascii="Century Gothic" w:eastAsia="Times New Roman" w:hAnsi="Century Gothic" w:cs="Times New Roman"/>
                <w:sz w:val="28"/>
                <w:szCs w:val="28"/>
                <w:lang w:eastAsia="en-GB"/>
              </w:rPr>
              <w:t xml:space="preserve">he </w:t>
            </w:r>
            <w:r w:rsidRPr="00B365FF">
              <w:rPr>
                <w:rFonts w:ascii="Century Gothic" w:eastAsia="Times New Roman" w:hAnsi="Century Gothic" w:cs="Times New Roman"/>
                <w:sz w:val="28"/>
                <w:szCs w:val="28"/>
                <w:lang w:eastAsia="en-GB"/>
              </w:rPr>
              <w:t xml:space="preserve">vase </w:t>
            </w:r>
            <w:r w:rsidR="00156CA9" w:rsidRPr="00B365FF">
              <w:rPr>
                <w:rFonts w:ascii="Century Gothic" w:eastAsia="Times New Roman" w:hAnsi="Century Gothic" w:cs="Times New Roman"/>
                <w:sz w:val="28"/>
                <w:szCs w:val="28"/>
                <w:lang w:eastAsia="en-GB"/>
              </w:rPr>
              <w:t>is</w:t>
            </w:r>
            <w:r w:rsidR="00371200" w:rsidRPr="00B365FF">
              <w:rPr>
                <w:rFonts w:ascii="Century Gothic" w:eastAsia="Times New Roman" w:hAnsi="Century Gothic" w:cs="Times New Roman"/>
                <w:sz w:val="28"/>
                <w:szCs w:val="28"/>
                <w:lang w:eastAsia="en-GB"/>
              </w:rPr>
              <w:t xml:space="preserve"> </w:t>
            </w:r>
            <w:r w:rsidR="00B365FF">
              <w:rPr>
                <w:rFonts w:ascii="Century Gothic" w:eastAsia="Times New Roman" w:hAnsi="Century Gothic" w:cs="Times New Roman"/>
                <w:sz w:val="28"/>
                <w:szCs w:val="28"/>
                <w:lang w:eastAsia="en-GB"/>
              </w:rPr>
              <w:t xml:space="preserve">a </w:t>
            </w:r>
            <w:r w:rsidR="00371200" w:rsidRPr="00B365FF">
              <w:rPr>
                <w:rFonts w:ascii="Century Gothic" w:eastAsia="Times New Roman" w:hAnsi="Century Gothic" w:cs="Times New Roman"/>
                <w:sz w:val="28"/>
                <w:szCs w:val="28"/>
                <w:lang w:eastAsia="en-GB"/>
              </w:rPr>
              <w:t xml:space="preserve">ceramic </w:t>
            </w:r>
            <w:r w:rsidR="00B365FF">
              <w:rPr>
                <w:rFonts w:ascii="Century Gothic" w:eastAsia="Times New Roman" w:hAnsi="Century Gothic" w:cs="Times New Roman"/>
                <w:sz w:val="28"/>
                <w:szCs w:val="28"/>
                <w:lang w:eastAsia="en-GB"/>
              </w:rPr>
              <w:t xml:space="preserve">material </w:t>
            </w:r>
            <w:r w:rsidR="00371200" w:rsidRPr="00B365FF">
              <w:rPr>
                <w:rFonts w:ascii="Century Gothic" w:eastAsia="Times New Roman" w:hAnsi="Century Gothic" w:cs="Times New Roman"/>
                <w:sz w:val="28"/>
                <w:szCs w:val="28"/>
                <w:lang w:eastAsia="en-GB"/>
              </w:rPr>
              <w:t xml:space="preserve">because it is </w:t>
            </w:r>
            <w:r w:rsidR="00156CA9" w:rsidRPr="00B365FF">
              <w:rPr>
                <w:rFonts w:ascii="Century Gothic" w:eastAsia="Times New Roman" w:hAnsi="Century Gothic" w:cs="Times New Roman"/>
                <w:sz w:val="28"/>
                <w:szCs w:val="28"/>
                <w:lang w:eastAsia="en-GB"/>
              </w:rPr>
              <w:t>blue.</w:t>
            </w:r>
          </w:p>
        </w:tc>
        <w:tc>
          <w:tcPr>
            <w:tcW w:w="1027" w:type="dxa"/>
          </w:tcPr>
          <w:p w14:paraId="3A4627A8"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306C1E8A"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3EDC6B0D"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2903A02D"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r>
      <w:tr w:rsidR="00755D62" w:rsidRPr="001430C0" w14:paraId="7002B8B7" w14:textId="77777777" w:rsidTr="008C5DD9">
        <w:trPr>
          <w:cantSplit/>
          <w:trHeight w:val="791"/>
          <w:jc w:val="center"/>
        </w:trPr>
        <w:tc>
          <w:tcPr>
            <w:tcW w:w="557" w:type="dxa"/>
            <w:tcBorders>
              <w:right w:val="nil"/>
            </w:tcBorders>
            <w:vAlign w:val="center"/>
          </w:tcPr>
          <w:p w14:paraId="1600B18F" w14:textId="77777777" w:rsidR="00755D62" w:rsidRPr="001430C0" w:rsidRDefault="00755D62" w:rsidP="00677EDD">
            <w:pPr>
              <w:tabs>
                <w:tab w:val="right" w:leader="dot" w:pos="8680"/>
              </w:tabs>
              <w:jc w:val="center"/>
              <w:rPr>
                <w:rFonts w:ascii="Century Gothic" w:eastAsia="Times New Roman" w:hAnsi="Century Gothic" w:cs="Times New Roman"/>
                <w:b/>
                <w:sz w:val="28"/>
                <w:szCs w:val="28"/>
                <w:lang w:eastAsia="en-GB"/>
              </w:rPr>
            </w:pPr>
            <w:r w:rsidRPr="001430C0">
              <w:rPr>
                <w:rFonts w:ascii="Century Gothic" w:eastAsia="Times New Roman" w:hAnsi="Century Gothic" w:cs="Times New Roman"/>
                <w:b/>
                <w:sz w:val="28"/>
                <w:szCs w:val="28"/>
                <w:lang w:eastAsia="en-GB"/>
              </w:rPr>
              <w:t>B</w:t>
            </w:r>
          </w:p>
        </w:tc>
        <w:tc>
          <w:tcPr>
            <w:tcW w:w="4536" w:type="dxa"/>
            <w:tcBorders>
              <w:left w:val="nil"/>
            </w:tcBorders>
            <w:vAlign w:val="center"/>
          </w:tcPr>
          <w:p w14:paraId="33A87698" w14:textId="155BE061" w:rsidR="00755D62" w:rsidRPr="00B365FF" w:rsidRDefault="00CC26E1" w:rsidP="007A1E64">
            <w:pPr>
              <w:tabs>
                <w:tab w:val="right" w:leader="dot" w:pos="8680"/>
              </w:tabs>
              <w:rPr>
                <w:rFonts w:ascii="Century Gothic" w:eastAsia="Times New Roman" w:hAnsi="Century Gothic" w:cs="Times New Roman"/>
                <w:sz w:val="28"/>
                <w:szCs w:val="28"/>
                <w:lang w:eastAsia="en-GB"/>
              </w:rPr>
            </w:pPr>
            <w:r w:rsidRPr="00B365FF">
              <w:rPr>
                <w:rFonts w:ascii="Century Gothic" w:eastAsia="Times New Roman" w:hAnsi="Century Gothic" w:cs="Times New Roman"/>
                <w:sz w:val="28"/>
                <w:szCs w:val="28"/>
                <w:lang w:eastAsia="en-GB"/>
              </w:rPr>
              <w:t xml:space="preserve">The </w:t>
            </w:r>
            <w:r w:rsidR="007A1E64" w:rsidRPr="00B365FF">
              <w:rPr>
                <w:rFonts w:ascii="Century Gothic" w:eastAsia="Times New Roman" w:hAnsi="Century Gothic" w:cs="Times New Roman"/>
                <w:sz w:val="28"/>
                <w:szCs w:val="28"/>
                <w:lang w:eastAsia="en-GB"/>
              </w:rPr>
              <w:t>vase is a</w:t>
            </w:r>
            <w:r w:rsidR="00B365FF">
              <w:rPr>
                <w:rFonts w:ascii="Century Gothic" w:eastAsia="Times New Roman" w:hAnsi="Century Gothic" w:cs="Times New Roman"/>
                <w:sz w:val="28"/>
                <w:szCs w:val="28"/>
                <w:lang w:eastAsia="en-GB"/>
              </w:rPr>
              <w:t xml:space="preserve"> </w:t>
            </w:r>
            <w:r w:rsidR="007A1E64" w:rsidRPr="00B365FF">
              <w:rPr>
                <w:rFonts w:ascii="Century Gothic" w:eastAsia="Times New Roman" w:hAnsi="Century Gothic" w:cs="Times New Roman"/>
                <w:sz w:val="28"/>
                <w:szCs w:val="28"/>
                <w:lang w:eastAsia="en-GB"/>
              </w:rPr>
              <w:t xml:space="preserve">ceramic material because it is </w:t>
            </w:r>
            <w:r w:rsidRPr="00B365FF">
              <w:rPr>
                <w:rFonts w:ascii="Century Gothic" w:eastAsia="Times New Roman" w:hAnsi="Century Gothic" w:cs="Times New Roman"/>
                <w:sz w:val="28"/>
                <w:szCs w:val="28"/>
                <w:lang w:eastAsia="en-GB"/>
              </w:rPr>
              <w:t>smooth.</w:t>
            </w:r>
          </w:p>
        </w:tc>
        <w:tc>
          <w:tcPr>
            <w:tcW w:w="1027" w:type="dxa"/>
          </w:tcPr>
          <w:p w14:paraId="60DA6F2C"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36E7CF8A"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7611B1D4"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1FE003E9"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r>
      <w:tr w:rsidR="00755D62" w:rsidRPr="001430C0" w14:paraId="7890F5F5" w14:textId="77777777" w:rsidTr="008C5DD9">
        <w:trPr>
          <w:cantSplit/>
          <w:trHeight w:val="791"/>
          <w:jc w:val="center"/>
        </w:trPr>
        <w:tc>
          <w:tcPr>
            <w:tcW w:w="557" w:type="dxa"/>
            <w:tcBorders>
              <w:right w:val="nil"/>
            </w:tcBorders>
            <w:vAlign w:val="center"/>
          </w:tcPr>
          <w:p w14:paraId="337531BA" w14:textId="77777777" w:rsidR="00755D62" w:rsidRPr="001430C0" w:rsidRDefault="00755D62" w:rsidP="00677EDD">
            <w:pPr>
              <w:tabs>
                <w:tab w:val="right" w:leader="dot" w:pos="8680"/>
              </w:tabs>
              <w:jc w:val="center"/>
              <w:rPr>
                <w:rFonts w:ascii="Century Gothic" w:eastAsia="Times New Roman" w:hAnsi="Century Gothic" w:cs="Times New Roman"/>
                <w:b/>
                <w:sz w:val="28"/>
                <w:szCs w:val="28"/>
                <w:lang w:eastAsia="en-GB"/>
              </w:rPr>
            </w:pPr>
            <w:r w:rsidRPr="001430C0">
              <w:rPr>
                <w:rFonts w:ascii="Century Gothic" w:eastAsia="Times New Roman" w:hAnsi="Century Gothic" w:cs="Times New Roman"/>
                <w:b/>
                <w:sz w:val="28"/>
                <w:szCs w:val="28"/>
                <w:lang w:eastAsia="en-GB"/>
              </w:rPr>
              <w:t>C</w:t>
            </w:r>
          </w:p>
        </w:tc>
        <w:tc>
          <w:tcPr>
            <w:tcW w:w="4536" w:type="dxa"/>
            <w:tcBorders>
              <w:left w:val="nil"/>
            </w:tcBorders>
            <w:vAlign w:val="center"/>
          </w:tcPr>
          <w:p w14:paraId="3201801E" w14:textId="572A8F42" w:rsidR="00755D62" w:rsidRPr="00B365FF" w:rsidRDefault="00CC26E1" w:rsidP="00677EDD">
            <w:pPr>
              <w:tabs>
                <w:tab w:val="right" w:leader="dot" w:pos="8680"/>
              </w:tabs>
              <w:rPr>
                <w:rFonts w:ascii="Century Gothic" w:eastAsia="Times New Roman" w:hAnsi="Century Gothic" w:cs="Times New Roman"/>
                <w:sz w:val="28"/>
                <w:szCs w:val="28"/>
                <w:lang w:eastAsia="en-GB"/>
              </w:rPr>
            </w:pPr>
            <w:r w:rsidRPr="00B365FF">
              <w:rPr>
                <w:rFonts w:ascii="Century Gothic" w:eastAsia="Times New Roman" w:hAnsi="Century Gothic" w:cs="Times New Roman"/>
                <w:sz w:val="28"/>
                <w:szCs w:val="28"/>
                <w:lang w:eastAsia="en-GB"/>
              </w:rPr>
              <w:t xml:space="preserve">The </w:t>
            </w:r>
            <w:r w:rsidR="007A1E64" w:rsidRPr="00B365FF">
              <w:rPr>
                <w:rFonts w:ascii="Century Gothic" w:eastAsia="Times New Roman" w:hAnsi="Century Gothic" w:cs="Times New Roman"/>
                <w:sz w:val="28"/>
                <w:szCs w:val="28"/>
                <w:lang w:eastAsia="en-GB"/>
              </w:rPr>
              <w:t>vase is a ceramic material because it</w:t>
            </w:r>
            <w:r w:rsidRPr="00B365FF">
              <w:rPr>
                <w:rFonts w:ascii="Century Gothic" w:eastAsia="Times New Roman" w:hAnsi="Century Gothic" w:cs="Times New Roman"/>
                <w:sz w:val="28"/>
                <w:szCs w:val="28"/>
                <w:lang w:eastAsia="en-GB"/>
              </w:rPr>
              <w:t xml:space="preserve"> is brittle.</w:t>
            </w:r>
          </w:p>
        </w:tc>
        <w:tc>
          <w:tcPr>
            <w:tcW w:w="1027" w:type="dxa"/>
          </w:tcPr>
          <w:p w14:paraId="7E9CC6AD"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5F7EDB7F"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20B792B2"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3D837E4C"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r>
      <w:tr w:rsidR="00755D62" w:rsidRPr="001430C0" w14:paraId="72CDB9DC" w14:textId="77777777" w:rsidTr="008C5DD9">
        <w:trPr>
          <w:cantSplit/>
          <w:trHeight w:val="791"/>
          <w:jc w:val="center"/>
        </w:trPr>
        <w:tc>
          <w:tcPr>
            <w:tcW w:w="557" w:type="dxa"/>
            <w:tcBorders>
              <w:right w:val="nil"/>
            </w:tcBorders>
            <w:vAlign w:val="center"/>
          </w:tcPr>
          <w:p w14:paraId="6C38BBBA" w14:textId="77777777" w:rsidR="00755D62" w:rsidRPr="001430C0" w:rsidRDefault="00755D62" w:rsidP="00677EDD">
            <w:pPr>
              <w:tabs>
                <w:tab w:val="right" w:leader="dot" w:pos="8680"/>
              </w:tabs>
              <w:jc w:val="center"/>
              <w:rPr>
                <w:rFonts w:ascii="Century Gothic" w:eastAsia="Times New Roman" w:hAnsi="Century Gothic" w:cs="Times New Roman"/>
                <w:b/>
                <w:sz w:val="28"/>
                <w:szCs w:val="28"/>
                <w:lang w:eastAsia="en-GB"/>
              </w:rPr>
            </w:pPr>
            <w:r w:rsidRPr="001430C0">
              <w:rPr>
                <w:rFonts w:ascii="Century Gothic" w:eastAsia="Times New Roman" w:hAnsi="Century Gothic" w:cs="Times New Roman"/>
                <w:b/>
                <w:sz w:val="28"/>
                <w:szCs w:val="28"/>
                <w:lang w:eastAsia="en-GB"/>
              </w:rPr>
              <w:t>D</w:t>
            </w:r>
          </w:p>
        </w:tc>
        <w:tc>
          <w:tcPr>
            <w:tcW w:w="4536" w:type="dxa"/>
            <w:tcBorders>
              <w:left w:val="nil"/>
            </w:tcBorders>
            <w:vAlign w:val="center"/>
          </w:tcPr>
          <w:p w14:paraId="5786B4FF" w14:textId="22AEB1B3" w:rsidR="00755D62" w:rsidRPr="00B365FF" w:rsidRDefault="00CC26E1" w:rsidP="00677EDD">
            <w:pPr>
              <w:tabs>
                <w:tab w:val="right" w:leader="dot" w:pos="8680"/>
              </w:tabs>
              <w:rPr>
                <w:rFonts w:ascii="Century Gothic" w:eastAsia="Times New Roman" w:hAnsi="Century Gothic" w:cs="Times New Roman"/>
                <w:sz w:val="28"/>
                <w:szCs w:val="28"/>
                <w:lang w:eastAsia="en-GB"/>
              </w:rPr>
            </w:pPr>
            <w:r w:rsidRPr="00B365FF">
              <w:rPr>
                <w:rFonts w:ascii="Century Gothic" w:eastAsia="Times New Roman" w:hAnsi="Century Gothic" w:cs="Times New Roman"/>
                <w:sz w:val="28"/>
                <w:szCs w:val="28"/>
                <w:lang w:eastAsia="en-GB"/>
              </w:rPr>
              <w:t xml:space="preserve">The </w:t>
            </w:r>
            <w:r w:rsidR="007A1E64" w:rsidRPr="00B365FF">
              <w:rPr>
                <w:rFonts w:ascii="Century Gothic" w:eastAsia="Times New Roman" w:hAnsi="Century Gothic" w:cs="Times New Roman"/>
                <w:sz w:val="28"/>
                <w:szCs w:val="28"/>
                <w:lang w:eastAsia="en-GB"/>
              </w:rPr>
              <w:t>vase is a ceramic material because it</w:t>
            </w:r>
            <w:r w:rsidRPr="00B365FF">
              <w:rPr>
                <w:rFonts w:ascii="Century Gothic" w:eastAsia="Times New Roman" w:hAnsi="Century Gothic" w:cs="Times New Roman"/>
                <w:sz w:val="28"/>
                <w:szCs w:val="28"/>
                <w:lang w:eastAsia="en-GB"/>
              </w:rPr>
              <w:t xml:space="preserve"> is tall.</w:t>
            </w:r>
          </w:p>
        </w:tc>
        <w:tc>
          <w:tcPr>
            <w:tcW w:w="1027" w:type="dxa"/>
          </w:tcPr>
          <w:p w14:paraId="65DA802A"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0A73A9D2"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1246999C"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c>
          <w:tcPr>
            <w:tcW w:w="1028" w:type="dxa"/>
          </w:tcPr>
          <w:p w14:paraId="397FB19E" w14:textId="77777777" w:rsidR="00755D62" w:rsidRPr="001430C0" w:rsidRDefault="00755D62" w:rsidP="00677EDD">
            <w:pPr>
              <w:tabs>
                <w:tab w:val="right" w:leader="dot" w:pos="8680"/>
              </w:tabs>
              <w:rPr>
                <w:rFonts w:ascii="Century Gothic" w:eastAsia="Times New Roman" w:hAnsi="Century Gothic" w:cs="Times New Roman"/>
                <w:sz w:val="28"/>
                <w:szCs w:val="28"/>
                <w:lang w:eastAsia="en-GB"/>
              </w:rPr>
            </w:pPr>
          </w:p>
        </w:tc>
      </w:tr>
    </w:tbl>
    <w:p w14:paraId="6F333E42" w14:textId="77777777" w:rsidR="00201AC2" w:rsidRPr="001430C0" w:rsidRDefault="00201AC2" w:rsidP="006F3279">
      <w:pPr>
        <w:spacing w:after="240"/>
        <w:rPr>
          <w:rFonts w:ascii="Century Gothic" w:hAnsi="Century Gothic"/>
          <w:sz w:val="28"/>
          <w:szCs w:val="28"/>
        </w:rPr>
      </w:pPr>
    </w:p>
    <w:p w14:paraId="1BE860F7" w14:textId="77777777" w:rsidR="00201AC2" w:rsidRPr="001430C0" w:rsidRDefault="00201AC2" w:rsidP="006F3279">
      <w:pPr>
        <w:spacing w:after="240"/>
        <w:rPr>
          <w:rFonts w:ascii="Century Gothic" w:hAnsi="Century Gothic"/>
          <w:sz w:val="28"/>
          <w:szCs w:val="28"/>
        </w:rPr>
      </w:pPr>
    </w:p>
    <w:p w14:paraId="3CDCA84A" w14:textId="77777777" w:rsidR="00201AC2" w:rsidRPr="00201AC2" w:rsidRDefault="00201AC2" w:rsidP="006F3279">
      <w:pPr>
        <w:spacing w:after="240"/>
        <w:rPr>
          <w:szCs w:val="18"/>
        </w:rPr>
        <w:sectPr w:rsidR="00201AC2" w:rsidRPr="00201AC2" w:rsidSect="00642ECD">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567" w:gutter="0"/>
          <w:cols w:space="708"/>
          <w:docGrid w:linePitch="360"/>
        </w:sectPr>
      </w:pPr>
    </w:p>
    <w:p w14:paraId="78310070" w14:textId="53AF63F3" w:rsidR="00287876" w:rsidRPr="006F3279" w:rsidRDefault="00CF0725" w:rsidP="006F3279">
      <w:pPr>
        <w:spacing w:after="240"/>
        <w:rPr>
          <w:i/>
          <w:sz w:val="18"/>
          <w:szCs w:val="18"/>
        </w:rPr>
      </w:pPr>
      <w:r>
        <w:rPr>
          <w:i/>
          <w:sz w:val="18"/>
          <w:szCs w:val="18"/>
        </w:rPr>
        <w:lastRenderedPageBreak/>
        <w:t>BEST&gt;Properties of materials&gt;</w:t>
      </w:r>
      <w:r w:rsidR="00CD5194">
        <w:rPr>
          <w:i/>
          <w:sz w:val="18"/>
          <w:szCs w:val="18"/>
        </w:rPr>
        <w:t>Vase</w:t>
      </w:r>
    </w:p>
    <w:tbl>
      <w:tblPr>
        <w:tblStyle w:val="TableGrid"/>
        <w:tblW w:w="12021" w:type="dxa"/>
        <w:tblInd w:w="-14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21"/>
      </w:tblGrid>
      <w:tr w:rsidR="006F3279" w14:paraId="694405F0" w14:textId="77777777" w:rsidTr="00323334">
        <w:tc>
          <w:tcPr>
            <w:tcW w:w="12021" w:type="dxa"/>
            <w:shd w:val="clear" w:color="auto" w:fill="FABF8F" w:themeFill="accent6" w:themeFillTint="99"/>
          </w:tcPr>
          <w:p w14:paraId="0AEAB590" w14:textId="77777777" w:rsidR="006F3279" w:rsidRPr="00CA4B46" w:rsidRDefault="007C26E1" w:rsidP="00781BC6">
            <w:pPr>
              <w:ind w:left="1304"/>
              <w:rPr>
                <w:b/>
                <w:sz w:val="40"/>
                <w:szCs w:val="40"/>
              </w:rPr>
            </w:pPr>
            <w:r>
              <w:rPr>
                <w:b/>
                <w:sz w:val="40"/>
                <w:szCs w:val="40"/>
              </w:rPr>
              <w:t>Diagnostic</w:t>
            </w:r>
            <w:r w:rsidR="004C5D20">
              <w:rPr>
                <w:b/>
                <w:sz w:val="40"/>
                <w:szCs w:val="40"/>
              </w:rPr>
              <w:t xml:space="preserve"> </w:t>
            </w:r>
            <w:r w:rsidR="00FA5B3A">
              <w:rPr>
                <w:b/>
                <w:sz w:val="40"/>
                <w:szCs w:val="40"/>
              </w:rPr>
              <w:t>question</w:t>
            </w:r>
          </w:p>
        </w:tc>
      </w:tr>
      <w:tr w:rsidR="006F3279" w14:paraId="58FEDDA1" w14:textId="77777777" w:rsidTr="00323334">
        <w:tc>
          <w:tcPr>
            <w:tcW w:w="12021" w:type="dxa"/>
            <w:shd w:val="clear" w:color="auto" w:fill="FBD4B4" w:themeFill="accent6" w:themeFillTint="66"/>
          </w:tcPr>
          <w:p w14:paraId="71A4C3F7" w14:textId="472F67F1" w:rsidR="006F3279" w:rsidRPr="00CA4B46" w:rsidRDefault="002746BB" w:rsidP="006F3279">
            <w:pPr>
              <w:spacing w:after="60"/>
              <w:ind w:left="1304"/>
              <w:rPr>
                <w:b/>
                <w:sz w:val="40"/>
                <w:szCs w:val="40"/>
              </w:rPr>
            </w:pPr>
            <w:r>
              <w:rPr>
                <w:b/>
                <w:sz w:val="40"/>
                <w:szCs w:val="40"/>
              </w:rPr>
              <w:t>Vase</w:t>
            </w:r>
          </w:p>
        </w:tc>
      </w:tr>
    </w:tbl>
    <w:p w14:paraId="44894FEA" w14:textId="77777777" w:rsidR="006F3279" w:rsidRDefault="006F3279" w:rsidP="00E172C6">
      <w:pPr>
        <w:spacing w:after="180"/>
        <w:rPr>
          <w:b/>
        </w:rPr>
      </w:pPr>
    </w:p>
    <w:p w14:paraId="62CBA975" w14:textId="77777777" w:rsidR="00402E34" w:rsidRPr="00402E34" w:rsidRDefault="00402E34" w:rsidP="00E172C6">
      <w:pPr>
        <w:spacing w:after="180"/>
        <w:rPr>
          <w:b/>
          <w:color w:val="E36C0A" w:themeColor="accent6" w:themeShade="BF"/>
        </w:rPr>
      </w:pPr>
      <w:r w:rsidRPr="00402E34">
        <w:rPr>
          <w:b/>
          <w:color w:val="E36C0A" w:themeColor="accent6" w:themeShade="BF"/>
        </w:rPr>
        <w:t>Overview</w:t>
      </w:r>
    </w:p>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196"/>
        <w:gridCol w:w="6820"/>
      </w:tblGrid>
      <w:tr w:rsidR="00FA5B3A" w14:paraId="1C886845" w14:textId="77777777" w:rsidTr="003F16F9">
        <w:trPr>
          <w:trHeight w:val="340"/>
        </w:trPr>
        <w:tc>
          <w:tcPr>
            <w:tcW w:w="2196" w:type="dxa"/>
          </w:tcPr>
          <w:p w14:paraId="3A30EB76" w14:textId="77777777" w:rsidR="00FA5B3A" w:rsidRDefault="00FA5B3A" w:rsidP="00FA5B3A">
            <w:pPr>
              <w:spacing w:before="60" w:after="60"/>
            </w:pPr>
            <w:r>
              <w:t>Learning focus:</w:t>
            </w:r>
          </w:p>
        </w:tc>
        <w:tc>
          <w:tcPr>
            <w:tcW w:w="6820" w:type="dxa"/>
          </w:tcPr>
          <w:p w14:paraId="01C5CE4F" w14:textId="4A690725" w:rsidR="00FA5B3A" w:rsidRDefault="005801A1" w:rsidP="00FA5B3A">
            <w:pPr>
              <w:spacing w:before="60" w:after="60"/>
            </w:pPr>
            <w:r w:rsidRPr="009B2558">
              <w:t xml:space="preserve">Properties can be used to classify types of material </w:t>
            </w:r>
            <w:r>
              <w:t xml:space="preserve">as </w:t>
            </w:r>
            <w:r w:rsidR="00196FB9">
              <w:t>metals or ceramics.</w:t>
            </w:r>
          </w:p>
        </w:tc>
      </w:tr>
      <w:tr w:rsidR="00FA5B3A" w14:paraId="38B592AD" w14:textId="77777777" w:rsidTr="003F16F9">
        <w:trPr>
          <w:trHeight w:val="340"/>
        </w:trPr>
        <w:tc>
          <w:tcPr>
            <w:tcW w:w="2196" w:type="dxa"/>
          </w:tcPr>
          <w:p w14:paraId="3814E20E" w14:textId="77777777" w:rsidR="00FA5B3A" w:rsidRDefault="00FA5B3A" w:rsidP="00FA5B3A">
            <w:pPr>
              <w:spacing w:before="60" w:after="60"/>
            </w:pPr>
            <w:r>
              <w:t>Observable learning outcome:</w:t>
            </w:r>
          </w:p>
        </w:tc>
        <w:tc>
          <w:tcPr>
            <w:tcW w:w="6820" w:type="dxa"/>
          </w:tcPr>
          <w:p w14:paraId="14310C67" w14:textId="349EBC38" w:rsidR="00FA5B3A" w:rsidRPr="00A50C9C" w:rsidRDefault="002746BB" w:rsidP="00FA5B3A">
            <w:pPr>
              <w:spacing w:before="60" w:after="60"/>
              <w:rPr>
                <w:b/>
              </w:rPr>
            </w:pPr>
            <w:r w:rsidRPr="00B365FF">
              <w:t xml:space="preserve">Use </w:t>
            </w:r>
            <w:r w:rsidR="00996EE4" w:rsidRPr="00B365FF">
              <w:t xml:space="preserve">physical </w:t>
            </w:r>
            <w:r w:rsidRPr="002746BB">
              <w:t>properties to ident</w:t>
            </w:r>
            <w:r w:rsidR="00E44586">
              <w:t xml:space="preserve">ify that an object is made of </w:t>
            </w:r>
            <w:r w:rsidRPr="002746BB">
              <w:t>ceramic</w:t>
            </w:r>
            <w:r w:rsidR="00E44586">
              <w:t>.</w:t>
            </w:r>
          </w:p>
        </w:tc>
      </w:tr>
      <w:tr w:rsidR="00FA5B3A" w14:paraId="764D539A" w14:textId="77777777" w:rsidTr="003F16F9">
        <w:trPr>
          <w:trHeight w:val="340"/>
        </w:trPr>
        <w:tc>
          <w:tcPr>
            <w:tcW w:w="2196" w:type="dxa"/>
          </w:tcPr>
          <w:p w14:paraId="28C8C6B9" w14:textId="77777777" w:rsidR="00FA5B3A" w:rsidRDefault="007F5D5D" w:rsidP="00FA5B3A">
            <w:pPr>
              <w:spacing w:before="60" w:after="60"/>
            </w:pPr>
            <w:r>
              <w:t>Question</w:t>
            </w:r>
            <w:r w:rsidR="00FA5B3A">
              <w:t xml:space="preserve"> type:</w:t>
            </w:r>
          </w:p>
        </w:tc>
        <w:tc>
          <w:tcPr>
            <w:tcW w:w="6820" w:type="dxa"/>
          </w:tcPr>
          <w:p w14:paraId="397C72CF" w14:textId="207E0D94" w:rsidR="00FA5B3A" w:rsidRDefault="00B365FF" w:rsidP="00304A9C">
            <w:pPr>
              <w:spacing w:before="60" w:after="60"/>
            </w:pPr>
            <w:r>
              <w:t>C</w:t>
            </w:r>
            <w:r w:rsidR="00755D62">
              <w:t>onfidence grid</w:t>
            </w:r>
          </w:p>
        </w:tc>
      </w:tr>
      <w:tr w:rsidR="00FA5B3A" w14:paraId="03088543" w14:textId="77777777" w:rsidTr="003F16F9">
        <w:trPr>
          <w:trHeight w:val="340"/>
        </w:trPr>
        <w:tc>
          <w:tcPr>
            <w:tcW w:w="2196" w:type="dxa"/>
          </w:tcPr>
          <w:p w14:paraId="0F8D2413" w14:textId="77777777" w:rsidR="00FA5B3A" w:rsidRDefault="00FA5B3A" w:rsidP="00FA5B3A">
            <w:pPr>
              <w:spacing w:before="60" w:after="60"/>
            </w:pPr>
            <w:r>
              <w:t>Key words:</w:t>
            </w:r>
          </w:p>
        </w:tc>
        <w:tc>
          <w:tcPr>
            <w:tcW w:w="6820" w:type="dxa"/>
            <w:tcBorders>
              <w:bottom w:val="dotted" w:sz="4" w:space="0" w:color="auto"/>
            </w:tcBorders>
          </w:tcPr>
          <w:p w14:paraId="34AD9A63" w14:textId="6B8AB93E" w:rsidR="00FA5B3A" w:rsidRDefault="00B365FF" w:rsidP="00FA5B3A">
            <w:pPr>
              <w:spacing w:before="60" w:after="60"/>
            </w:pPr>
            <w:r w:rsidRPr="00B365FF">
              <w:t>P</w:t>
            </w:r>
            <w:r w:rsidR="00371200" w:rsidRPr="00B365FF">
              <w:t xml:space="preserve">roperties, material, ceramic, </w:t>
            </w:r>
            <w:r w:rsidR="002746BB" w:rsidRPr="00B365FF">
              <w:t>brittle</w:t>
            </w:r>
          </w:p>
        </w:tc>
      </w:tr>
    </w:tbl>
    <w:p w14:paraId="78ECFEC7" w14:textId="77777777" w:rsidR="00E172C6" w:rsidRDefault="00E172C6" w:rsidP="00E172C6">
      <w:pPr>
        <w:spacing w:after="180"/>
      </w:pPr>
    </w:p>
    <w:p w14:paraId="37D7AEB3" w14:textId="77777777" w:rsidR="00371200" w:rsidRPr="00B365FF" w:rsidRDefault="00371200" w:rsidP="00B365FF">
      <w:pPr>
        <w:spacing w:before="180" w:after="180"/>
        <w:rPr>
          <w:rFonts w:ascii="Calibri" w:hAnsi="Calibri" w:cs="Calibri"/>
          <w:b/>
          <w:color w:val="E36C0A" w:themeColor="accent6" w:themeShade="BF"/>
          <w:sz w:val="24"/>
        </w:rPr>
      </w:pPr>
      <w:r w:rsidRPr="00B365FF">
        <w:rPr>
          <w:rFonts w:ascii="Calibri" w:hAnsi="Calibri" w:cs="Calibri"/>
          <w:b/>
          <w:color w:val="E36C0A" w:themeColor="accent6" w:themeShade="BF"/>
          <w:sz w:val="24"/>
        </w:rPr>
        <w:t>Common preconceptions and misunderstandings</w:t>
      </w:r>
    </w:p>
    <w:p w14:paraId="0179D7D9" w14:textId="77777777" w:rsidR="00B365FF" w:rsidRPr="00B365FF" w:rsidRDefault="00B365FF" w:rsidP="00B365FF">
      <w:pPr>
        <w:spacing w:after="180"/>
        <w:rPr>
          <w:rFonts w:ascii="Calibri" w:hAnsi="Calibri" w:cs="Calibri"/>
        </w:rPr>
      </w:pPr>
      <w:r w:rsidRPr="00B365FF">
        <w:rPr>
          <w:rFonts w:ascii="Calibri" w:hAnsi="Calibri" w:cs="Calibri"/>
        </w:rPr>
        <w:t>This diagnostic question targets the following misunderstandings that pupils might have:</w:t>
      </w:r>
    </w:p>
    <w:p w14:paraId="3DF95DD8" w14:textId="558565CB" w:rsidR="00371200" w:rsidRPr="00B365FF" w:rsidRDefault="00371200" w:rsidP="00B365FF">
      <w:pPr>
        <w:pStyle w:val="ListParagraph"/>
        <w:numPr>
          <w:ilvl w:val="0"/>
          <w:numId w:val="4"/>
        </w:numPr>
        <w:spacing w:after="180"/>
        <w:ind w:left="567" w:hanging="425"/>
      </w:pPr>
      <w:r w:rsidRPr="00B365FF">
        <w:t>properties such as sharpness and mass should be used</w:t>
      </w:r>
      <w:r w:rsidR="007A1E64" w:rsidRPr="00B365FF">
        <w:t xml:space="preserve"> to classify a material</w:t>
      </w:r>
      <w:r w:rsidRPr="00B365FF">
        <w:t>, however, these are properties of the object and not the material itself.</w:t>
      </w:r>
    </w:p>
    <w:p w14:paraId="2291F9AB" w14:textId="77777777" w:rsidR="00371200" w:rsidRPr="0040480F" w:rsidRDefault="00371200" w:rsidP="00371200">
      <w:pPr>
        <w:spacing w:after="180"/>
        <w:rPr>
          <w:rFonts w:ascii="Calibri" w:hAnsi="Calibri" w:cs="Calibri"/>
        </w:rPr>
      </w:pPr>
      <w:r w:rsidRPr="0040480F">
        <w:rPr>
          <w:rFonts w:ascii="Calibri" w:hAnsi="Calibri" w:cs="Calibri"/>
        </w:rPr>
        <w:t xml:space="preserve">What to know more? Read </w:t>
      </w:r>
      <w:r w:rsidRPr="0040480F">
        <w:rPr>
          <w:rFonts w:ascii="Calibri" w:hAnsi="Calibri" w:cs="Calibri"/>
          <w:i/>
        </w:rPr>
        <w:t>What does the research say?</w:t>
      </w:r>
      <w:r w:rsidRPr="0040480F">
        <w:rPr>
          <w:rFonts w:ascii="Calibri" w:hAnsi="Calibri" w:cs="Calibri"/>
        </w:rPr>
        <w:t xml:space="preserve"> towards the end of the Teacher Notes.</w:t>
      </w:r>
    </w:p>
    <w:p w14:paraId="063C6A9D" w14:textId="77777777" w:rsidR="007A748B" w:rsidRPr="00323334" w:rsidRDefault="007A748B" w:rsidP="00DB121D">
      <w:pPr>
        <w:spacing w:before="360" w:after="180"/>
        <w:rPr>
          <w:b/>
          <w:color w:val="E36C0A" w:themeColor="accent6" w:themeShade="BF"/>
          <w:sz w:val="24"/>
        </w:rPr>
      </w:pPr>
      <w:r w:rsidRPr="00323334">
        <w:rPr>
          <w:b/>
          <w:color w:val="E36C0A" w:themeColor="accent6" w:themeShade="BF"/>
          <w:sz w:val="24"/>
        </w:rPr>
        <w:t xml:space="preserve">Ways to use this </w:t>
      </w:r>
      <w:r w:rsidR="00C1460B">
        <w:rPr>
          <w:b/>
          <w:color w:val="E36C0A" w:themeColor="accent6" w:themeShade="BF"/>
          <w:sz w:val="24"/>
        </w:rPr>
        <w:t>question</w:t>
      </w:r>
    </w:p>
    <w:p w14:paraId="423503D8" w14:textId="43679408" w:rsidR="00462904" w:rsidRPr="00B365FF" w:rsidRDefault="00462904" w:rsidP="00751D2E">
      <w:pPr>
        <w:spacing w:after="120"/>
        <w:rPr>
          <w:rFonts w:ascii="Calibri" w:hAnsi="Calibri" w:cs="Calibri"/>
        </w:rPr>
      </w:pPr>
      <w:r w:rsidRPr="00B365FF">
        <w:rPr>
          <w:rFonts w:ascii="Calibri" w:hAnsi="Calibri" w:cs="Calibri"/>
        </w:rPr>
        <w:t>Primary aged children may not have used a confidence grid before</w:t>
      </w:r>
      <w:r w:rsidR="00FB552A" w:rsidRPr="00B365FF">
        <w:rPr>
          <w:rFonts w:ascii="Calibri" w:hAnsi="Calibri" w:cs="Calibri"/>
        </w:rPr>
        <w:t>. It might be helpful for you to model how to use the grid to indicate how confident you might be feeling about something. Use everyday examples to enable the children to understand different levels of certainty.</w:t>
      </w:r>
      <w:r w:rsidR="00DE0526" w:rsidRPr="00B365FF">
        <w:rPr>
          <w:rFonts w:ascii="Calibri" w:hAnsi="Calibri" w:cs="Calibri"/>
        </w:rPr>
        <w:t xml:space="preserve"> Example</w:t>
      </w:r>
      <w:r w:rsidR="000808D0" w:rsidRPr="00B365FF">
        <w:rPr>
          <w:rFonts w:ascii="Calibri" w:hAnsi="Calibri" w:cs="Calibri"/>
        </w:rPr>
        <w:t>s</w:t>
      </w:r>
      <w:r w:rsidR="00DE0526" w:rsidRPr="00B365FF">
        <w:rPr>
          <w:rFonts w:ascii="Calibri" w:hAnsi="Calibri" w:cs="Calibri"/>
        </w:rPr>
        <w:t xml:space="preserve"> of this might include: </w:t>
      </w:r>
      <w:r w:rsidR="00DE0526" w:rsidRPr="00B365FF">
        <w:rPr>
          <w:rFonts w:ascii="Calibri" w:hAnsi="Calibri" w:cs="Calibri"/>
          <w:i/>
        </w:rPr>
        <w:t>An animal that has feathers and lays eggs is a bird . . . I am sure this is right</w:t>
      </w:r>
      <w:r w:rsidR="00DE0526" w:rsidRPr="00B365FF">
        <w:rPr>
          <w:rFonts w:ascii="Calibri" w:hAnsi="Calibri" w:cs="Calibri"/>
        </w:rPr>
        <w:t xml:space="preserve">, or </w:t>
      </w:r>
      <w:r w:rsidR="00DE0526" w:rsidRPr="00B365FF">
        <w:rPr>
          <w:rFonts w:ascii="Calibri" w:hAnsi="Calibri" w:cs="Calibri"/>
          <w:i/>
        </w:rPr>
        <w:t>The Sun that we see from Earth is a planet . . . I think this is wrong.</w:t>
      </w:r>
    </w:p>
    <w:p w14:paraId="4DBE4389" w14:textId="1365C4A1" w:rsidR="00751D2E" w:rsidRPr="00B365FF" w:rsidRDefault="00751D2E" w:rsidP="00751D2E">
      <w:pPr>
        <w:spacing w:after="120"/>
        <w:rPr>
          <w:rFonts w:ascii="Calibri" w:hAnsi="Calibri" w:cs="Calibri"/>
        </w:rPr>
      </w:pPr>
      <w:r w:rsidRPr="00B365FF">
        <w:rPr>
          <w:rFonts w:ascii="Calibri" w:hAnsi="Calibri" w:cs="Calibri"/>
        </w:rPr>
        <w:t>Children should complete the confidence grid individually in order to capture their current understanding. They should be reassured that the questions are designed to uncover their thinking and that ‘getting the answers right’ at this stage is not the most important thing. There will be time for them to share and discuss their ideas with others at a later stage.</w:t>
      </w:r>
    </w:p>
    <w:p w14:paraId="6B38F6AF" w14:textId="715E0AF0" w:rsidR="00751D2E" w:rsidRPr="00B365FF" w:rsidRDefault="003A07FC" w:rsidP="00751D2E">
      <w:pPr>
        <w:spacing w:after="120"/>
        <w:rPr>
          <w:rFonts w:ascii="Calibri" w:hAnsi="Calibri" w:cs="Calibri"/>
        </w:rPr>
      </w:pPr>
      <w:r w:rsidRPr="00B365FF">
        <w:rPr>
          <w:rFonts w:ascii="Calibri" w:hAnsi="Calibri" w:cs="Calibri"/>
        </w:rPr>
        <w:t xml:space="preserve">Provide sufficient time for the children to think and make their decisions. </w:t>
      </w:r>
      <w:r w:rsidR="00751D2E" w:rsidRPr="00B365FF">
        <w:rPr>
          <w:rFonts w:ascii="Calibri" w:hAnsi="Calibri" w:cs="Calibri"/>
        </w:rPr>
        <w:t xml:space="preserve">Answers could be recorded formally as a pencil and paper </w:t>
      </w:r>
      <w:r w:rsidR="00E30F09">
        <w:rPr>
          <w:rFonts w:ascii="Calibri" w:hAnsi="Calibri" w:cs="Calibri"/>
        </w:rPr>
        <w:t xml:space="preserve">exercise (using the activity </w:t>
      </w:r>
      <w:r w:rsidR="00751D2E" w:rsidRPr="00B365FF">
        <w:rPr>
          <w:rFonts w:ascii="Calibri" w:hAnsi="Calibri" w:cs="Calibri"/>
        </w:rPr>
        <w:t>sheet) or you could use the accompanying presentation with an electronic voting system or mini white boards and take additional</w:t>
      </w:r>
      <w:r w:rsidR="00DE0526" w:rsidRPr="00B365FF">
        <w:rPr>
          <w:rFonts w:ascii="Calibri" w:hAnsi="Calibri" w:cs="Calibri"/>
        </w:rPr>
        <w:t xml:space="preserve"> verbal feedback from children to enable them to explain their reasoning</w:t>
      </w:r>
      <w:r w:rsidR="00751D2E" w:rsidRPr="00B365FF">
        <w:rPr>
          <w:rFonts w:ascii="Calibri" w:hAnsi="Calibri" w:cs="Calibri"/>
        </w:rPr>
        <w:t>.</w:t>
      </w:r>
    </w:p>
    <w:p w14:paraId="2D94E3D0" w14:textId="37D460F8" w:rsidR="00755D62" w:rsidRPr="00B365FF" w:rsidRDefault="00755D62" w:rsidP="00755D62">
      <w:pPr>
        <w:spacing w:after="180"/>
        <w:rPr>
          <w:rFonts w:cstheme="minorHAnsi"/>
          <w:i/>
        </w:rPr>
      </w:pPr>
      <w:r w:rsidRPr="00B365FF">
        <w:rPr>
          <w:rFonts w:cstheme="minorHAnsi"/>
          <w:i/>
        </w:rPr>
        <w:t>Differentiation</w:t>
      </w:r>
    </w:p>
    <w:p w14:paraId="7C162AC5" w14:textId="4092BDD1" w:rsidR="00751D2E" w:rsidRPr="00B365FF" w:rsidRDefault="00751D2E" w:rsidP="00755D62">
      <w:pPr>
        <w:spacing w:after="180"/>
        <w:rPr>
          <w:rFonts w:ascii="Calibri" w:hAnsi="Calibri" w:cs="Calibri"/>
          <w:highlight w:val="yellow"/>
        </w:rPr>
      </w:pPr>
      <w:r w:rsidRPr="00B365FF">
        <w:rPr>
          <w:rFonts w:ascii="Calibri" w:hAnsi="Calibri" w:cs="Calibri"/>
        </w:rPr>
        <w:t>You may choose to read the questions to the class, so that everyone can focus on the science. In some situations, it may be more appropriate for a teaching assistant to read and/or scribe for a selected number of children.</w:t>
      </w:r>
      <w:r w:rsidRPr="00B365FF">
        <w:rPr>
          <w:rFonts w:ascii="Calibri" w:hAnsi="Calibri" w:cs="Calibri"/>
          <w:highlight w:val="yellow"/>
        </w:rPr>
        <w:t xml:space="preserve"> </w:t>
      </w:r>
    </w:p>
    <w:p w14:paraId="2908B5E5" w14:textId="77777777" w:rsidR="00DB121D" w:rsidRDefault="00DB121D">
      <w:pPr>
        <w:spacing w:after="200" w:line="276" w:lineRule="auto"/>
        <w:rPr>
          <w:b/>
          <w:color w:val="E36C0A" w:themeColor="accent6" w:themeShade="BF"/>
          <w:sz w:val="24"/>
        </w:rPr>
      </w:pPr>
      <w:r>
        <w:rPr>
          <w:b/>
          <w:color w:val="E36C0A" w:themeColor="accent6" w:themeShade="BF"/>
          <w:sz w:val="24"/>
        </w:rPr>
        <w:br w:type="page"/>
      </w:r>
    </w:p>
    <w:p w14:paraId="1D9F9A7F" w14:textId="6BCCC0AE" w:rsidR="00E172C6" w:rsidRPr="00323334" w:rsidRDefault="00BB44B4" w:rsidP="00DB121D">
      <w:pPr>
        <w:spacing w:before="360" w:after="180"/>
        <w:rPr>
          <w:b/>
          <w:color w:val="E36C0A" w:themeColor="accent6" w:themeShade="BF"/>
          <w:sz w:val="24"/>
        </w:rPr>
      </w:pPr>
      <w:r w:rsidRPr="00323334">
        <w:rPr>
          <w:b/>
          <w:color w:val="E36C0A" w:themeColor="accent6" w:themeShade="BF"/>
          <w:sz w:val="24"/>
        </w:rPr>
        <w:lastRenderedPageBreak/>
        <w:t>Expected answers</w:t>
      </w:r>
    </w:p>
    <w:p w14:paraId="0EF6B46F" w14:textId="5697EC29" w:rsidR="00BF6C8A" w:rsidRDefault="00B365FF" w:rsidP="00BF6C8A">
      <w:pPr>
        <w:spacing w:after="180"/>
      </w:pPr>
      <w:r w:rsidRPr="00B365FF">
        <w:t xml:space="preserve">Statement C is right, </w:t>
      </w:r>
      <w:r w:rsidR="005A7CA8" w:rsidRPr="00B365FF">
        <w:t>as b</w:t>
      </w:r>
      <w:r w:rsidR="00156CA9" w:rsidRPr="00B365FF">
        <w:t xml:space="preserve">rittleness is a </w:t>
      </w:r>
      <w:r w:rsidR="00156CA9">
        <w:t>key property of ceramics.</w:t>
      </w:r>
    </w:p>
    <w:p w14:paraId="3D73F93A" w14:textId="66BD5CF2" w:rsidR="00B365FF" w:rsidRDefault="00B365FF" w:rsidP="00BF6C8A">
      <w:pPr>
        <w:spacing w:after="180"/>
      </w:pPr>
      <w:r>
        <w:t>Statements A, B and D are wrong.</w:t>
      </w:r>
    </w:p>
    <w:p w14:paraId="2974C5F1" w14:textId="76CC03ED" w:rsidR="006A4440" w:rsidRPr="00323334" w:rsidRDefault="004C5D20" w:rsidP="00DB121D">
      <w:pPr>
        <w:spacing w:before="360" w:after="180"/>
        <w:rPr>
          <w:b/>
          <w:color w:val="E36C0A" w:themeColor="accent6" w:themeShade="BF"/>
          <w:sz w:val="24"/>
        </w:rPr>
      </w:pPr>
      <w:r w:rsidRPr="00323334">
        <w:rPr>
          <w:b/>
          <w:color w:val="E36C0A" w:themeColor="accent6" w:themeShade="BF"/>
          <w:sz w:val="24"/>
        </w:rPr>
        <w:t>How to respond - w</w:t>
      </w:r>
      <w:r w:rsidR="006A4440" w:rsidRPr="00323334">
        <w:rPr>
          <w:b/>
          <w:color w:val="E36C0A" w:themeColor="accent6" w:themeShade="BF"/>
          <w:sz w:val="24"/>
        </w:rPr>
        <w:t>h</w:t>
      </w:r>
      <w:r w:rsidRPr="00323334">
        <w:rPr>
          <w:b/>
          <w:color w:val="E36C0A" w:themeColor="accent6" w:themeShade="BF"/>
          <w:sz w:val="24"/>
        </w:rPr>
        <w:t>at</w:t>
      </w:r>
      <w:r w:rsidR="006A4440" w:rsidRPr="00323334">
        <w:rPr>
          <w:b/>
          <w:color w:val="E36C0A" w:themeColor="accent6" w:themeShade="BF"/>
          <w:sz w:val="24"/>
        </w:rPr>
        <w:t xml:space="preserve"> next?</w:t>
      </w:r>
    </w:p>
    <w:p w14:paraId="69B830B3" w14:textId="4CFB4A2B" w:rsidR="00751D2E" w:rsidRPr="00B365FF" w:rsidRDefault="00751D2E" w:rsidP="00751D2E">
      <w:pPr>
        <w:spacing w:after="180"/>
        <w:rPr>
          <w:rFonts w:ascii="Calibri" w:hAnsi="Calibri" w:cs="Calibri"/>
        </w:rPr>
      </w:pPr>
      <w:r w:rsidRPr="00B365FF">
        <w:rPr>
          <w:rFonts w:ascii="Calibri" w:hAnsi="Calibri" w:cs="Calibri"/>
        </w:rPr>
        <w:t>If there is a range of answers, an effective way to respond would be through structured c</w:t>
      </w:r>
      <w:r w:rsidR="00E30F09">
        <w:rPr>
          <w:rFonts w:ascii="Calibri" w:hAnsi="Calibri" w:cs="Calibri"/>
        </w:rPr>
        <w:t>lass discussion. Ask one child</w:t>
      </w:r>
      <w:r w:rsidRPr="00B365FF">
        <w:rPr>
          <w:rFonts w:ascii="Calibri" w:hAnsi="Calibri" w:cs="Calibri"/>
        </w:rPr>
        <w:t xml:space="preserve"> to explain why they gave the answ</w:t>
      </w:r>
      <w:r w:rsidR="00E30F09">
        <w:rPr>
          <w:rFonts w:ascii="Calibri" w:hAnsi="Calibri" w:cs="Calibri"/>
        </w:rPr>
        <w:t>er they did; ask another child</w:t>
      </w:r>
      <w:r w:rsidRPr="00B365FF">
        <w:rPr>
          <w:rFonts w:ascii="Calibri" w:hAnsi="Calibri" w:cs="Calibri"/>
        </w:rPr>
        <w:t xml:space="preserve"> to explain why they agree with them; ask another to explain why they disagree, and so on until some sort of shared understanding has been reached. This s</w:t>
      </w:r>
      <w:r w:rsidR="00E30F09">
        <w:rPr>
          <w:rFonts w:ascii="Calibri" w:hAnsi="Calibri" w:cs="Calibri"/>
        </w:rPr>
        <w:t>ort of discussion gives children</w:t>
      </w:r>
      <w:r w:rsidRPr="00B365FF">
        <w:rPr>
          <w:rFonts w:ascii="Calibri" w:hAnsi="Calibri" w:cs="Calibri"/>
        </w:rPr>
        <w:t xml:space="preserve"> the opportunity to explore their thinking and for you to really understand their learning needs. </w:t>
      </w:r>
    </w:p>
    <w:p w14:paraId="7FDA6A31" w14:textId="7ECBD888" w:rsidR="004F039C" w:rsidRPr="00B365FF" w:rsidRDefault="00DB0B8A" w:rsidP="006A4440">
      <w:pPr>
        <w:spacing w:after="180"/>
      </w:pPr>
      <w:r w:rsidRPr="00B365FF">
        <w:t>A child</w:t>
      </w:r>
      <w:r w:rsidR="00156CA9" w:rsidRPr="00B365FF">
        <w:t xml:space="preserve"> who is confident that smoothness or height can be used to decide if the vase is made of a ceramic may be thinking only </w:t>
      </w:r>
      <w:r w:rsidR="005801A1" w:rsidRPr="00B365FF">
        <w:t>of</w:t>
      </w:r>
      <w:r w:rsidRPr="00B365FF">
        <w:t xml:space="preserve"> extensive properties that </w:t>
      </w:r>
      <w:r w:rsidR="00D7316E" w:rsidRPr="00B365FF">
        <w:t xml:space="preserve">are </w:t>
      </w:r>
      <w:r w:rsidRPr="00B365FF">
        <w:t>depend</w:t>
      </w:r>
      <w:r w:rsidR="00D7316E" w:rsidRPr="00B365FF">
        <w:t>ent</w:t>
      </w:r>
      <w:r w:rsidRPr="00B365FF">
        <w:t xml:space="preserve"> on the amount </w:t>
      </w:r>
      <w:r w:rsidR="00C41E6F" w:rsidRPr="00B365FF">
        <w:t xml:space="preserve">of matter that is present. Other extensive properties include </w:t>
      </w:r>
      <w:r w:rsidR="00D7316E" w:rsidRPr="00B365FF">
        <w:t>mass, shape, volume,</w:t>
      </w:r>
      <w:r w:rsidRPr="00B365FF">
        <w:t xml:space="preserve"> weight and length. </w:t>
      </w:r>
      <w:r w:rsidR="0077663A" w:rsidRPr="00B365FF">
        <w:t>Explain to children that t</w:t>
      </w:r>
      <w:r w:rsidR="00156CA9" w:rsidRPr="00B365FF">
        <w:t>he artist creating the vase could easily have added a texture to the ceramic to make it rough or could have made the vase smaller.</w:t>
      </w:r>
    </w:p>
    <w:p w14:paraId="309A7311" w14:textId="16C0A44B" w:rsidR="00D7316E" w:rsidRPr="00B365FF" w:rsidRDefault="00DB0B8A" w:rsidP="00DB0B8A">
      <w:pPr>
        <w:spacing w:after="180"/>
      </w:pPr>
      <w:r w:rsidRPr="00B365FF">
        <w:t>It might be helpful for children to think of other materials that can be made smooth but are not made of a ceramic, such as a glass mirror or the surface of an ice rink. A</w:t>
      </w:r>
      <w:r w:rsidR="0077663A" w:rsidRPr="00B365FF">
        <w:t>lso, to give examples of other things</w:t>
      </w:r>
      <w:r w:rsidR="007060E2" w:rsidRPr="00B365FF">
        <w:t xml:space="preserve"> t</w:t>
      </w:r>
      <w:r w:rsidR="00D7316E" w:rsidRPr="00B365FF">
        <w:t>hat can be produced to different heights and are, therefore, a property of the object and not the material itself.</w:t>
      </w:r>
    </w:p>
    <w:p w14:paraId="178B12F6" w14:textId="7D10F26C" w:rsidR="00156CA9" w:rsidRPr="00B365FF" w:rsidRDefault="000B1C9B" w:rsidP="000B1C9B">
      <w:pPr>
        <w:spacing w:after="180"/>
      </w:pPr>
      <w:r w:rsidRPr="00B365FF">
        <w:t>A child</w:t>
      </w:r>
      <w:r w:rsidR="00156CA9" w:rsidRPr="00B365FF">
        <w:t xml:space="preserve"> who is sure that the colour of the vase means that it is a ceramic may be comparing the material only </w:t>
      </w:r>
      <w:r w:rsidRPr="00B365FF">
        <w:t xml:space="preserve">(not the object itself) </w:t>
      </w:r>
      <w:r w:rsidR="00156CA9" w:rsidRPr="00B365FF">
        <w:t>with a metal, which is shiny. The colour would not distinguish</w:t>
      </w:r>
      <w:r w:rsidRPr="00B365FF">
        <w:t xml:space="preserve"> a </w:t>
      </w:r>
      <w:r w:rsidR="00156CA9" w:rsidRPr="00B365FF">
        <w:t xml:space="preserve">ceramic </w:t>
      </w:r>
      <w:r w:rsidRPr="00B365FF">
        <w:t>from other types of coloured materials, such as polymers or painted metals. It might be helpful for children to think of other materials that can be different colours but are not made of a ceramic, such as paper and fabrics.</w:t>
      </w:r>
    </w:p>
    <w:p w14:paraId="3612FAD3" w14:textId="1C073555" w:rsidR="009C5C20" w:rsidRPr="00972E7E" w:rsidRDefault="009C5C20" w:rsidP="00B365FF">
      <w:pPr>
        <w:spacing w:before="360" w:after="180"/>
      </w:pPr>
      <w:r w:rsidRPr="00972E7E">
        <w:t>If children</w:t>
      </w:r>
      <w:r w:rsidR="004F039C" w:rsidRPr="00972E7E">
        <w:t xml:space="preserve"> have </w:t>
      </w:r>
      <w:r w:rsidR="001E4950" w:rsidRPr="00972E7E">
        <w:t>misunderstanding</w:t>
      </w:r>
      <w:r w:rsidR="004F039C" w:rsidRPr="00972E7E">
        <w:t xml:space="preserve">s </w:t>
      </w:r>
      <w:r w:rsidR="00156CA9" w:rsidRPr="00972E7E">
        <w:t xml:space="preserve">about the </w:t>
      </w:r>
      <w:r w:rsidR="00121044" w:rsidRPr="00972E7E">
        <w:t xml:space="preserve">properties of materials </w:t>
      </w:r>
      <w:r w:rsidR="00156CA9" w:rsidRPr="00972E7E">
        <w:t xml:space="preserve">it may help them to think about </w:t>
      </w:r>
      <w:r w:rsidR="005801A1" w:rsidRPr="00972E7E">
        <w:t xml:space="preserve">whether </w:t>
      </w:r>
      <w:r w:rsidR="00121044" w:rsidRPr="00972E7E">
        <w:t>the properties remain if the v</w:t>
      </w:r>
      <w:r w:rsidR="00156CA9" w:rsidRPr="00972E7E">
        <w:t>ase is broken into smaller pieces.</w:t>
      </w:r>
      <w:r w:rsidR="00121044" w:rsidRPr="00972E7E">
        <w:t xml:space="preserve"> </w:t>
      </w:r>
      <w:r w:rsidRPr="00972E7E">
        <w:rPr>
          <w:rFonts w:ascii="Calibri" w:hAnsi="Calibri" w:cs="Calibri"/>
        </w:rPr>
        <w:t xml:space="preserve">They could record their evolving ideas using the statement: I used to think this </w:t>
      </w:r>
      <w:r w:rsidR="00972E7E" w:rsidRPr="00972E7E">
        <w:rPr>
          <w:rFonts w:ascii="Calibri" w:hAnsi="Calibri" w:cs="Calibri"/>
        </w:rPr>
        <w:t xml:space="preserve">… </w:t>
      </w:r>
      <w:r w:rsidRPr="00972E7E">
        <w:rPr>
          <w:rFonts w:ascii="Calibri" w:hAnsi="Calibri" w:cs="Calibri"/>
        </w:rPr>
        <w:t xml:space="preserve"> because </w:t>
      </w:r>
      <w:r w:rsidR="00972E7E" w:rsidRPr="00972E7E">
        <w:rPr>
          <w:rFonts w:ascii="Calibri" w:hAnsi="Calibri" w:cs="Calibri"/>
        </w:rPr>
        <w:t xml:space="preserve">… </w:t>
      </w:r>
      <w:r w:rsidRPr="00972E7E">
        <w:rPr>
          <w:rFonts w:ascii="Calibri" w:hAnsi="Calibri" w:cs="Calibri"/>
        </w:rPr>
        <w:t xml:space="preserve">  and now I think this </w:t>
      </w:r>
      <w:r w:rsidR="00972E7E" w:rsidRPr="00972E7E">
        <w:rPr>
          <w:rFonts w:ascii="Calibri" w:hAnsi="Calibri" w:cs="Calibri"/>
        </w:rPr>
        <w:t>…</w:t>
      </w:r>
      <w:r w:rsidRPr="00972E7E">
        <w:rPr>
          <w:rFonts w:ascii="Calibri" w:hAnsi="Calibri" w:cs="Calibri"/>
        </w:rPr>
        <w:t xml:space="preserve"> because </w:t>
      </w:r>
      <w:r w:rsidR="00972E7E" w:rsidRPr="00972E7E">
        <w:rPr>
          <w:rFonts w:ascii="Calibri" w:hAnsi="Calibri" w:cs="Calibri"/>
        </w:rPr>
        <w:t>…</w:t>
      </w:r>
      <w:r w:rsidRPr="00972E7E">
        <w:rPr>
          <w:rFonts w:ascii="Calibri" w:hAnsi="Calibri" w:cs="Calibri"/>
        </w:rPr>
        <w:t xml:space="preserve">  This is an opportunity for them to evidence any progress in learning. </w:t>
      </w:r>
    </w:p>
    <w:p w14:paraId="66BF7FF0" w14:textId="3DE5978E" w:rsidR="00396C64" w:rsidRDefault="00396C64" w:rsidP="00DB121D">
      <w:pPr>
        <w:spacing w:after="180"/>
        <w:rPr>
          <w:color w:val="F79646" w:themeColor="accent6"/>
        </w:rPr>
      </w:pPr>
      <w:r w:rsidRPr="00972E7E">
        <w:t>it is our intention to link each diagnostic question to a dedicated response activity relevant to primary. In the meantime, we refer you to the</w:t>
      </w:r>
      <w:r w:rsidR="00C819BB">
        <w:t xml:space="preserve"> existing BEST 11-14</w:t>
      </w:r>
      <w:r w:rsidRPr="00972E7E">
        <w:t xml:space="preserve"> activity</w:t>
      </w:r>
      <w:r w:rsidR="0039774A" w:rsidRPr="00972E7E">
        <w:t xml:space="preserve">, which can be found in the ‘Classifying materials’ folder at </w:t>
      </w:r>
      <w:hyperlink r:id="rId14" w:history="1">
        <w:r w:rsidR="0039774A">
          <w:rPr>
            <w:rStyle w:val="Hyperlink"/>
          </w:rPr>
          <w:t>www.stem.org.uk/best/chemistry-earth-science/big-idea-substances-and-properties</w:t>
        </w:r>
      </w:hyperlink>
      <w:r w:rsidR="0039774A">
        <w:t xml:space="preserve">, </w:t>
      </w:r>
      <w:r w:rsidRPr="00972E7E">
        <w:t>and ask you to use and adapt where you feel appropriate.</w:t>
      </w:r>
    </w:p>
    <w:p w14:paraId="2CDEC587" w14:textId="1748AE8F" w:rsidR="00A6111E" w:rsidRDefault="00396C64" w:rsidP="00396C64">
      <w:pPr>
        <w:pStyle w:val="ListParagraph"/>
        <w:numPr>
          <w:ilvl w:val="0"/>
          <w:numId w:val="4"/>
        </w:numPr>
        <w:spacing w:after="180"/>
      </w:pPr>
      <w:r>
        <w:t xml:space="preserve">Response activity: </w:t>
      </w:r>
      <w:r w:rsidR="00156CA9" w:rsidRPr="00156CA9">
        <w:t>Broken chain</w:t>
      </w:r>
    </w:p>
    <w:p w14:paraId="2739F714" w14:textId="77777777" w:rsidR="00371200" w:rsidRPr="00323334" w:rsidRDefault="00371200" w:rsidP="00972E7E">
      <w:pPr>
        <w:spacing w:before="360" w:after="180"/>
        <w:rPr>
          <w:b/>
          <w:color w:val="E36C0A" w:themeColor="accent6" w:themeShade="BF"/>
          <w:sz w:val="24"/>
        </w:rPr>
      </w:pPr>
      <w:r w:rsidRPr="00323334">
        <w:rPr>
          <w:b/>
          <w:color w:val="E36C0A" w:themeColor="accent6" w:themeShade="BF"/>
          <w:sz w:val="24"/>
        </w:rPr>
        <w:t>What does the research say?</w:t>
      </w:r>
    </w:p>
    <w:p w14:paraId="75C86FD6" w14:textId="3A9B8C13" w:rsidR="00371200" w:rsidRDefault="00371200" w:rsidP="00371200">
      <w:pPr>
        <w:spacing w:after="180"/>
      </w:pPr>
      <w:bookmarkStart w:id="1" w:name="_Hlk40191914"/>
      <w:r>
        <w:t xml:space="preserve">According research </w:t>
      </w:r>
      <w:r>
        <w:fldChar w:fldCharType="begin"/>
      </w:r>
      <w:r>
        <w:instrText xml:space="preserve"> ADDIN EN.CITE &lt;EndNote&gt;&lt;Cite&gt;&lt;Author&gt;Krnel&lt;/Author&gt;&lt;Year&gt;1998&lt;/Year&gt;&lt;IDText&gt;Survey of research related to the development of the concept of &amp;apos;matter&amp;apos;&lt;/IDText&gt;&lt;DisplayText&gt;(Krnel, Watson and Glažar, 1998)&lt;/DisplayText&gt;&lt;record&gt;&lt;titles&gt;&lt;title&gt;Survey of research related to the development of the concept of &amp;apos;matter&amp;apos;&lt;/title&gt;&lt;secondary-title&gt;International Journal of Science Education&lt;/secondary-title&gt;&lt;/titles&gt;&lt;pages&gt;257-289&lt;/pages&gt;&lt;number&gt;3&lt;/number&gt;&lt;contributors&gt;&lt;authors&gt;&lt;author&gt;Krnel, D.&lt;/author&gt;&lt;author&gt;Watson, R.&lt;/author&gt;&lt;author&gt;Glažar, S.A.&lt;/author&gt;&lt;/authors&gt;&lt;/contributors&gt;&lt;added-date format="utc"&gt;1587131500&lt;/added-date&gt;&lt;ref-type name="Journal Article"&gt;17&lt;/ref-type&gt;&lt;dates&gt;&lt;year&gt;1998&lt;/year&gt;&lt;/dates&gt;&lt;rec-number&gt;98&lt;/rec-number&gt;&lt;last-updated-date format="utc"&gt;1587131651&lt;/last-updated-date&gt;&lt;volume&gt;20&lt;/volume&gt;&lt;/record&gt;&lt;/Cite&gt;&lt;/EndNote&gt;</w:instrText>
      </w:r>
      <w:r>
        <w:fldChar w:fldCharType="separate"/>
      </w:r>
      <w:r>
        <w:rPr>
          <w:noProof/>
        </w:rPr>
        <w:t>(Krnel, Watson and Glažar, 1998)</w:t>
      </w:r>
      <w:r>
        <w:fldChar w:fldCharType="end"/>
      </w:r>
      <w:r>
        <w:t xml:space="preserve"> metals have typical properties that enable them to be classified early. However, both extensive properties (e.g. sharpness and mass) as well as intensive properties (e.g. strength, hardness and lustre) are used by some </w:t>
      </w:r>
      <w:r w:rsidR="00972E7E">
        <w:t>pupils</w:t>
      </w:r>
      <w:r>
        <w:t xml:space="preserve">. Extensive properties are properties of the object and not the material itself. </w:t>
      </w:r>
    </w:p>
    <w:p w14:paraId="25776013" w14:textId="1BE58177" w:rsidR="00371200" w:rsidRDefault="00371200" w:rsidP="00371200">
      <w:pPr>
        <w:spacing w:after="180"/>
      </w:pPr>
      <w:r>
        <w:t xml:space="preserve">Another paper </w:t>
      </w:r>
      <w:r>
        <w:fldChar w:fldCharType="begin"/>
      </w:r>
      <w:r>
        <w:instrText xml:space="preserve"> ADDIN EN.CITE &lt;EndNote&gt;&lt;Cite&gt;&lt;Author&gt;Cersonsky&lt;/Author&gt;&lt;Year&gt;2017&lt;/Year&gt;&lt;IDText&gt;Augmenting primary and secondary education with polymer science and engineering&lt;/IDText&gt;&lt;DisplayText&gt;(Cersonsky et al., 2017)&lt;/DisplayText&gt;&lt;record&gt;&lt;titles&gt;&lt;title&gt;Augmenting primary and secondary education with polymer science and engineering&lt;/title&gt;&lt;secondary-title&gt;Journal of Chemical Education&lt;/secondary-title&gt;&lt;/titles&gt;&lt;pages&gt;1639-1646&lt;/pages&gt;&lt;contributors&gt;&lt;authors&gt;&lt;author&gt;Cersonsky, Rose K.&lt;/author&gt;&lt;author&gt;Foster, Leanna L.&lt;/author&gt;&lt;author&gt;Ahn, Taeyong&lt;/author&gt;&lt;author&gt;Hall, Ryan J.&lt;/author&gt;&lt;author&gt;van der Laan, Harry L.&lt;/author&gt;&lt;/authors&gt;&lt;/contributors&gt;&lt;added-date format="utc"&gt;1587392118&lt;/added-date&gt;&lt;ref-type name="Journal Article"&gt;17&lt;/ref-type&gt;&lt;dates&gt;&lt;year&gt;2017&lt;/year&gt;&lt;/dates&gt;&lt;rec-number&gt;101&lt;/rec-number&gt;&lt;last-updated-date format="utc"&gt;1591020074&lt;/last-updated-date&gt;&lt;volume&gt;94&lt;/volume&gt;&lt;/record&gt;&lt;/Cite&gt;&lt;/EndNote&gt;</w:instrText>
      </w:r>
      <w:r>
        <w:fldChar w:fldCharType="separate"/>
      </w:r>
      <w:r>
        <w:rPr>
          <w:noProof/>
        </w:rPr>
        <w:t>(Cersonsky et al., 2017)</w:t>
      </w:r>
      <w:r>
        <w:fldChar w:fldCharType="end"/>
      </w:r>
      <w:r>
        <w:t xml:space="preserve"> recommends introducing </w:t>
      </w:r>
      <w:r w:rsidR="00972E7E">
        <w:t>pupils</w:t>
      </w:r>
      <w:r>
        <w:t xml:space="preserve"> to three types of material (metals, ceramics and polymers) much earlier in the school curriculum that is currently common. The paper then suggests activities to help </w:t>
      </w:r>
      <w:r w:rsidR="00972E7E">
        <w:t>pupils</w:t>
      </w:r>
      <w:r>
        <w:t xml:space="preserve"> to classify these materials using mechanical properties.</w:t>
      </w:r>
    </w:p>
    <w:bookmarkEnd w:id="1"/>
    <w:p w14:paraId="794CA3C8" w14:textId="530EA301" w:rsidR="003117F6" w:rsidRPr="00323334" w:rsidRDefault="00CC78A5" w:rsidP="00DB121D">
      <w:pPr>
        <w:spacing w:before="360" w:after="180"/>
        <w:rPr>
          <w:b/>
          <w:color w:val="E36C0A" w:themeColor="accent6" w:themeShade="BF"/>
          <w:sz w:val="24"/>
        </w:rPr>
      </w:pPr>
      <w:r w:rsidRPr="00323334">
        <w:rPr>
          <w:b/>
          <w:color w:val="E36C0A" w:themeColor="accent6" w:themeShade="BF"/>
          <w:sz w:val="24"/>
        </w:rPr>
        <w:lastRenderedPageBreak/>
        <w:t>Acknowledgments</w:t>
      </w:r>
    </w:p>
    <w:p w14:paraId="0C342466" w14:textId="2B4FDD29" w:rsidR="00D278E8" w:rsidRDefault="00D278E8" w:rsidP="00E172C6">
      <w:pPr>
        <w:spacing w:after="180"/>
      </w:pPr>
      <w:r>
        <w:t xml:space="preserve">Developed </w:t>
      </w:r>
      <w:r w:rsidR="0015356E">
        <w:t xml:space="preserve">by </w:t>
      </w:r>
      <w:r w:rsidR="00E252BE">
        <w:t>Helen Harden</w:t>
      </w:r>
      <w:r w:rsidR="0015356E">
        <w:t xml:space="preserve"> (UYSEG)</w:t>
      </w:r>
      <w:r w:rsidR="00F10834">
        <w:t xml:space="preserve"> and Nicola</w:t>
      </w:r>
      <w:r w:rsidR="00972E7E">
        <w:t xml:space="preserve"> Waller (CIEC)</w:t>
      </w:r>
      <w:r w:rsidR="002746BB">
        <w:t>.</w:t>
      </w:r>
    </w:p>
    <w:p w14:paraId="4DD5C7F9" w14:textId="548AEFEF" w:rsidR="00CC26E1" w:rsidRDefault="00D278E8" w:rsidP="00E172C6">
      <w:pPr>
        <w:spacing w:after="180"/>
      </w:pPr>
      <w:r w:rsidRPr="0045323E">
        <w:t>Images</w:t>
      </w:r>
      <w:r w:rsidR="00972E7E">
        <w:t xml:space="preserve"> by </w:t>
      </w:r>
      <w:r w:rsidR="00CC26E1" w:rsidRPr="00CC26E1">
        <w:t xml:space="preserve">Adelaide Alsop </w:t>
      </w:r>
      <w:proofErr w:type="spellStart"/>
      <w:r w:rsidR="00CC26E1" w:rsidRPr="00CC26E1">
        <w:t>Robineau</w:t>
      </w:r>
      <w:proofErr w:type="spellEnd"/>
      <w:r w:rsidR="00CC26E1" w:rsidRPr="00CC26E1">
        <w:t xml:space="preserve"> / CC0</w:t>
      </w:r>
    </w:p>
    <w:p w14:paraId="3A5D32D8" w14:textId="11B8DD4C" w:rsidR="00156CA9" w:rsidRPr="00156CA9" w:rsidRDefault="003117F6" w:rsidP="00DB121D">
      <w:pPr>
        <w:spacing w:before="360" w:after="180"/>
        <w:rPr>
          <w:b/>
          <w:color w:val="E36C0A" w:themeColor="accent6" w:themeShade="BF"/>
          <w:sz w:val="24"/>
        </w:rPr>
      </w:pPr>
      <w:r w:rsidRPr="00323334">
        <w:rPr>
          <w:b/>
          <w:color w:val="E36C0A" w:themeColor="accent6" w:themeShade="BF"/>
          <w:sz w:val="24"/>
        </w:rPr>
        <w:t>References</w:t>
      </w:r>
    </w:p>
    <w:p w14:paraId="556A0868" w14:textId="77777777" w:rsidR="00156CA9" w:rsidRPr="00156CA9" w:rsidRDefault="00156CA9" w:rsidP="00972E7E">
      <w:pPr>
        <w:pStyle w:val="EndNoteBibliography"/>
        <w:spacing w:after="120"/>
        <w:ind w:left="426" w:hanging="426"/>
      </w:pPr>
      <w:r>
        <w:fldChar w:fldCharType="begin"/>
      </w:r>
      <w:r>
        <w:instrText xml:space="preserve"> ADDIN EN.REFLIST </w:instrText>
      </w:r>
      <w:r>
        <w:fldChar w:fldCharType="separate"/>
      </w:r>
      <w:r w:rsidRPr="00156CA9">
        <w:t xml:space="preserve">Cersonsky, R. K., et al. (2017). Augmenting primary and secondary education with polymer science and engineering. </w:t>
      </w:r>
      <w:r w:rsidRPr="00156CA9">
        <w:rPr>
          <w:i/>
        </w:rPr>
        <w:t>Journal of Chemical Education,</w:t>
      </w:r>
      <w:r w:rsidRPr="00156CA9">
        <w:t xml:space="preserve"> 94</w:t>
      </w:r>
      <w:r w:rsidRPr="00156CA9">
        <w:rPr>
          <w:b/>
        </w:rPr>
        <w:t>,</w:t>
      </w:r>
      <w:r w:rsidRPr="00156CA9">
        <w:t xml:space="preserve"> 1639-1646.</w:t>
      </w:r>
    </w:p>
    <w:p w14:paraId="779A1C3C" w14:textId="77777777" w:rsidR="00156CA9" w:rsidRPr="00156CA9" w:rsidRDefault="00156CA9" w:rsidP="00972E7E">
      <w:pPr>
        <w:pStyle w:val="EndNoteBibliography"/>
        <w:spacing w:after="120"/>
        <w:ind w:left="426" w:hanging="426"/>
      </w:pPr>
      <w:r w:rsidRPr="00156CA9">
        <w:t xml:space="preserve">Krnel, D., Watson, R. and Glažar, S. A. (1998). Survey of research related to the development of the concept of 'matter'. </w:t>
      </w:r>
      <w:r w:rsidRPr="00156CA9">
        <w:rPr>
          <w:i/>
        </w:rPr>
        <w:t>International Journal of Science Education,</w:t>
      </w:r>
      <w:r w:rsidRPr="00156CA9">
        <w:t xml:space="preserve"> 20(3)</w:t>
      </w:r>
      <w:r w:rsidRPr="00156CA9">
        <w:rPr>
          <w:b/>
        </w:rPr>
        <w:t>,</w:t>
      </w:r>
      <w:r w:rsidRPr="00156CA9">
        <w:t xml:space="preserve"> 257-289.</w:t>
      </w:r>
    </w:p>
    <w:p w14:paraId="7EDAEFA7" w14:textId="7FB9024C" w:rsidR="0067031A" w:rsidRPr="0067031A" w:rsidRDefault="00156CA9" w:rsidP="00972E7E">
      <w:pPr>
        <w:spacing w:after="120"/>
        <w:ind w:left="426" w:hanging="426"/>
      </w:pPr>
      <w:r>
        <w:fldChar w:fldCharType="end"/>
      </w:r>
    </w:p>
    <w:sectPr w:rsidR="0067031A" w:rsidRPr="0067031A" w:rsidSect="00642ECD">
      <w:headerReference w:type="default" r:id="rId15"/>
      <w:pgSz w:w="11906" w:h="16838" w:code="9"/>
      <w:pgMar w:top="1440" w:right="1440" w:bottom="1440" w:left="144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875467" w14:textId="77777777" w:rsidR="00F73CE0" w:rsidRDefault="00F73CE0" w:rsidP="000B473B">
      <w:r>
        <w:separator/>
      </w:r>
    </w:p>
  </w:endnote>
  <w:endnote w:type="continuationSeparator" w:id="0">
    <w:p w14:paraId="529DE3FD" w14:textId="77777777" w:rsidR="00F73CE0" w:rsidRDefault="00F73CE0" w:rsidP="000B4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97F16" w14:textId="77777777" w:rsidR="00503D96" w:rsidRDefault="00503D96">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E7059B" w14:textId="6D6DD253" w:rsidR="00503D96" w:rsidRDefault="00503D96" w:rsidP="00503D96">
    <w:pPr>
      <w:pStyle w:val="Footer"/>
      <w:tabs>
        <w:tab w:val="clear" w:pos="4513"/>
        <w:tab w:val="clear" w:pos="9026"/>
        <w:tab w:val="right" w:pos="9072"/>
      </w:tabs>
      <w:rPr>
        <w:noProof/>
      </w:rPr>
    </w:pPr>
    <w:r>
      <w:rPr>
        <w:noProof/>
        <w:lang w:eastAsia="en-GB"/>
      </w:rPr>
      <mc:AlternateContent>
        <mc:Choice Requires="wps">
          <w:drawing>
            <wp:anchor distT="4294967295" distB="4294967295" distL="114300" distR="114300" simplePos="0" relativeHeight="251666432" behindDoc="0" locked="0" layoutInCell="1" allowOverlap="1" wp14:anchorId="78834927" wp14:editId="5F9A4B89">
              <wp:simplePos x="0" y="0"/>
              <wp:positionH relativeFrom="column">
                <wp:posOffset>-914400</wp:posOffset>
              </wp:positionH>
              <wp:positionV relativeFrom="paragraph">
                <wp:posOffset>-56515</wp:posOffset>
              </wp:positionV>
              <wp:extent cx="7570800" cy="0"/>
              <wp:effectExtent l="0" t="0" r="304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080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5DAB4E" id="_x0000_t32" coordsize="21600,21600" o:spt="32" o:oned="t" path="m,l21600,21600e" filled="f">
              <v:path arrowok="t" fillok="f" o:connecttype="none"/>
              <o:lock v:ext="edit" shapetype="t"/>
            </v:shapetype>
            <v:shape id="AutoShape 3" o:spid="_x0000_s1026" type="#_x0000_t32" style="position:absolute;margin-left:-1in;margin-top:-4.45pt;width:596.15pt;height:0;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" strokeweight="1pt"/>
          </w:pict>
        </mc:Fallback>
      </mc:AlternateContent>
    </w:r>
    <w:r>
      <w:rPr>
        <w:sz w:val="16"/>
        <w:szCs w:val="16"/>
      </w:rPr>
      <w:t xml:space="preserve">Developed by University of York Science Education Group, </w:t>
    </w:r>
    <w:r w:rsidRPr="00B84B53">
      <w:rPr>
        <w:sz w:val="16"/>
        <w:szCs w:val="16"/>
      </w:rPr>
      <w:t>Centre for Industry Education Collaboration</w:t>
    </w:r>
    <w:r>
      <w:rPr>
        <w:sz w:val="16"/>
        <w:szCs w:val="16"/>
      </w:rPr>
      <w:t xml:space="preserve"> and the Salters’ Institute.</w:t>
    </w:r>
    <w:r>
      <w:rPr>
        <w:sz w:val="16"/>
        <w:szCs w:val="16"/>
      </w:rPr>
      <w:tab/>
    </w:r>
    <w:r>
      <w:fldChar w:fldCharType="begin"/>
    </w:r>
    <w:r>
      <w:instrText xml:space="preserve"> PAGE  \* Arabic  \* MERGEFORMAT </w:instrText>
    </w:r>
    <w:r>
      <w:fldChar w:fldCharType="separate"/>
    </w:r>
    <w:r>
      <w:rPr>
        <w:noProof/>
      </w:rPr>
      <w:t>1</w:t>
    </w:r>
    <w:r>
      <w:rPr>
        <w:noProof/>
      </w:rPr>
      <w:fldChar w:fldCharType="end"/>
    </w:r>
  </w:p>
  <w:p w14:paraId="10CEF33D" w14:textId="77777777" w:rsidR="00503D96" w:rsidRDefault="00503D96" w:rsidP="00503D96">
    <w:pPr>
      <w:pStyle w:val="Footer"/>
      <w:tabs>
        <w:tab w:val="clear" w:pos="4513"/>
        <w:tab w:val="clear" w:pos="9026"/>
        <w:tab w:val="right" w:pos="9072"/>
      </w:tabs>
      <w:rPr>
        <w:sz w:val="16"/>
        <w:szCs w:val="16"/>
      </w:rPr>
    </w:pPr>
    <w:r w:rsidRPr="00ED4562">
      <w:rPr>
        <w:b/>
        <w:sz w:val="16"/>
        <w:szCs w:val="16"/>
      </w:rPr>
      <w:t>www.BestEvidenceScienceTeaching.org</w:t>
    </w:r>
  </w:p>
  <w:p w14:paraId="6E561C29" w14:textId="77777777" w:rsidR="00503D96" w:rsidRPr="00201AC2" w:rsidRDefault="00503D96" w:rsidP="00503D96">
    <w:pPr>
      <w:pStyle w:val="Footer"/>
      <w:rPr>
        <w:sz w:val="16"/>
        <w:szCs w:val="16"/>
      </w:rPr>
    </w:pPr>
    <w:r w:rsidRPr="00AE3075">
      <w:rPr>
        <w:sz w:val="16"/>
        <w:szCs w:val="16"/>
      </w:rPr>
      <w:t>© University of York Science Education Group. Distributed under a Creative Commons Attribution-Non-commercial (CC BY-NC) license.</w:t>
    </w:r>
  </w:p>
  <w:p w14:paraId="4557B194" w14:textId="792CB9F6" w:rsidR="00F12C3B" w:rsidRPr="00201AC2" w:rsidRDefault="00F12C3B" w:rsidP="001E4950">
    <w:pPr>
      <w:pStyle w:val="Footer"/>
      <w:rPr>
        <w:sz w:val="16"/>
        <w:szCs w:val="16"/>
      </w:rPr>
    </w:pPr>
    <w:bookmarkStart w:id="0" w:name="_GoBack"/>
    <w:bookmarkEnd w:id="0"/>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492BF0" w14:textId="77777777" w:rsidR="00503D96" w:rsidRDefault="00503D9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B82CA0" w14:textId="77777777" w:rsidR="00F73CE0" w:rsidRDefault="00F73CE0" w:rsidP="000B473B">
      <w:r>
        <w:separator/>
      </w:r>
    </w:p>
  </w:footnote>
  <w:footnote w:type="continuationSeparator" w:id="0">
    <w:p w14:paraId="0D433C31" w14:textId="77777777" w:rsidR="00F73CE0" w:rsidRDefault="00F73CE0" w:rsidP="000B473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23F4A8" w14:textId="77777777" w:rsidR="00503D96" w:rsidRDefault="00503D96">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78A660" w14:textId="57CC718F" w:rsidR="00F12C3B" w:rsidRPr="004E5592" w:rsidRDefault="00BA7952" w:rsidP="00972E7E">
    <w:pPr>
      <w:pStyle w:val="Header"/>
      <w:ind w:left="3407" w:firstLine="3256"/>
      <w:jc w:val="right"/>
      <w:rPr>
        <w:b/>
        <w:sz w:val="24"/>
        <w:szCs w:val="24"/>
      </w:rPr>
    </w:pPr>
    <w:r w:rsidRPr="004E5592">
      <w:rPr>
        <w:b/>
        <w:noProof/>
        <w:sz w:val="24"/>
        <w:szCs w:val="24"/>
        <w:lang w:eastAsia="en-GB"/>
      </w:rPr>
      <w:drawing>
        <wp:anchor distT="0" distB="0" distL="114300" distR="114300" simplePos="0" relativeHeight="251658240" behindDoc="0" locked="0" layoutInCell="1" allowOverlap="1" wp14:anchorId="197EA714" wp14:editId="2ADC745F">
          <wp:simplePos x="0" y="0"/>
          <wp:positionH relativeFrom="column">
            <wp:posOffset>-9525</wp:posOffset>
          </wp:positionH>
          <wp:positionV relativeFrom="paragraph">
            <wp:posOffset>-177165</wp:posOffset>
          </wp:positionV>
          <wp:extent cx="867600" cy="363600"/>
          <wp:effectExtent l="0" t="0" r="0" b="0"/>
          <wp:wrapNone/>
          <wp:docPr id="9" name="Picture 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EST_mini logo for item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7600" cy="363600"/>
                  </a:xfrm>
                  <a:prstGeom prst="rect">
                    <a:avLst/>
                  </a:prstGeom>
                </pic:spPr>
              </pic:pic>
            </a:graphicData>
          </a:graphic>
        </wp:anchor>
      </w:drawing>
    </w:r>
    <w:r w:rsidR="002178AC">
      <w:rPr>
        <w:b/>
        <w:noProof/>
        <w:sz w:val="24"/>
        <w:szCs w:val="24"/>
        <w:lang w:eastAsia="en-GB"/>
      </w:rPr>
      <mc:AlternateContent>
        <mc:Choice Requires="wps">
          <w:drawing>
            <wp:anchor distT="4294967295" distB="4294967295" distL="114300" distR="114300" simplePos="0" relativeHeight="251659264" behindDoc="0" locked="0" layoutInCell="1" allowOverlap="1" wp14:anchorId="66692CA3" wp14:editId="6BE25808">
              <wp:simplePos x="0" y="0"/>
              <wp:positionH relativeFrom="column">
                <wp:posOffset>-914400</wp:posOffset>
              </wp:positionH>
              <wp:positionV relativeFrom="paragraph">
                <wp:posOffset>269239</wp:posOffset>
              </wp:positionV>
              <wp:extent cx="7572375" cy="0"/>
              <wp:effectExtent l="0" t="0" r="9525" b="0"/>
              <wp:wrapNone/>
              <wp:docPr id="3"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2375"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shapetype w14:anchorId="7807ED4B" id="_x0000_t32" coordsize="21600,21600" o:spt="32" o:oned="t" path="m,l21600,21600e" filled="f">
              <v:path arrowok="t" fillok="f" o:connecttype="none"/>
              <o:lock v:ext="edit" shapetype="t"/>
            </v:shapetype>
            <v:shape id="AutoShape 1" o:spid="_x0000_s1026" type="#_x0000_t32" style="position:absolute;margin-left:-1in;margin-top:21.2pt;width:596.2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" strokeweight="1pt"/>
          </w:pict>
        </mc:Fallback>
      </mc:AlternateContent>
    </w:r>
    <w:r w:rsidR="00972E7E">
      <w:rPr>
        <w:b/>
        <w:sz w:val="24"/>
        <w:szCs w:val="24"/>
      </w:rPr>
      <w:t xml:space="preserve"> ACTIVITY </w:t>
    </w:r>
    <w:r w:rsidR="00201AC2">
      <w:rPr>
        <w:b/>
        <w:sz w:val="24"/>
        <w:szCs w:val="24"/>
      </w:rPr>
      <w:t>SHEET</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28C50E" w14:textId="77777777" w:rsidR="00503D96" w:rsidRDefault="00503D96">
    <w:pPr>
      <w:pStyle w:val="Head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D5B44D" w14:textId="77777777" w:rsidR="00201AC2" w:rsidRPr="004E5592" w:rsidRDefault="00201AC2" w:rsidP="001A40E2">
    <w:pPr>
      <w:pStyle w:val="Header"/>
      <w:ind w:left="3407" w:firstLine="3793"/>
      <w:rPr>
        <w:b/>
        <w:sz w:val="24"/>
        <w:szCs w:val="24"/>
      </w:rPr>
    </w:pPr>
    <w:r w:rsidRPr="004E5592">
      <w:rPr>
        <w:b/>
        <w:noProof/>
        <w:sz w:val="24"/>
        <w:szCs w:val="24"/>
        <w:lang w:eastAsia="en-GB"/>
      </w:rPr>
      <w:drawing>
        <wp:anchor distT="0" distB="0" distL="114300" distR="114300" simplePos="0" relativeHeight="251663360" behindDoc="0" locked="0" layoutInCell="1" allowOverlap="1" wp14:anchorId="3E02F364" wp14:editId="1240123B">
          <wp:simplePos x="0" y="0"/>
          <wp:positionH relativeFrom="column">
            <wp:posOffset>-9525</wp:posOffset>
          </wp:positionH>
          <wp:positionV relativeFrom="paragraph">
            <wp:posOffset>-177165</wp:posOffset>
          </wp:positionV>
          <wp:extent cx="867600" cy="363600"/>
          <wp:effectExtent l="0" t="0" r="0" b="0"/>
          <wp:wrapNone/>
          <wp:docPr id="5" name="Picture 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EST_mini logo for item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7600" cy="363600"/>
                  </a:xfrm>
                  <a:prstGeom prst="rect">
                    <a:avLst/>
                  </a:prstGeom>
                </pic:spPr>
              </pic:pic>
            </a:graphicData>
          </a:graphic>
        </wp:anchor>
      </w:drawing>
    </w:r>
    <w:r>
      <w:rPr>
        <w:b/>
        <w:noProof/>
        <w:sz w:val="24"/>
        <w:szCs w:val="24"/>
        <w:lang w:eastAsia="en-GB"/>
      </w:rPr>
      <mc:AlternateContent>
        <mc:Choice Requires="wps">
          <w:drawing>
            <wp:anchor distT="4294967295" distB="4294967295" distL="114300" distR="114300" simplePos="0" relativeHeight="251664384" behindDoc="0" locked="0" layoutInCell="1" allowOverlap="1" wp14:anchorId="3F082AA4" wp14:editId="37589AD0">
              <wp:simplePos x="0" y="0"/>
              <wp:positionH relativeFrom="column">
                <wp:posOffset>-914400</wp:posOffset>
              </wp:positionH>
              <wp:positionV relativeFrom="paragraph">
                <wp:posOffset>269239</wp:posOffset>
              </wp:positionV>
              <wp:extent cx="7572375" cy="0"/>
              <wp:effectExtent l="0" t="0" r="9525" b="0"/>
              <wp:wrapNone/>
              <wp:docPr id="4"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2375"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http://schemas.microsoft.com/office/word/2018/wordml" xmlns:w16cex="http://schemas.microsoft.com/office/word/2018/wordml/cex">
          <w:pict>
            <v:shapetype w14:anchorId="04B705AB" id="_x0000_t32" coordsize="21600,21600" o:spt="32" o:oned="t" path="m,l21600,21600e" filled="f">
              <v:path arrowok="t" fillok="f" o:connecttype="none"/>
              <o:lock v:ext="edit" shapetype="t"/>
            </v:shapetype>
            <v:shape id="AutoShape 1" o:spid="_x0000_s1026" type="#_x0000_t32" style="position:absolute;margin-left:-1in;margin-top:21.2pt;width:596.25pt;height:0;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" strokeweight="1pt"/>
          </w:pict>
        </mc:Fallback>
      </mc:AlternateContent>
    </w:r>
    <w:r>
      <w:rPr>
        <w:b/>
        <w:sz w:val="24"/>
        <w:szCs w:val="24"/>
      </w:rPr>
      <w:t>TEACHER NOTES</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2620D7"/>
    <w:multiLevelType w:val="hybridMultilevel"/>
    <w:tmpl w:val="FAF07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0022CC"/>
    <w:multiLevelType w:val="hybridMultilevel"/>
    <w:tmpl w:val="845C4B72"/>
    <w:lvl w:ilvl="0" w:tplc="E4D8C69A">
      <w:start w:val="1"/>
      <w:numFmt w:val="decimal"/>
      <w:lvlText w:val="%1"/>
      <w:lvlJc w:val="left"/>
      <w:pPr>
        <w:ind w:left="720" w:hanging="360"/>
      </w:pPr>
      <w:rPr>
        <w:rFonts w:hint="default"/>
        <w:b/>
      </w:rPr>
    </w:lvl>
    <w:lvl w:ilvl="1" w:tplc="4F22638A">
      <w:start w:val="1"/>
      <w:numFmt w:val="lowerLetter"/>
      <w:lvlText w:val="%2"/>
      <w:lvlJc w:val="left"/>
      <w:pPr>
        <w:ind w:left="1440" w:hanging="360"/>
      </w:pPr>
      <w:rPr>
        <w:rFonts w:hint="default"/>
        <w:b/>
      </w:rPr>
    </w:lvl>
    <w:lvl w:ilvl="2" w:tplc="619272B0">
      <w:start w:val="1"/>
      <w:numFmt w:val="lowerRoman"/>
      <w:lvlText w:val="%3"/>
      <w:lvlJc w:val="left"/>
      <w:pPr>
        <w:ind w:left="2160" w:hanging="180"/>
      </w:pPr>
      <w:rPr>
        <w:rFonts w:hint="default"/>
        <w:b/>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EB6024A"/>
    <w:multiLevelType w:val="hybridMultilevel"/>
    <w:tmpl w:val="08309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73F1B6F"/>
    <w:multiLevelType w:val="hybridMultilevel"/>
    <w:tmpl w:val="845C4B72"/>
    <w:lvl w:ilvl="0" w:tplc="E4D8C69A">
      <w:start w:val="1"/>
      <w:numFmt w:val="decimal"/>
      <w:lvlText w:val="%1"/>
      <w:lvlJc w:val="left"/>
      <w:pPr>
        <w:ind w:left="720" w:hanging="360"/>
      </w:pPr>
      <w:rPr>
        <w:rFonts w:hint="default"/>
        <w:b/>
      </w:rPr>
    </w:lvl>
    <w:lvl w:ilvl="1" w:tplc="4F22638A">
      <w:start w:val="1"/>
      <w:numFmt w:val="lowerLetter"/>
      <w:lvlText w:val="%2"/>
      <w:lvlJc w:val="left"/>
      <w:pPr>
        <w:ind w:left="1440" w:hanging="360"/>
      </w:pPr>
      <w:rPr>
        <w:rFonts w:hint="default"/>
        <w:b/>
      </w:rPr>
    </w:lvl>
    <w:lvl w:ilvl="2" w:tplc="619272B0">
      <w:start w:val="1"/>
      <w:numFmt w:val="lowerRoman"/>
      <w:lvlText w:val="%3"/>
      <w:lvlJc w:val="left"/>
      <w:pPr>
        <w:ind w:left="2160" w:hanging="180"/>
      </w:pPr>
      <w:rPr>
        <w:rFonts w:hint="default"/>
        <w:b/>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UoY - Harvar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ENLayout&gt;"/>
    <w:docVar w:name="EN.Libraries" w:val="&lt;Libraries&gt;&lt;/Libraries&gt;"/>
  </w:docVars>
  <w:rsids>
    <w:rsidRoot w:val="00CC26E1"/>
    <w:rsid w:val="00015578"/>
    <w:rsid w:val="00024731"/>
    <w:rsid w:val="00026DEC"/>
    <w:rsid w:val="000505CA"/>
    <w:rsid w:val="0007651D"/>
    <w:rsid w:val="000808D0"/>
    <w:rsid w:val="0009089A"/>
    <w:rsid w:val="000947E2"/>
    <w:rsid w:val="00095E04"/>
    <w:rsid w:val="000B1C9B"/>
    <w:rsid w:val="000B45C3"/>
    <w:rsid w:val="000B473B"/>
    <w:rsid w:val="000D0E89"/>
    <w:rsid w:val="000E2689"/>
    <w:rsid w:val="00121044"/>
    <w:rsid w:val="00142613"/>
    <w:rsid w:val="001430C0"/>
    <w:rsid w:val="00144DA7"/>
    <w:rsid w:val="0015356E"/>
    <w:rsid w:val="00156CA9"/>
    <w:rsid w:val="00161D3F"/>
    <w:rsid w:val="001915D4"/>
    <w:rsid w:val="00196FB9"/>
    <w:rsid w:val="001A1FED"/>
    <w:rsid w:val="001A40E2"/>
    <w:rsid w:val="001C4805"/>
    <w:rsid w:val="001E4950"/>
    <w:rsid w:val="00201AC2"/>
    <w:rsid w:val="00214608"/>
    <w:rsid w:val="0021607B"/>
    <w:rsid w:val="002178AC"/>
    <w:rsid w:val="0022547C"/>
    <w:rsid w:val="00242736"/>
    <w:rsid w:val="0025410A"/>
    <w:rsid w:val="002746BB"/>
    <w:rsid w:val="0027553E"/>
    <w:rsid w:val="0028012F"/>
    <w:rsid w:val="002828DF"/>
    <w:rsid w:val="00284597"/>
    <w:rsid w:val="00287876"/>
    <w:rsid w:val="00292C53"/>
    <w:rsid w:val="00294E22"/>
    <w:rsid w:val="002C22EA"/>
    <w:rsid w:val="002C59BA"/>
    <w:rsid w:val="00301AA9"/>
    <w:rsid w:val="00304A9C"/>
    <w:rsid w:val="003117F6"/>
    <w:rsid w:val="00323334"/>
    <w:rsid w:val="003533B8"/>
    <w:rsid w:val="00371200"/>
    <w:rsid w:val="003752BE"/>
    <w:rsid w:val="00391B7A"/>
    <w:rsid w:val="00396C64"/>
    <w:rsid w:val="0039774A"/>
    <w:rsid w:val="003A07FC"/>
    <w:rsid w:val="003A346A"/>
    <w:rsid w:val="003B2917"/>
    <w:rsid w:val="003B541B"/>
    <w:rsid w:val="003E2B2F"/>
    <w:rsid w:val="003E6046"/>
    <w:rsid w:val="003F16F9"/>
    <w:rsid w:val="00402E34"/>
    <w:rsid w:val="004118D2"/>
    <w:rsid w:val="00430C1F"/>
    <w:rsid w:val="00442595"/>
    <w:rsid w:val="0045323E"/>
    <w:rsid w:val="00462904"/>
    <w:rsid w:val="004B0EE1"/>
    <w:rsid w:val="004C5D20"/>
    <w:rsid w:val="004D0D83"/>
    <w:rsid w:val="004E1DF1"/>
    <w:rsid w:val="004E5592"/>
    <w:rsid w:val="004F039C"/>
    <w:rsid w:val="0050055B"/>
    <w:rsid w:val="00503D96"/>
    <w:rsid w:val="00524710"/>
    <w:rsid w:val="00555342"/>
    <w:rsid w:val="005560E2"/>
    <w:rsid w:val="005801A1"/>
    <w:rsid w:val="005A452E"/>
    <w:rsid w:val="005A6EE7"/>
    <w:rsid w:val="005A7CA8"/>
    <w:rsid w:val="005F1A7B"/>
    <w:rsid w:val="006355D8"/>
    <w:rsid w:val="00636EFA"/>
    <w:rsid w:val="00642ECD"/>
    <w:rsid w:val="006502A0"/>
    <w:rsid w:val="0067031A"/>
    <w:rsid w:val="006772F5"/>
    <w:rsid w:val="00691A20"/>
    <w:rsid w:val="00695159"/>
    <w:rsid w:val="006A4440"/>
    <w:rsid w:val="006B0615"/>
    <w:rsid w:val="006B3275"/>
    <w:rsid w:val="006B721C"/>
    <w:rsid w:val="006D166B"/>
    <w:rsid w:val="006F3279"/>
    <w:rsid w:val="006F6C6B"/>
    <w:rsid w:val="00704AEE"/>
    <w:rsid w:val="007060E2"/>
    <w:rsid w:val="007114B6"/>
    <w:rsid w:val="00722F9A"/>
    <w:rsid w:val="00751D2E"/>
    <w:rsid w:val="00754539"/>
    <w:rsid w:val="00755D62"/>
    <w:rsid w:val="0077663A"/>
    <w:rsid w:val="00781BC6"/>
    <w:rsid w:val="007A1E64"/>
    <w:rsid w:val="007A3C86"/>
    <w:rsid w:val="007A683E"/>
    <w:rsid w:val="007A748B"/>
    <w:rsid w:val="007C26E1"/>
    <w:rsid w:val="007D1D65"/>
    <w:rsid w:val="007D6C1D"/>
    <w:rsid w:val="007E0A9E"/>
    <w:rsid w:val="007E5309"/>
    <w:rsid w:val="007F5D5D"/>
    <w:rsid w:val="00800DE1"/>
    <w:rsid w:val="00813F47"/>
    <w:rsid w:val="00821703"/>
    <w:rsid w:val="008450D6"/>
    <w:rsid w:val="00856FCA"/>
    <w:rsid w:val="00873B8C"/>
    <w:rsid w:val="00880E3B"/>
    <w:rsid w:val="008A405F"/>
    <w:rsid w:val="008C5DD9"/>
    <w:rsid w:val="008C7F34"/>
    <w:rsid w:val="008E580C"/>
    <w:rsid w:val="0090047A"/>
    <w:rsid w:val="00925026"/>
    <w:rsid w:val="00931264"/>
    <w:rsid w:val="00942A4B"/>
    <w:rsid w:val="00961452"/>
    <w:rsid w:val="00961D59"/>
    <w:rsid w:val="009636EE"/>
    <w:rsid w:val="00972E7E"/>
    <w:rsid w:val="00996EE4"/>
    <w:rsid w:val="009B2CE4"/>
    <w:rsid w:val="009B2D55"/>
    <w:rsid w:val="009C0343"/>
    <w:rsid w:val="009C5C20"/>
    <w:rsid w:val="009E0D11"/>
    <w:rsid w:val="00A052D2"/>
    <w:rsid w:val="00A24A16"/>
    <w:rsid w:val="00A37D14"/>
    <w:rsid w:val="00A42C0B"/>
    <w:rsid w:val="00A6111E"/>
    <w:rsid w:val="00A6168B"/>
    <w:rsid w:val="00A62028"/>
    <w:rsid w:val="00A74BA1"/>
    <w:rsid w:val="00AA6236"/>
    <w:rsid w:val="00AB6AE7"/>
    <w:rsid w:val="00AC4FFF"/>
    <w:rsid w:val="00AD21F5"/>
    <w:rsid w:val="00B06225"/>
    <w:rsid w:val="00B23C7A"/>
    <w:rsid w:val="00B305F5"/>
    <w:rsid w:val="00B365FF"/>
    <w:rsid w:val="00B46FF9"/>
    <w:rsid w:val="00B47E1D"/>
    <w:rsid w:val="00B54A8E"/>
    <w:rsid w:val="00B75483"/>
    <w:rsid w:val="00BA7952"/>
    <w:rsid w:val="00BB44B4"/>
    <w:rsid w:val="00BF0BBF"/>
    <w:rsid w:val="00BF6C8A"/>
    <w:rsid w:val="00C05571"/>
    <w:rsid w:val="00C1460B"/>
    <w:rsid w:val="00C246CE"/>
    <w:rsid w:val="00C41E6F"/>
    <w:rsid w:val="00C47C08"/>
    <w:rsid w:val="00C54711"/>
    <w:rsid w:val="00C57FA2"/>
    <w:rsid w:val="00C819BB"/>
    <w:rsid w:val="00CA20D5"/>
    <w:rsid w:val="00CC26E1"/>
    <w:rsid w:val="00CC2E4D"/>
    <w:rsid w:val="00CC78A5"/>
    <w:rsid w:val="00CC7B16"/>
    <w:rsid w:val="00CD5194"/>
    <w:rsid w:val="00CE15FE"/>
    <w:rsid w:val="00CF0725"/>
    <w:rsid w:val="00D02E15"/>
    <w:rsid w:val="00D10953"/>
    <w:rsid w:val="00D14F44"/>
    <w:rsid w:val="00D241B2"/>
    <w:rsid w:val="00D278E8"/>
    <w:rsid w:val="00D421E8"/>
    <w:rsid w:val="00D44604"/>
    <w:rsid w:val="00D479B3"/>
    <w:rsid w:val="00D52283"/>
    <w:rsid w:val="00D524E5"/>
    <w:rsid w:val="00D72FEF"/>
    <w:rsid w:val="00D7316E"/>
    <w:rsid w:val="00D755FA"/>
    <w:rsid w:val="00D967A9"/>
    <w:rsid w:val="00DB0B8A"/>
    <w:rsid w:val="00DB121D"/>
    <w:rsid w:val="00DC4A4E"/>
    <w:rsid w:val="00DD1874"/>
    <w:rsid w:val="00DD63BD"/>
    <w:rsid w:val="00DE03D5"/>
    <w:rsid w:val="00DE0526"/>
    <w:rsid w:val="00DF05DB"/>
    <w:rsid w:val="00DF7E20"/>
    <w:rsid w:val="00E172C6"/>
    <w:rsid w:val="00E24309"/>
    <w:rsid w:val="00E252BE"/>
    <w:rsid w:val="00E30F09"/>
    <w:rsid w:val="00E44586"/>
    <w:rsid w:val="00E53D82"/>
    <w:rsid w:val="00E9330A"/>
    <w:rsid w:val="00EE6B97"/>
    <w:rsid w:val="00F00346"/>
    <w:rsid w:val="00F10834"/>
    <w:rsid w:val="00F12C3B"/>
    <w:rsid w:val="00F26884"/>
    <w:rsid w:val="00F72ECC"/>
    <w:rsid w:val="00F73CE0"/>
    <w:rsid w:val="00F8355F"/>
    <w:rsid w:val="00FA3196"/>
    <w:rsid w:val="00FA5B3A"/>
    <w:rsid w:val="00FB552A"/>
    <w:rsid w:val="00FF32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2986F4"/>
  <w15:docId w15:val="{8CE6BCF4-6127-4CBE-A0B9-A2D5E7C47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2E4D"/>
    <w:pPr>
      <w:spacing w:after="0" w:line="240" w:lineRule="auto"/>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473B"/>
    <w:pPr>
      <w:tabs>
        <w:tab w:val="center" w:pos="4513"/>
        <w:tab w:val="right" w:pos="9026"/>
      </w:tabs>
    </w:pPr>
  </w:style>
  <w:style w:type="character" w:customStyle="1" w:styleId="HeaderChar">
    <w:name w:val="Header Char"/>
    <w:basedOn w:val="DefaultParagraphFont"/>
    <w:link w:val="Header"/>
    <w:uiPriority w:val="99"/>
    <w:rsid w:val="000B473B"/>
    <w:rPr>
      <w:rFonts w:cs="Arial"/>
    </w:rPr>
  </w:style>
  <w:style w:type="paragraph" w:styleId="Footer">
    <w:name w:val="footer"/>
    <w:basedOn w:val="Normal"/>
    <w:link w:val="FooterChar"/>
    <w:uiPriority w:val="99"/>
    <w:unhideWhenUsed/>
    <w:rsid w:val="000B473B"/>
    <w:pPr>
      <w:tabs>
        <w:tab w:val="center" w:pos="4513"/>
        <w:tab w:val="right" w:pos="9026"/>
      </w:tabs>
    </w:pPr>
  </w:style>
  <w:style w:type="character" w:customStyle="1" w:styleId="FooterChar">
    <w:name w:val="Footer Char"/>
    <w:basedOn w:val="DefaultParagraphFont"/>
    <w:link w:val="Footer"/>
    <w:uiPriority w:val="99"/>
    <w:rsid w:val="000B473B"/>
    <w:rPr>
      <w:rFonts w:cs="Arial"/>
    </w:rPr>
  </w:style>
  <w:style w:type="paragraph" w:styleId="BalloonText">
    <w:name w:val="Balloon Text"/>
    <w:basedOn w:val="Normal"/>
    <w:link w:val="BalloonTextChar"/>
    <w:uiPriority w:val="99"/>
    <w:semiHidden/>
    <w:unhideWhenUsed/>
    <w:rsid w:val="000B473B"/>
    <w:rPr>
      <w:rFonts w:ascii="Tahoma" w:hAnsi="Tahoma" w:cs="Tahoma"/>
      <w:sz w:val="16"/>
      <w:szCs w:val="16"/>
    </w:rPr>
  </w:style>
  <w:style w:type="character" w:customStyle="1" w:styleId="BalloonTextChar">
    <w:name w:val="Balloon Text Char"/>
    <w:basedOn w:val="DefaultParagraphFont"/>
    <w:link w:val="BalloonText"/>
    <w:uiPriority w:val="99"/>
    <w:semiHidden/>
    <w:rsid w:val="000B473B"/>
    <w:rPr>
      <w:rFonts w:ascii="Tahoma" w:hAnsi="Tahoma" w:cs="Tahoma"/>
      <w:sz w:val="16"/>
      <w:szCs w:val="16"/>
    </w:rPr>
  </w:style>
  <w:style w:type="table" w:styleId="TableGrid">
    <w:name w:val="Table Grid"/>
    <w:basedOn w:val="TableNormal"/>
    <w:uiPriority w:val="59"/>
    <w:rsid w:val="00E172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172C6"/>
    <w:pPr>
      <w:ind w:left="720"/>
      <w:contextualSpacing/>
    </w:pPr>
  </w:style>
  <w:style w:type="paragraph" w:customStyle="1" w:styleId="EndNoteBibliographyTitle">
    <w:name w:val="EndNote Bibliography Title"/>
    <w:basedOn w:val="Normal"/>
    <w:link w:val="EndNoteBibliographyTitleChar"/>
    <w:rsid w:val="00156CA9"/>
    <w:pPr>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156CA9"/>
    <w:rPr>
      <w:rFonts w:ascii="Calibri" w:hAnsi="Calibri" w:cs="Calibri"/>
      <w:noProof/>
      <w:lang w:val="en-US"/>
    </w:rPr>
  </w:style>
  <w:style w:type="paragraph" w:customStyle="1" w:styleId="EndNoteBibliography">
    <w:name w:val="EndNote Bibliography"/>
    <w:basedOn w:val="Normal"/>
    <w:link w:val="EndNoteBibliographyChar"/>
    <w:rsid w:val="00156CA9"/>
    <w:rPr>
      <w:rFonts w:ascii="Calibri" w:hAnsi="Calibri" w:cs="Calibri"/>
      <w:noProof/>
      <w:lang w:val="en-US"/>
    </w:rPr>
  </w:style>
  <w:style w:type="character" w:customStyle="1" w:styleId="EndNoteBibliographyChar">
    <w:name w:val="EndNote Bibliography Char"/>
    <w:basedOn w:val="DefaultParagraphFont"/>
    <w:link w:val="EndNoteBibliography"/>
    <w:rsid w:val="00156CA9"/>
    <w:rPr>
      <w:rFonts w:ascii="Calibri" w:hAnsi="Calibri" w:cs="Calibri"/>
      <w:noProof/>
      <w:lang w:val="en-US"/>
    </w:rPr>
  </w:style>
  <w:style w:type="character" w:styleId="CommentReference">
    <w:name w:val="annotation reference"/>
    <w:basedOn w:val="DefaultParagraphFont"/>
    <w:uiPriority w:val="99"/>
    <w:semiHidden/>
    <w:unhideWhenUsed/>
    <w:rsid w:val="00CA20D5"/>
    <w:rPr>
      <w:sz w:val="16"/>
      <w:szCs w:val="16"/>
    </w:rPr>
  </w:style>
  <w:style w:type="paragraph" w:styleId="CommentText">
    <w:name w:val="annotation text"/>
    <w:basedOn w:val="Normal"/>
    <w:link w:val="CommentTextChar"/>
    <w:uiPriority w:val="99"/>
    <w:unhideWhenUsed/>
    <w:rsid w:val="00CA20D5"/>
    <w:rPr>
      <w:sz w:val="20"/>
      <w:szCs w:val="20"/>
    </w:rPr>
  </w:style>
  <w:style w:type="character" w:customStyle="1" w:styleId="CommentTextChar">
    <w:name w:val="Comment Text Char"/>
    <w:basedOn w:val="DefaultParagraphFont"/>
    <w:link w:val="CommentText"/>
    <w:uiPriority w:val="99"/>
    <w:rsid w:val="00CA20D5"/>
    <w:rPr>
      <w:rFonts w:cs="Arial"/>
      <w:sz w:val="20"/>
      <w:szCs w:val="20"/>
    </w:rPr>
  </w:style>
  <w:style w:type="paragraph" w:styleId="CommentSubject">
    <w:name w:val="annotation subject"/>
    <w:basedOn w:val="CommentText"/>
    <w:next w:val="CommentText"/>
    <w:link w:val="CommentSubjectChar"/>
    <w:uiPriority w:val="99"/>
    <w:semiHidden/>
    <w:unhideWhenUsed/>
    <w:rsid w:val="00CA20D5"/>
    <w:rPr>
      <w:b/>
      <w:bCs/>
    </w:rPr>
  </w:style>
  <w:style w:type="character" w:customStyle="1" w:styleId="CommentSubjectChar">
    <w:name w:val="Comment Subject Char"/>
    <w:basedOn w:val="CommentTextChar"/>
    <w:link w:val="CommentSubject"/>
    <w:uiPriority w:val="99"/>
    <w:semiHidden/>
    <w:rsid w:val="00CA20D5"/>
    <w:rPr>
      <w:rFonts w:cs="Arial"/>
      <w:b/>
      <w:bCs/>
      <w:sz w:val="20"/>
      <w:szCs w:val="20"/>
    </w:rPr>
  </w:style>
  <w:style w:type="character" w:styleId="Hyperlink">
    <w:name w:val="Hyperlink"/>
    <w:basedOn w:val="DefaultParagraphFont"/>
    <w:uiPriority w:val="99"/>
    <w:semiHidden/>
    <w:unhideWhenUsed/>
    <w:rsid w:val="0039774A"/>
    <w:rPr>
      <w:color w:val="0000FF" w:themeColor="hyperlink"/>
      <w:u w:val="single"/>
    </w:rPr>
  </w:style>
  <w:style w:type="character" w:styleId="FollowedHyperlink">
    <w:name w:val="FollowedHyperlink"/>
    <w:basedOn w:val="DefaultParagraphFont"/>
    <w:uiPriority w:val="99"/>
    <w:semiHidden/>
    <w:unhideWhenUsed/>
    <w:rsid w:val="0039774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stem.org.uk/best/chemistry-earth-science/big-idea-substances-and-properti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ha\Documents\BEST\Templates\New%20templates%20Dec\template_chemistry_diagnostic_Confidence%20Gri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template_chemistry_diagnostic_Confidence Grid</Template>
  <TotalTime>3</TotalTime>
  <Pages>4</Pages>
  <Words>1261</Words>
  <Characters>7191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HEC Harden</dc:creator>
  <cp:lastModifiedBy>Nicky Waller</cp:lastModifiedBy>
  <cp:revision>8</cp:revision>
  <cp:lastPrinted>2017-02-24T16:20:00Z</cp:lastPrinted>
  <dcterms:created xsi:type="dcterms:W3CDTF">2021-01-30T10:49:00Z</dcterms:created>
  <dcterms:modified xsi:type="dcterms:W3CDTF">2021-02-10T10:54:00Z</dcterms:modified>
</cp:coreProperties>
</file>