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3992B" w14:textId="7B521B50" w:rsidR="00201AC2" w:rsidRPr="001A40E2" w:rsidRDefault="00C31041" w:rsidP="00201AC2">
      <w:pPr>
        <w:spacing w:after="180"/>
        <w:rPr>
          <w:b/>
          <w:sz w:val="44"/>
          <w:szCs w:val="44"/>
        </w:rPr>
      </w:pPr>
      <w:r>
        <w:rPr>
          <w:b/>
          <w:sz w:val="44"/>
          <w:szCs w:val="44"/>
        </w:rPr>
        <w:t>Changing pH</w:t>
      </w:r>
    </w:p>
    <w:p w14:paraId="1167E5B5" w14:textId="77777777" w:rsidR="00201AC2" w:rsidRDefault="00201AC2" w:rsidP="00201AC2">
      <w:pPr>
        <w:spacing w:after="180"/>
      </w:pPr>
    </w:p>
    <w:p w14:paraId="22BD509D" w14:textId="77777777" w:rsidR="00A31A1D" w:rsidRPr="00A31A1D" w:rsidRDefault="00A31A1D" w:rsidP="00A31A1D">
      <w:pPr>
        <w:spacing w:after="180"/>
      </w:pPr>
      <w:r w:rsidRPr="00A31A1D">
        <w:t>10cm</w:t>
      </w:r>
      <w:r w:rsidRPr="00A31A1D">
        <w:rPr>
          <w:vertAlign w:val="superscript"/>
        </w:rPr>
        <w:t>3</w:t>
      </w:r>
      <w:r w:rsidRPr="00A31A1D">
        <w:t xml:space="preserve"> of hydrochloric acid is added to a beaker. </w:t>
      </w:r>
    </w:p>
    <w:p w14:paraId="53CA5467" w14:textId="77777777" w:rsidR="00A31A1D" w:rsidRPr="00A31A1D" w:rsidRDefault="00A31A1D" w:rsidP="00A31A1D">
      <w:pPr>
        <w:spacing w:after="180"/>
      </w:pPr>
      <w:r w:rsidRPr="00A31A1D">
        <w:t>Sodium hydroxide solution is gradually added.</w:t>
      </w:r>
    </w:p>
    <w:p w14:paraId="1414C432" w14:textId="77777777" w:rsidR="00A31A1D" w:rsidRPr="00A31A1D" w:rsidRDefault="00A31A1D" w:rsidP="00A31A1D">
      <w:pPr>
        <w:spacing w:after="180"/>
      </w:pPr>
      <w:r w:rsidRPr="00A31A1D">
        <w:t>Sodium chloride solution is formed.</w:t>
      </w:r>
    </w:p>
    <w:p w14:paraId="1E65DBDF" w14:textId="30401AEF" w:rsidR="00B23B31" w:rsidRPr="00A31A1D" w:rsidRDefault="00771B78" w:rsidP="00201AC2">
      <w:pPr>
        <w:spacing w:after="180"/>
      </w:pPr>
      <w:r>
        <w:rPr>
          <w:noProof/>
        </w:rPr>
        <w:drawing>
          <wp:inline distT="0" distB="0" distL="0" distR="0" wp14:anchorId="26561EB0" wp14:editId="607664DC">
            <wp:extent cx="5731510" cy="1719580"/>
            <wp:effectExtent l="0" t="0" r="0" b="0"/>
            <wp:docPr id="2" name="Picture 2" descr="A picture containing transport, satell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utralisation proces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1719580"/>
                    </a:xfrm>
                    <a:prstGeom prst="rect">
                      <a:avLst/>
                    </a:prstGeom>
                  </pic:spPr>
                </pic:pic>
              </a:graphicData>
            </a:graphic>
          </wp:inline>
        </w:drawing>
      </w:r>
    </w:p>
    <w:p w14:paraId="022F547D" w14:textId="73291302" w:rsidR="00201AC2" w:rsidRDefault="00201AC2" w:rsidP="00201AC2">
      <w:pPr>
        <w:pStyle w:val="ListParagraph"/>
        <w:numPr>
          <w:ilvl w:val="0"/>
          <w:numId w:val="3"/>
        </w:numPr>
        <w:spacing w:after="180"/>
        <w:ind w:left="567" w:hanging="567"/>
        <w:contextualSpacing w:val="0"/>
      </w:pPr>
    </w:p>
    <w:p w14:paraId="6CC8E7A5" w14:textId="09CB30A3" w:rsidR="00201AC2" w:rsidRDefault="00A31A1D" w:rsidP="00201AC2">
      <w:pPr>
        <w:pStyle w:val="ListParagraph"/>
        <w:numPr>
          <w:ilvl w:val="1"/>
          <w:numId w:val="3"/>
        </w:numPr>
        <w:spacing w:after="180"/>
        <w:ind w:left="993" w:hanging="426"/>
        <w:contextualSpacing w:val="0"/>
      </w:pPr>
      <w:r>
        <w:t>Complete the table below to show what the beaker contains at each stage of the experiment.</w:t>
      </w:r>
    </w:p>
    <w:tbl>
      <w:tblPr>
        <w:tblStyle w:val="TableGrid"/>
        <w:tblW w:w="0" w:type="auto"/>
        <w:tblInd w:w="993" w:type="dxa"/>
        <w:tblLook w:val="04A0" w:firstRow="1" w:lastRow="0" w:firstColumn="1" w:lastColumn="0" w:noHBand="0" w:noVBand="1"/>
      </w:tblPr>
      <w:tblGrid>
        <w:gridCol w:w="2085"/>
        <w:gridCol w:w="1959"/>
        <w:gridCol w:w="2012"/>
        <w:gridCol w:w="1967"/>
      </w:tblGrid>
      <w:tr w:rsidR="00A31A1D" w14:paraId="5159AFA2" w14:textId="77777777" w:rsidTr="00A31A1D">
        <w:tc>
          <w:tcPr>
            <w:tcW w:w="2254" w:type="dxa"/>
          </w:tcPr>
          <w:p w14:paraId="4650D814" w14:textId="01D3ED6D" w:rsidR="00A31A1D" w:rsidRDefault="00A31A1D" w:rsidP="00A31A1D">
            <w:pPr>
              <w:pStyle w:val="ListParagraph"/>
              <w:spacing w:after="180"/>
              <w:ind w:left="0"/>
              <w:contextualSpacing w:val="0"/>
            </w:pPr>
            <w:r>
              <w:t>Substance</w:t>
            </w:r>
          </w:p>
        </w:tc>
        <w:tc>
          <w:tcPr>
            <w:tcW w:w="2254" w:type="dxa"/>
          </w:tcPr>
          <w:p w14:paraId="267E596C" w14:textId="40ED534D" w:rsidR="00A31A1D" w:rsidRDefault="00A31A1D" w:rsidP="00A31A1D">
            <w:pPr>
              <w:pStyle w:val="ListParagraph"/>
              <w:spacing w:after="180"/>
              <w:ind w:left="0"/>
              <w:contextualSpacing w:val="0"/>
            </w:pPr>
            <w:r>
              <w:t>Start</w:t>
            </w:r>
          </w:p>
        </w:tc>
        <w:tc>
          <w:tcPr>
            <w:tcW w:w="2254" w:type="dxa"/>
          </w:tcPr>
          <w:p w14:paraId="58395C20" w14:textId="0F9DAE81" w:rsidR="00A31A1D" w:rsidRDefault="00A31A1D" w:rsidP="00A31A1D">
            <w:pPr>
              <w:pStyle w:val="ListParagraph"/>
              <w:spacing w:after="180"/>
              <w:ind w:left="0"/>
              <w:contextualSpacing w:val="0"/>
            </w:pPr>
            <w:r>
              <w:t>Midway</w:t>
            </w:r>
          </w:p>
        </w:tc>
        <w:tc>
          <w:tcPr>
            <w:tcW w:w="2254" w:type="dxa"/>
          </w:tcPr>
          <w:p w14:paraId="2B9013F0" w14:textId="56409D1F" w:rsidR="00A31A1D" w:rsidRDefault="00A31A1D" w:rsidP="00A31A1D">
            <w:pPr>
              <w:pStyle w:val="ListParagraph"/>
              <w:spacing w:after="180"/>
              <w:ind w:left="0"/>
              <w:contextualSpacing w:val="0"/>
            </w:pPr>
            <w:r>
              <w:t>End point</w:t>
            </w:r>
          </w:p>
        </w:tc>
      </w:tr>
      <w:tr w:rsidR="00A31A1D" w14:paraId="2DDB9BDB" w14:textId="77777777" w:rsidTr="00A31A1D">
        <w:tc>
          <w:tcPr>
            <w:tcW w:w="2254" w:type="dxa"/>
          </w:tcPr>
          <w:p w14:paraId="78B3C4B2" w14:textId="2F75BF28" w:rsidR="00A31A1D" w:rsidRDefault="00A31A1D" w:rsidP="00A31A1D">
            <w:pPr>
              <w:pStyle w:val="ListParagraph"/>
              <w:spacing w:after="180"/>
              <w:ind w:left="0"/>
              <w:contextualSpacing w:val="0"/>
            </w:pPr>
            <w:r>
              <w:t>hydrochloric acid</w:t>
            </w:r>
          </w:p>
        </w:tc>
        <w:tc>
          <w:tcPr>
            <w:tcW w:w="2254" w:type="dxa"/>
          </w:tcPr>
          <w:p w14:paraId="238DE19E" w14:textId="77777777" w:rsidR="00A31A1D" w:rsidRDefault="00A31A1D" w:rsidP="00A31A1D">
            <w:pPr>
              <w:pStyle w:val="ListParagraph"/>
              <w:spacing w:after="180"/>
              <w:ind w:left="0"/>
              <w:contextualSpacing w:val="0"/>
            </w:pPr>
          </w:p>
        </w:tc>
        <w:tc>
          <w:tcPr>
            <w:tcW w:w="2254" w:type="dxa"/>
          </w:tcPr>
          <w:p w14:paraId="1515351B" w14:textId="77777777" w:rsidR="00A31A1D" w:rsidRDefault="00A31A1D" w:rsidP="00A31A1D">
            <w:pPr>
              <w:pStyle w:val="ListParagraph"/>
              <w:spacing w:after="180"/>
              <w:ind w:left="0"/>
              <w:contextualSpacing w:val="0"/>
            </w:pPr>
          </w:p>
        </w:tc>
        <w:tc>
          <w:tcPr>
            <w:tcW w:w="2254" w:type="dxa"/>
          </w:tcPr>
          <w:p w14:paraId="69A303F4" w14:textId="77777777" w:rsidR="00A31A1D" w:rsidRDefault="00A31A1D" w:rsidP="00A31A1D">
            <w:pPr>
              <w:pStyle w:val="ListParagraph"/>
              <w:spacing w:after="180"/>
              <w:ind w:left="0"/>
              <w:contextualSpacing w:val="0"/>
            </w:pPr>
          </w:p>
        </w:tc>
      </w:tr>
      <w:tr w:rsidR="00A31A1D" w14:paraId="4DDF26F1" w14:textId="77777777" w:rsidTr="00A31A1D">
        <w:tc>
          <w:tcPr>
            <w:tcW w:w="2254" w:type="dxa"/>
          </w:tcPr>
          <w:p w14:paraId="5CF6EFD5" w14:textId="6C37E2B0" w:rsidR="00A31A1D" w:rsidRDefault="00A31A1D" w:rsidP="00A31A1D">
            <w:pPr>
              <w:pStyle w:val="ListParagraph"/>
              <w:spacing w:after="180"/>
              <w:ind w:left="0"/>
              <w:contextualSpacing w:val="0"/>
            </w:pPr>
            <w:r>
              <w:t>sodium hydroxide solution</w:t>
            </w:r>
          </w:p>
        </w:tc>
        <w:tc>
          <w:tcPr>
            <w:tcW w:w="2254" w:type="dxa"/>
          </w:tcPr>
          <w:p w14:paraId="085B9EF7" w14:textId="77777777" w:rsidR="00A31A1D" w:rsidRDefault="00A31A1D" w:rsidP="00A31A1D">
            <w:pPr>
              <w:pStyle w:val="ListParagraph"/>
              <w:spacing w:after="180"/>
              <w:ind w:left="0"/>
              <w:contextualSpacing w:val="0"/>
            </w:pPr>
          </w:p>
        </w:tc>
        <w:tc>
          <w:tcPr>
            <w:tcW w:w="2254" w:type="dxa"/>
          </w:tcPr>
          <w:p w14:paraId="3DEE2260" w14:textId="77777777" w:rsidR="00A31A1D" w:rsidRDefault="00A31A1D" w:rsidP="00A31A1D">
            <w:pPr>
              <w:pStyle w:val="ListParagraph"/>
              <w:spacing w:after="180"/>
              <w:ind w:left="0"/>
              <w:contextualSpacing w:val="0"/>
            </w:pPr>
          </w:p>
        </w:tc>
        <w:tc>
          <w:tcPr>
            <w:tcW w:w="2254" w:type="dxa"/>
          </w:tcPr>
          <w:p w14:paraId="73A9A300" w14:textId="77777777" w:rsidR="00A31A1D" w:rsidRDefault="00A31A1D" w:rsidP="00A31A1D">
            <w:pPr>
              <w:pStyle w:val="ListParagraph"/>
              <w:spacing w:after="180"/>
              <w:ind w:left="0"/>
              <w:contextualSpacing w:val="0"/>
            </w:pPr>
          </w:p>
        </w:tc>
      </w:tr>
      <w:tr w:rsidR="00A31A1D" w14:paraId="497A180E" w14:textId="77777777" w:rsidTr="00A31A1D">
        <w:tc>
          <w:tcPr>
            <w:tcW w:w="2254" w:type="dxa"/>
          </w:tcPr>
          <w:p w14:paraId="04E5D3C8" w14:textId="2369C1BB" w:rsidR="00A31A1D" w:rsidRDefault="00A31A1D" w:rsidP="00A31A1D">
            <w:pPr>
              <w:pStyle w:val="ListParagraph"/>
              <w:spacing w:after="180"/>
              <w:ind w:left="0"/>
              <w:contextualSpacing w:val="0"/>
            </w:pPr>
            <w:r>
              <w:t>sodium chloride solution</w:t>
            </w:r>
          </w:p>
        </w:tc>
        <w:tc>
          <w:tcPr>
            <w:tcW w:w="2254" w:type="dxa"/>
          </w:tcPr>
          <w:p w14:paraId="7FFA462A" w14:textId="77777777" w:rsidR="00A31A1D" w:rsidRDefault="00A31A1D" w:rsidP="00A31A1D">
            <w:pPr>
              <w:pStyle w:val="ListParagraph"/>
              <w:spacing w:after="180"/>
              <w:ind w:left="0"/>
              <w:contextualSpacing w:val="0"/>
            </w:pPr>
          </w:p>
        </w:tc>
        <w:tc>
          <w:tcPr>
            <w:tcW w:w="2254" w:type="dxa"/>
          </w:tcPr>
          <w:p w14:paraId="3F62C766" w14:textId="77777777" w:rsidR="00A31A1D" w:rsidRDefault="00A31A1D" w:rsidP="00A31A1D">
            <w:pPr>
              <w:pStyle w:val="ListParagraph"/>
              <w:spacing w:after="180"/>
              <w:ind w:left="0"/>
              <w:contextualSpacing w:val="0"/>
            </w:pPr>
          </w:p>
        </w:tc>
        <w:tc>
          <w:tcPr>
            <w:tcW w:w="2254" w:type="dxa"/>
          </w:tcPr>
          <w:p w14:paraId="4B885D8F" w14:textId="77777777" w:rsidR="00A31A1D" w:rsidRDefault="00A31A1D" w:rsidP="00A31A1D">
            <w:pPr>
              <w:pStyle w:val="ListParagraph"/>
              <w:spacing w:after="180"/>
              <w:ind w:left="0"/>
              <w:contextualSpacing w:val="0"/>
            </w:pPr>
          </w:p>
        </w:tc>
      </w:tr>
      <w:tr w:rsidR="00A31A1D" w14:paraId="064A05B9" w14:textId="77777777" w:rsidTr="00A31A1D">
        <w:tc>
          <w:tcPr>
            <w:tcW w:w="2254" w:type="dxa"/>
          </w:tcPr>
          <w:p w14:paraId="6BF9BA82" w14:textId="2E5B8AAE" w:rsidR="00A31A1D" w:rsidRDefault="00A31A1D" w:rsidP="00A31A1D">
            <w:pPr>
              <w:pStyle w:val="ListParagraph"/>
              <w:spacing w:after="180"/>
              <w:ind w:left="0"/>
              <w:contextualSpacing w:val="0"/>
            </w:pPr>
            <w:r>
              <w:t>water</w:t>
            </w:r>
          </w:p>
        </w:tc>
        <w:tc>
          <w:tcPr>
            <w:tcW w:w="2254" w:type="dxa"/>
          </w:tcPr>
          <w:p w14:paraId="6674FCDE" w14:textId="77777777" w:rsidR="00A31A1D" w:rsidRDefault="00A31A1D" w:rsidP="00A31A1D">
            <w:pPr>
              <w:pStyle w:val="ListParagraph"/>
              <w:spacing w:after="180"/>
              <w:ind w:left="0"/>
              <w:contextualSpacing w:val="0"/>
            </w:pPr>
          </w:p>
        </w:tc>
        <w:tc>
          <w:tcPr>
            <w:tcW w:w="2254" w:type="dxa"/>
          </w:tcPr>
          <w:p w14:paraId="3115C35D" w14:textId="77777777" w:rsidR="00A31A1D" w:rsidRDefault="00A31A1D" w:rsidP="00A31A1D">
            <w:pPr>
              <w:pStyle w:val="ListParagraph"/>
              <w:spacing w:after="180"/>
              <w:ind w:left="0"/>
              <w:contextualSpacing w:val="0"/>
            </w:pPr>
          </w:p>
        </w:tc>
        <w:tc>
          <w:tcPr>
            <w:tcW w:w="2254" w:type="dxa"/>
          </w:tcPr>
          <w:p w14:paraId="2AF4A426" w14:textId="77777777" w:rsidR="00A31A1D" w:rsidRDefault="00A31A1D" w:rsidP="00A31A1D">
            <w:pPr>
              <w:pStyle w:val="ListParagraph"/>
              <w:spacing w:after="180"/>
              <w:ind w:left="0"/>
              <w:contextualSpacing w:val="0"/>
            </w:pPr>
          </w:p>
        </w:tc>
      </w:tr>
    </w:tbl>
    <w:p w14:paraId="531588E6" w14:textId="77777777" w:rsidR="00A31A1D" w:rsidRDefault="00A31A1D" w:rsidP="00A31A1D">
      <w:pPr>
        <w:pStyle w:val="ListParagraph"/>
        <w:spacing w:after="180"/>
        <w:ind w:left="993"/>
        <w:contextualSpacing w:val="0"/>
      </w:pPr>
    </w:p>
    <w:p w14:paraId="227B0E18" w14:textId="1C56EC5F" w:rsidR="00A31A1D" w:rsidRDefault="00A31A1D" w:rsidP="00201AC2">
      <w:pPr>
        <w:pStyle w:val="ListParagraph"/>
        <w:numPr>
          <w:ilvl w:val="1"/>
          <w:numId w:val="3"/>
        </w:numPr>
        <w:spacing w:after="180"/>
        <w:ind w:left="993" w:hanging="426"/>
        <w:contextualSpacing w:val="0"/>
      </w:pPr>
      <w:r>
        <w:t>Describe how the pH changes during the reaction.</w:t>
      </w:r>
      <w:r w:rsidR="00C86511">
        <w:t xml:space="preserve"> The pH of the hydrochloric acid is 1.</w:t>
      </w:r>
    </w:p>
    <w:p w14:paraId="2407E396" w14:textId="77777777" w:rsidR="00201AC2" w:rsidRPr="00201AC2" w:rsidRDefault="00201AC2" w:rsidP="006F3279">
      <w:pPr>
        <w:spacing w:after="240"/>
        <w:rPr>
          <w:szCs w:val="18"/>
        </w:rPr>
      </w:pPr>
    </w:p>
    <w:p w14:paraId="5DB2ABDC" w14:textId="77777777" w:rsidR="00201AC2" w:rsidRPr="00201AC2" w:rsidRDefault="00201AC2" w:rsidP="006F3279">
      <w:pPr>
        <w:spacing w:after="240"/>
        <w:rPr>
          <w:szCs w:val="18"/>
        </w:rPr>
      </w:pPr>
    </w:p>
    <w:p w14:paraId="2A7803DF"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59393988" w14:textId="13465925"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C31041">
        <w:rPr>
          <w:i/>
          <w:sz w:val="18"/>
          <w:szCs w:val="18"/>
        </w:rPr>
        <w:t>CCR: Chemical reactions</w:t>
      </w:r>
      <w:r>
        <w:rPr>
          <w:i/>
          <w:sz w:val="18"/>
          <w:szCs w:val="18"/>
        </w:rPr>
        <w:t xml:space="preserve"> &gt; Topic </w:t>
      </w:r>
      <w:r w:rsidR="00C31041">
        <w:rPr>
          <w:i/>
          <w:sz w:val="18"/>
          <w:szCs w:val="18"/>
        </w:rPr>
        <w:t>CCR4: Acids and alkalis</w:t>
      </w:r>
      <w:r w:rsidRPr="00CA4B46">
        <w:rPr>
          <w:i/>
          <w:sz w:val="18"/>
          <w:szCs w:val="18"/>
        </w:rPr>
        <w:t xml:space="preserve"> &gt; </w:t>
      </w:r>
      <w:r>
        <w:rPr>
          <w:i/>
          <w:sz w:val="18"/>
          <w:szCs w:val="18"/>
        </w:rPr>
        <w:t>Key concept</w:t>
      </w:r>
      <w:r w:rsidRPr="00CA4B46">
        <w:rPr>
          <w:i/>
          <w:sz w:val="18"/>
          <w:szCs w:val="18"/>
        </w:rPr>
        <w:t xml:space="preserve"> </w:t>
      </w:r>
      <w:r w:rsidR="00C31041">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C5A2B1D" w14:textId="77777777" w:rsidTr="001C2E59">
        <w:tc>
          <w:tcPr>
            <w:tcW w:w="12021" w:type="dxa"/>
            <w:shd w:val="clear" w:color="auto" w:fill="FABF8F" w:themeFill="accent6" w:themeFillTint="99"/>
          </w:tcPr>
          <w:p w14:paraId="0361071A"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89BB2AE" w14:textId="77777777" w:rsidTr="001C2E59">
        <w:tc>
          <w:tcPr>
            <w:tcW w:w="12021" w:type="dxa"/>
            <w:shd w:val="clear" w:color="auto" w:fill="FBD4B4" w:themeFill="accent6" w:themeFillTint="66"/>
          </w:tcPr>
          <w:p w14:paraId="6A34D9FD" w14:textId="677B6320" w:rsidR="006F3279" w:rsidRPr="00CA4B46" w:rsidRDefault="009C733D" w:rsidP="006F3279">
            <w:pPr>
              <w:spacing w:after="60"/>
              <w:ind w:left="1304"/>
              <w:rPr>
                <w:b/>
                <w:sz w:val="40"/>
                <w:szCs w:val="40"/>
              </w:rPr>
            </w:pPr>
            <w:r>
              <w:rPr>
                <w:b/>
                <w:sz w:val="40"/>
                <w:szCs w:val="40"/>
              </w:rPr>
              <w:t>Changing pH</w:t>
            </w:r>
          </w:p>
        </w:tc>
      </w:tr>
    </w:tbl>
    <w:p w14:paraId="582262AD" w14:textId="77777777" w:rsidR="006F3279" w:rsidRDefault="006F3279" w:rsidP="00E172C6">
      <w:pPr>
        <w:spacing w:after="180"/>
        <w:rPr>
          <w:b/>
        </w:rPr>
      </w:pPr>
    </w:p>
    <w:p w14:paraId="3A3059CB"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064BCC76" w14:textId="77777777" w:rsidTr="003F16F9">
        <w:trPr>
          <w:trHeight w:val="340"/>
        </w:trPr>
        <w:tc>
          <w:tcPr>
            <w:tcW w:w="2196" w:type="dxa"/>
          </w:tcPr>
          <w:p w14:paraId="6BF19D81" w14:textId="77777777" w:rsidR="006A320F" w:rsidRDefault="006A320F" w:rsidP="006A320F">
            <w:pPr>
              <w:spacing w:before="60" w:after="60"/>
            </w:pPr>
            <w:r>
              <w:t>Learning objective:</w:t>
            </w:r>
          </w:p>
        </w:tc>
        <w:tc>
          <w:tcPr>
            <w:tcW w:w="6820" w:type="dxa"/>
          </w:tcPr>
          <w:p w14:paraId="2F34591F" w14:textId="566C6EE8" w:rsidR="006A320F" w:rsidRDefault="00C31041" w:rsidP="006A320F">
            <w:pPr>
              <w:spacing w:before="60" w:after="60"/>
            </w:pPr>
            <w:r>
              <w:t>A salt is formed from a neutralisation reaction between an acid and base.</w:t>
            </w:r>
          </w:p>
        </w:tc>
      </w:tr>
      <w:tr w:rsidR="006A320F" w14:paraId="6C62BB6C" w14:textId="77777777" w:rsidTr="003F16F9">
        <w:trPr>
          <w:trHeight w:val="340"/>
        </w:trPr>
        <w:tc>
          <w:tcPr>
            <w:tcW w:w="2196" w:type="dxa"/>
          </w:tcPr>
          <w:p w14:paraId="24EF884F" w14:textId="77777777" w:rsidR="006A320F" w:rsidRDefault="006A320F" w:rsidP="006A320F">
            <w:pPr>
              <w:spacing w:before="60" w:after="60"/>
            </w:pPr>
            <w:r>
              <w:t>Observable learning outcome:</w:t>
            </w:r>
          </w:p>
        </w:tc>
        <w:tc>
          <w:tcPr>
            <w:tcW w:w="6820" w:type="dxa"/>
          </w:tcPr>
          <w:p w14:paraId="144D1671" w14:textId="192D8EC6" w:rsidR="006A320F" w:rsidRPr="00A50C9C" w:rsidRDefault="00C31041" w:rsidP="006A320F">
            <w:pPr>
              <w:spacing w:before="60" w:after="60"/>
              <w:rPr>
                <w:b/>
              </w:rPr>
            </w:pPr>
            <w:r>
              <w:t>Describe the end point of a neutralisation reaction between a strong acid and a strong alkali.</w:t>
            </w:r>
          </w:p>
        </w:tc>
      </w:tr>
      <w:tr w:rsidR="006A320F" w14:paraId="44D02EE7" w14:textId="77777777" w:rsidTr="003F16F9">
        <w:trPr>
          <w:trHeight w:val="340"/>
        </w:trPr>
        <w:tc>
          <w:tcPr>
            <w:tcW w:w="2196" w:type="dxa"/>
          </w:tcPr>
          <w:p w14:paraId="22BD1E4A" w14:textId="77777777" w:rsidR="006A320F" w:rsidRDefault="00E03772" w:rsidP="006A320F">
            <w:pPr>
              <w:spacing w:before="60" w:after="60"/>
            </w:pPr>
            <w:r>
              <w:t>Activity</w:t>
            </w:r>
            <w:r w:rsidR="006A320F">
              <w:t xml:space="preserve"> type:</w:t>
            </w:r>
          </w:p>
        </w:tc>
        <w:tc>
          <w:tcPr>
            <w:tcW w:w="6820" w:type="dxa"/>
          </w:tcPr>
          <w:p w14:paraId="4C3FC0B1" w14:textId="69F2CE47" w:rsidR="006A320F" w:rsidRDefault="00771B78" w:rsidP="006A320F">
            <w:pPr>
              <w:spacing w:before="60" w:after="60"/>
            </w:pPr>
            <w:r>
              <w:t>Clarifying</w:t>
            </w:r>
          </w:p>
        </w:tc>
      </w:tr>
      <w:tr w:rsidR="006A320F" w14:paraId="7EBFB43F" w14:textId="77777777" w:rsidTr="003F16F9">
        <w:trPr>
          <w:trHeight w:val="340"/>
        </w:trPr>
        <w:tc>
          <w:tcPr>
            <w:tcW w:w="2196" w:type="dxa"/>
          </w:tcPr>
          <w:p w14:paraId="01A41D47" w14:textId="77777777" w:rsidR="006A320F" w:rsidRDefault="006A320F" w:rsidP="006A320F">
            <w:pPr>
              <w:spacing w:before="60" w:after="60"/>
            </w:pPr>
            <w:r>
              <w:t>Key words:</w:t>
            </w:r>
          </w:p>
        </w:tc>
        <w:tc>
          <w:tcPr>
            <w:tcW w:w="6820" w:type="dxa"/>
            <w:tcBorders>
              <w:bottom w:val="dotted" w:sz="4" w:space="0" w:color="auto"/>
            </w:tcBorders>
          </w:tcPr>
          <w:p w14:paraId="1003D99A" w14:textId="6582BF00" w:rsidR="006A320F" w:rsidRDefault="00C31041" w:rsidP="006A320F">
            <w:pPr>
              <w:spacing w:before="60" w:after="60"/>
            </w:pPr>
            <w:r>
              <w:t>acid, alkali, neutralisation</w:t>
            </w:r>
          </w:p>
        </w:tc>
      </w:tr>
    </w:tbl>
    <w:p w14:paraId="1B72CF49" w14:textId="77777777" w:rsidR="00E172C6" w:rsidRDefault="00E172C6" w:rsidP="00E172C6">
      <w:pPr>
        <w:spacing w:after="180"/>
      </w:pPr>
    </w:p>
    <w:p w14:paraId="1E86DF17" w14:textId="3879D862" w:rsidR="006A320F" w:rsidRDefault="006A320F" w:rsidP="006A320F">
      <w:pPr>
        <w:spacing w:after="180"/>
      </w:pPr>
      <w:r>
        <w:t xml:space="preserve">This activity can help develop students’ understanding by addressing the </w:t>
      </w:r>
      <w:r w:rsidR="00A31A1D">
        <w:t>misunderstandings</w:t>
      </w:r>
      <w:r>
        <w:t xml:space="preserve"> revealed by the following diagnostic question</w:t>
      </w:r>
      <w:r w:rsidRPr="006E0400">
        <w:t>:</w:t>
      </w:r>
    </w:p>
    <w:p w14:paraId="37293858" w14:textId="103CC9A4" w:rsidR="00456227" w:rsidRPr="00A6111E" w:rsidRDefault="00C31041" w:rsidP="00456227">
      <w:pPr>
        <w:pStyle w:val="ListParagraph"/>
        <w:numPr>
          <w:ilvl w:val="0"/>
          <w:numId w:val="1"/>
        </w:numPr>
        <w:spacing w:after="180"/>
      </w:pPr>
      <w:r>
        <w:t>End point</w:t>
      </w:r>
    </w:p>
    <w:p w14:paraId="78757504"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308A9B5D" w14:textId="77777777" w:rsidTr="001C2E59">
        <w:tc>
          <w:tcPr>
            <w:tcW w:w="709" w:type="dxa"/>
            <w:shd w:val="clear" w:color="auto" w:fill="FABF8F" w:themeFill="accent6" w:themeFillTint="99"/>
            <w:tcMar>
              <w:left w:w="28" w:type="dxa"/>
              <w:bottom w:w="57" w:type="dxa"/>
              <w:right w:w="28" w:type="dxa"/>
            </w:tcMar>
            <w:vAlign w:val="center"/>
          </w:tcPr>
          <w:p w14:paraId="4D1714F6"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098BFA9C"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5A19F2F6"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50770A03" w14:textId="77777777" w:rsidR="00F72ECC" w:rsidRDefault="00F72ECC" w:rsidP="00F72ECC"/>
    <w:p w14:paraId="01C7FD0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9CD651B" w14:textId="77777777" w:rsidR="00771B78" w:rsidRDefault="00771B78" w:rsidP="00771B78">
      <w:pPr>
        <w:spacing w:after="180"/>
        <w:rPr>
          <w:rFonts w:cstheme="minorHAnsi"/>
        </w:rPr>
      </w:pPr>
      <w:bookmarkStart w:id="0" w:name="_Hlk9347043"/>
      <w:r>
        <w:rPr>
          <w:rFonts w:cstheme="minorHAnsi"/>
        </w:rPr>
        <w:t xml:space="preserve">In the introduction to his paper “A label as a hidden persuader, chemists’ neutralisation concept” Schmidt </w:t>
      </w:r>
      <w:r>
        <w:rPr>
          <w:rFonts w:cstheme="minorHAnsi"/>
        </w:rPr>
        <w:fldChar w:fldCharType="begin"/>
      </w:r>
      <w:r>
        <w:rPr>
          <w:rFonts w:cstheme="minorHAnsi"/>
        </w:rPr>
        <w:instrText xml:space="preserve"> ADDIN EN.CITE &lt;EndNote&gt;&lt;Cite ExcludeAuth="1"&gt;&lt;Author&gt;Schmidt&lt;/Author&gt;&lt;Year&gt;1991&lt;/Year&gt;&lt;IDText&gt;A label as a hidden persuader: chemists&amp;apos; neutralisation concept&lt;/IDText&gt;&lt;DisplayText&gt;(1991)&lt;/DisplayText&gt;&lt;record&gt;&lt;titles&gt;&lt;title&gt;A label as a hidden persuader: chemists&amp;apos; neutralisation concept&lt;/title&gt;&lt;secondary-title&gt;International Journal of Science Education&lt;/secondary-title&gt;&lt;/titles&gt;&lt;pages&gt;459-471&lt;/pages&gt;&lt;number&gt;4&lt;/number&gt;&lt;contributors&gt;&lt;authors&gt;&lt;author&gt;Schmidt, Hans-Jürgen&lt;/author&gt;&lt;/authors&gt;&lt;/contributors&gt;&lt;added-date format="utc"&gt;1558442911&lt;/added-date&gt;&lt;ref-type name="Journal Article"&gt;17&lt;/ref-type&gt;&lt;dates&gt;&lt;year&gt;1991&lt;/year&gt;&lt;/dates&gt;&lt;rec-number&gt;57&lt;/rec-number&gt;&lt;last-updated-date format="utc"&gt;1558442993&lt;/last-updated-date&gt;&lt;volume&gt;13&lt;/volume&gt;&lt;/record&gt;&lt;/Cite&gt;&lt;/EndNote&gt;</w:instrText>
      </w:r>
      <w:r>
        <w:rPr>
          <w:rFonts w:cstheme="minorHAnsi"/>
        </w:rPr>
        <w:fldChar w:fldCharType="separate"/>
      </w:r>
      <w:r>
        <w:rPr>
          <w:rFonts w:cstheme="minorHAnsi"/>
          <w:noProof/>
        </w:rPr>
        <w:t>(1991)</w:t>
      </w:r>
      <w:r>
        <w:rPr>
          <w:rFonts w:cstheme="minorHAnsi"/>
        </w:rPr>
        <w:fldChar w:fldCharType="end"/>
      </w:r>
      <w:r>
        <w:rPr>
          <w:rFonts w:cstheme="minorHAnsi"/>
        </w:rPr>
        <w:t xml:space="preserve"> explains that the original meaning of neutralisation has shifted over hundreds of years. Chemistry teaching refers to both old and new definitions. </w:t>
      </w:r>
    </w:p>
    <w:p w14:paraId="67AC9B24" w14:textId="77777777" w:rsidR="00771B78" w:rsidRDefault="00771B78" w:rsidP="00771B78">
      <w:pPr>
        <w:spacing w:after="180"/>
        <w:rPr>
          <w:rFonts w:cstheme="minorHAnsi"/>
        </w:rPr>
      </w:pPr>
      <w:r>
        <w:rPr>
          <w:rFonts w:cstheme="minorHAnsi"/>
        </w:rPr>
        <w:t xml:space="preserve">The test items used in the research showed that many students understand the concept in the original meaning in which an acid and base react to form a neutral salt. Some of these older students considered a neutral solution to be formed even if the reaction included a weak acid or base. They also assumed that the reaction was irreversible. It appeared that the term ‘neutralisation’ triggered memories of students’ early learning about acids and bases before they had been taught about weak acids and bases and chemical equilibrium. </w:t>
      </w:r>
    </w:p>
    <w:p w14:paraId="63C8A837" w14:textId="77777777" w:rsidR="00771B78" w:rsidRPr="00B96087" w:rsidRDefault="00771B78" w:rsidP="00771B78">
      <w:pPr>
        <w:spacing w:after="180"/>
        <w:rPr>
          <w:rFonts w:cstheme="minorHAnsi"/>
        </w:rPr>
      </w:pPr>
      <w:r>
        <w:rPr>
          <w:rFonts w:cstheme="minorHAnsi"/>
        </w:rPr>
        <w:t xml:space="preserve">It may therefore be preferable, when introducing the concept of neutralisation, to make clear that this applies to typical strong laboratory acids and alkalis but may not be the case when other acids and alkalis have been learnt about. In this case, the reason the resulting solution is neutral is that at the end point the only substance in the beaker is sodium chloride solution which has a pH of 7. This way of thinking may be more applicable later than linking the neutrality of the product to the name of the neutralisation process. </w:t>
      </w:r>
    </w:p>
    <w:bookmarkEnd w:id="0"/>
    <w:p w14:paraId="4A3FCFE1" w14:textId="77777777" w:rsidR="00771B78" w:rsidRDefault="00771B78" w:rsidP="00026DEC">
      <w:pPr>
        <w:spacing w:after="180"/>
        <w:rPr>
          <w:b/>
          <w:color w:val="E36C0A" w:themeColor="accent6" w:themeShade="BF"/>
          <w:sz w:val="24"/>
        </w:rPr>
      </w:pPr>
    </w:p>
    <w:p w14:paraId="3F0441FB" w14:textId="77777777" w:rsidR="00771B78" w:rsidRDefault="00771B78" w:rsidP="00026DEC">
      <w:pPr>
        <w:spacing w:after="180"/>
        <w:rPr>
          <w:b/>
          <w:color w:val="E36C0A" w:themeColor="accent6" w:themeShade="BF"/>
          <w:sz w:val="24"/>
        </w:rPr>
      </w:pPr>
    </w:p>
    <w:p w14:paraId="146CFDDE" w14:textId="77777777" w:rsidR="00771B78" w:rsidRDefault="00771B78" w:rsidP="00026DEC">
      <w:pPr>
        <w:spacing w:after="180"/>
        <w:rPr>
          <w:b/>
          <w:color w:val="E36C0A" w:themeColor="accent6" w:themeShade="BF"/>
          <w:sz w:val="24"/>
        </w:rPr>
      </w:pPr>
    </w:p>
    <w:p w14:paraId="1251EA65" w14:textId="77777777" w:rsidR="00771B78" w:rsidRDefault="00771B78" w:rsidP="00026DEC">
      <w:pPr>
        <w:spacing w:after="180"/>
        <w:rPr>
          <w:b/>
          <w:color w:val="E36C0A" w:themeColor="accent6" w:themeShade="BF"/>
          <w:sz w:val="24"/>
        </w:rPr>
      </w:pPr>
    </w:p>
    <w:p w14:paraId="3C7C9F30" w14:textId="3453EA5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6E4E3D8C" w14:textId="729E3DD8" w:rsidR="00A31A1D" w:rsidRDefault="00A31A1D" w:rsidP="00A31A1D">
      <w:pPr>
        <w:spacing w:after="180"/>
      </w:pPr>
      <w:r>
        <w:t>This activity gives students the opportunity to clarify their thinking through discussion.  To support this, s</w:t>
      </w:r>
      <w:r w:rsidRPr="00DA3B6C">
        <w:t xml:space="preserve">tudents </w:t>
      </w:r>
      <w:r>
        <w:t xml:space="preserve">should answer the question in pairs or small groups. </w:t>
      </w:r>
    </w:p>
    <w:p w14:paraId="4A9C148D" w14:textId="77777777" w:rsidR="00A31A1D" w:rsidRDefault="00A31A1D" w:rsidP="00A31A1D">
      <w:pPr>
        <w:spacing w:after="180"/>
      </w:pPr>
      <w:r>
        <w:t>Listening to individual groups as they work often highlights any difficulties they might have.  These can often be overcome, through a whole class clarification or redirection part way through the activity.</w:t>
      </w:r>
    </w:p>
    <w:p w14:paraId="60CD4641" w14:textId="77777777" w:rsidR="00A31A1D" w:rsidRPr="00095A98" w:rsidRDefault="00A31A1D" w:rsidP="00A31A1D">
      <w:pPr>
        <w:spacing w:after="180"/>
        <w:rPr>
          <w:i/>
        </w:rPr>
      </w:pPr>
      <w:r w:rsidRPr="00095A98">
        <w:rPr>
          <w:i/>
        </w:rPr>
        <w:t>Differentiation</w:t>
      </w:r>
    </w:p>
    <w:p w14:paraId="3E0D0E12" w14:textId="77777777" w:rsidR="00A31A1D" w:rsidRPr="00DA3B6C" w:rsidRDefault="00A31A1D" w:rsidP="00A31A1D">
      <w:pPr>
        <w:spacing w:after="180"/>
      </w:pPr>
      <w:r>
        <w:t xml:space="preserve">If some students are working with a teaching assistant, then a list of prompt questions for the teaching assistant could help to make this activity more purposeful.  </w:t>
      </w:r>
    </w:p>
    <w:p w14:paraId="26A4C78E" w14:textId="45CEF742" w:rsidR="00E172C6" w:rsidRDefault="00BB44B4" w:rsidP="00026DEC">
      <w:pPr>
        <w:spacing w:after="180"/>
        <w:rPr>
          <w:b/>
          <w:color w:val="E36C0A" w:themeColor="accent6" w:themeShade="BF"/>
          <w:sz w:val="24"/>
        </w:rPr>
      </w:pPr>
      <w:r w:rsidRPr="001C2E59">
        <w:rPr>
          <w:b/>
          <w:color w:val="E36C0A" w:themeColor="accent6" w:themeShade="BF"/>
          <w:sz w:val="24"/>
        </w:rPr>
        <w:t>Expected answers</w:t>
      </w:r>
    </w:p>
    <w:p w14:paraId="2FF06A48" w14:textId="2A68772F" w:rsidR="00A31A1D" w:rsidRPr="00A31A1D" w:rsidRDefault="00A31A1D" w:rsidP="00026DEC">
      <w:pPr>
        <w:spacing w:after="180"/>
      </w:pPr>
      <w:r w:rsidRPr="00A31A1D">
        <w:t>1a</w:t>
      </w:r>
    </w:p>
    <w:tbl>
      <w:tblPr>
        <w:tblStyle w:val="TableGrid"/>
        <w:tblW w:w="0" w:type="auto"/>
        <w:tblInd w:w="993" w:type="dxa"/>
        <w:tblLook w:val="04A0" w:firstRow="1" w:lastRow="0" w:firstColumn="1" w:lastColumn="0" w:noHBand="0" w:noVBand="1"/>
      </w:tblPr>
      <w:tblGrid>
        <w:gridCol w:w="2085"/>
        <w:gridCol w:w="1959"/>
        <w:gridCol w:w="2012"/>
        <w:gridCol w:w="1967"/>
      </w:tblGrid>
      <w:tr w:rsidR="00A31A1D" w14:paraId="25D1E3FE" w14:textId="77777777" w:rsidTr="00A01FD2">
        <w:tc>
          <w:tcPr>
            <w:tcW w:w="2254" w:type="dxa"/>
          </w:tcPr>
          <w:p w14:paraId="2BBDF55F" w14:textId="77777777" w:rsidR="00A31A1D" w:rsidRDefault="00A31A1D" w:rsidP="00A01FD2">
            <w:pPr>
              <w:pStyle w:val="ListParagraph"/>
              <w:spacing w:after="180"/>
              <w:ind w:left="0"/>
              <w:contextualSpacing w:val="0"/>
            </w:pPr>
            <w:r>
              <w:t>Substance</w:t>
            </w:r>
          </w:p>
        </w:tc>
        <w:tc>
          <w:tcPr>
            <w:tcW w:w="2254" w:type="dxa"/>
          </w:tcPr>
          <w:p w14:paraId="317B12C8" w14:textId="77777777" w:rsidR="00A31A1D" w:rsidRDefault="00A31A1D" w:rsidP="00A01FD2">
            <w:pPr>
              <w:pStyle w:val="ListParagraph"/>
              <w:spacing w:after="180"/>
              <w:ind w:left="0"/>
              <w:contextualSpacing w:val="0"/>
            </w:pPr>
            <w:r>
              <w:t>Start</w:t>
            </w:r>
          </w:p>
        </w:tc>
        <w:tc>
          <w:tcPr>
            <w:tcW w:w="2254" w:type="dxa"/>
          </w:tcPr>
          <w:p w14:paraId="598C5141" w14:textId="77777777" w:rsidR="00A31A1D" w:rsidRDefault="00A31A1D" w:rsidP="00A01FD2">
            <w:pPr>
              <w:pStyle w:val="ListParagraph"/>
              <w:spacing w:after="180"/>
              <w:ind w:left="0"/>
              <w:contextualSpacing w:val="0"/>
            </w:pPr>
            <w:r>
              <w:t>Midway</w:t>
            </w:r>
          </w:p>
        </w:tc>
        <w:tc>
          <w:tcPr>
            <w:tcW w:w="2254" w:type="dxa"/>
          </w:tcPr>
          <w:p w14:paraId="77161934" w14:textId="77777777" w:rsidR="00A31A1D" w:rsidRDefault="00A31A1D" w:rsidP="00A01FD2">
            <w:pPr>
              <w:pStyle w:val="ListParagraph"/>
              <w:spacing w:after="180"/>
              <w:ind w:left="0"/>
              <w:contextualSpacing w:val="0"/>
            </w:pPr>
            <w:r>
              <w:t>End point</w:t>
            </w:r>
          </w:p>
        </w:tc>
      </w:tr>
      <w:tr w:rsidR="00A31A1D" w14:paraId="27180509" w14:textId="77777777" w:rsidTr="00A01FD2">
        <w:tc>
          <w:tcPr>
            <w:tcW w:w="2254" w:type="dxa"/>
          </w:tcPr>
          <w:p w14:paraId="002443BF" w14:textId="77777777" w:rsidR="00A31A1D" w:rsidRDefault="00A31A1D" w:rsidP="00A01FD2">
            <w:pPr>
              <w:pStyle w:val="ListParagraph"/>
              <w:spacing w:after="180"/>
              <w:ind w:left="0"/>
              <w:contextualSpacing w:val="0"/>
            </w:pPr>
            <w:r>
              <w:t>hydrochloric acid</w:t>
            </w:r>
          </w:p>
        </w:tc>
        <w:tc>
          <w:tcPr>
            <w:tcW w:w="2254" w:type="dxa"/>
          </w:tcPr>
          <w:p w14:paraId="0A4799E8" w14:textId="7EFEC58D" w:rsidR="00A31A1D" w:rsidRDefault="00A31A1D" w:rsidP="00A01FD2">
            <w:pPr>
              <w:pStyle w:val="ListParagraph"/>
              <w:spacing w:after="180"/>
              <w:ind w:left="0"/>
              <w:contextualSpacing w:val="0"/>
            </w:pPr>
            <w:r>
              <w:sym w:font="Wingdings" w:char="F0FC"/>
            </w:r>
          </w:p>
        </w:tc>
        <w:tc>
          <w:tcPr>
            <w:tcW w:w="2254" w:type="dxa"/>
          </w:tcPr>
          <w:p w14:paraId="77E81080" w14:textId="50054FCB" w:rsidR="00A31A1D" w:rsidRDefault="00A31A1D" w:rsidP="00A01FD2">
            <w:pPr>
              <w:pStyle w:val="ListParagraph"/>
              <w:spacing w:after="180"/>
              <w:ind w:left="0"/>
              <w:contextualSpacing w:val="0"/>
            </w:pPr>
            <w:r>
              <w:sym w:font="Wingdings" w:char="F0FC"/>
            </w:r>
          </w:p>
        </w:tc>
        <w:tc>
          <w:tcPr>
            <w:tcW w:w="2254" w:type="dxa"/>
          </w:tcPr>
          <w:p w14:paraId="1CCE0810" w14:textId="6213D77F" w:rsidR="00A31A1D" w:rsidRDefault="00A31A1D" w:rsidP="00A01FD2">
            <w:pPr>
              <w:pStyle w:val="ListParagraph"/>
              <w:spacing w:after="180"/>
              <w:ind w:left="0"/>
              <w:contextualSpacing w:val="0"/>
            </w:pPr>
            <w:r>
              <w:t>X</w:t>
            </w:r>
          </w:p>
        </w:tc>
      </w:tr>
      <w:tr w:rsidR="00A31A1D" w14:paraId="7DCC8FD5" w14:textId="77777777" w:rsidTr="00A01FD2">
        <w:tc>
          <w:tcPr>
            <w:tcW w:w="2254" w:type="dxa"/>
          </w:tcPr>
          <w:p w14:paraId="5F85FF16" w14:textId="77777777" w:rsidR="00A31A1D" w:rsidRDefault="00A31A1D" w:rsidP="00A01FD2">
            <w:pPr>
              <w:pStyle w:val="ListParagraph"/>
              <w:spacing w:after="180"/>
              <w:ind w:left="0"/>
              <w:contextualSpacing w:val="0"/>
            </w:pPr>
            <w:r>
              <w:t>sodium hydroxide solution</w:t>
            </w:r>
          </w:p>
        </w:tc>
        <w:tc>
          <w:tcPr>
            <w:tcW w:w="2254" w:type="dxa"/>
          </w:tcPr>
          <w:p w14:paraId="3297E082" w14:textId="76D2F403" w:rsidR="00A31A1D" w:rsidRDefault="00A31A1D" w:rsidP="00A01FD2">
            <w:pPr>
              <w:pStyle w:val="ListParagraph"/>
              <w:spacing w:after="180"/>
              <w:ind w:left="0"/>
              <w:contextualSpacing w:val="0"/>
            </w:pPr>
            <w:r>
              <w:t>X</w:t>
            </w:r>
          </w:p>
        </w:tc>
        <w:tc>
          <w:tcPr>
            <w:tcW w:w="2254" w:type="dxa"/>
          </w:tcPr>
          <w:p w14:paraId="078CBC30" w14:textId="1C1CB5CA" w:rsidR="00A31A1D" w:rsidRDefault="00A31A1D" w:rsidP="00A01FD2">
            <w:pPr>
              <w:pStyle w:val="ListParagraph"/>
              <w:spacing w:after="180"/>
              <w:ind w:left="0"/>
              <w:contextualSpacing w:val="0"/>
            </w:pPr>
            <w:r>
              <w:t>X</w:t>
            </w:r>
          </w:p>
        </w:tc>
        <w:tc>
          <w:tcPr>
            <w:tcW w:w="2254" w:type="dxa"/>
          </w:tcPr>
          <w:p w14:paraId="3D1C3290" w14:textId="2E3F0020" w:rsidR="00A31A1D" w:rsidRDefault="00A31A1D" w:rsidP="00A01FD2">
            <w:pPr>
              <w:pStyle w:val="ListParagraph"/>
              <w:spacing w:after="180"/>
              <w:ind w:left="0"/>
              <w:contextualSpacing w:val="0"/>
            </w:pPr>
            <w:r>
              <w:t>X</w:t>
            </w:r>
          </w:p>
        </w:tc>
      </w:tr>
      <w:tr w:rsidR="00A31A1D" w14:paraId="03F8C2C7" w14:textId="77777777" w:rsidTr="00A01FD2">
        <w:tc>
          <w:tcPr>
            <w:tcW w:w="2254" w:type="dxa"/>
          </w:tcPr>
          <w:p w14:paraId="2BB6D032" w14:textId="77777777" w:rsidR="00A31A1D" w:rsidRDefault="00A31A1D" w:rsidP="00A01FD2">
            <w:pPr>
              <w:pStyle w:val="ListParagraph"/>
              <w:spacing w:after="180"/>
              <w:ind w:left="0"/>
              <w:contextualSpacing w:val="0"/>
            </w:pPr>
            <w:r>
              <w:t>sodium chloride solution</w:t>
            </w:r>
          </w:p>
        </w:tc>
        <w:tc>
          <w:tcPr>
            <w:tcW w:w="2254" w:type="dxa"/>
          </w:tcPr>
          <w:p w14:paraId="1F5DE4B5" w14:textId="15E80C0E" w:rsidR="00A31A1D" w:rsidRDefault="00A31A1D" w:rsidP="00A01FD2">
            <w:pPr>
              <w:pStyle w:val="ListParagraph"/>
              <w:spacing w:after="180"/>
              <w:ind w:left="0"/>
              <w:contextualSpacing w:val="0"/>
            </w:pPr>
            <w:r>
              <w:t>X</w:t>
            </w:r>
          </w:p>
        </w:tc>
        <w:tc>
          <w:tcPr>
            <w:tcW w:w="2254" w:type="dxa"/>
          </w:tcPr>
          <w:p w14:paraId="701BC5B9" w14:textId="1476B524" w:rsidR="00A31A1D" w:rsidRDefault="00A31A1D" w:rsidP="00A01FD2">
            <w:pPr>
              <w:pStyle w:val="ListParagraph"/>
              <w:spacing w:after="180"/>
              <w:ind w:left="0"/>
              <w:contextualSpacing w:val="0"/>
            </w:pPr>
            <w:r>
              <w:sym w:font="Wingdings" w:char="F0FC"/>
            </w:r>
          </w:p>
        </w:tc>
        <w:tc>
          <w:tcPr>
            <w:tcW w:w="2254" w:type="dxa"/>
          </w:tcPr>
          <w:p w14:paraId="747D3F78" w14:textId="41F48F10" w:rsidR="00A31A1D" w:rsidRDefault="00A31A1D" w:rsidP="00A01FD2">
            <w:pPr>
              <w:pStyle w:val="ListParagraph"/>
              <w:spacing w:after="180"/>
              <w:ind w:left="0"/>
              <w:contextualSpacing w:val="0"/>
            </w:pPr>
            <w:r>
              <w:sym w:font="Wingdings" w:char="F0FC"/>
            </w:r>
          </w:p>
        </w:tc>
      </w:tr>
      <w:tr w:rsidR="00A31A1D" w14:paraId="4A432039" w14:textId="77777777" w:rsidTr="00A01FD2">
        <w:tc>
          <w:tcPr>
            <w:tcW w:w="2254" w:type="dxa"/>
          </w:tcPr>
          <w:p w14:paraId="7954FA39" w14:textId="77777777" w:rsidR="00A31A1D" w:rsidRDefault="00A31A1D" w:rsidP="00A01FD2">
            <w:pPr>
              <w:pStyle w:val="ListParagraph"/>
              <w:spacing w:after="180"/>
              <w:ind w:left="0"/>
              <w:contextualSpacing w:val="0"/>
            </w:pPr>
            <w:r>
              <w:t>water</w:t>
            </w:r>
          </w:p>
        </w:tc>
        <w:tc>
          <w:tcPr>
            <w:tcW w:w="2254" w:type="dxa"/>
          </w:tcPr>
          <w:p w14:paraId="4C1043CF" w14:textId="02233D65" w:rsidR="00A31A1D" w:rsidRDefault="00A31A1D" w:rsidP="00A01FD2">
            <w:pPr>
              <w:pStyle w:val="ListParagraph"/>
              <w:spacing w:after="180"/>
              <w:ind w:left="0"/>
              <w:contextualSpacing w:val="0"/>
            </w:pPr>
            <w:r>
              <w:sym w:font="Wingdings" w:char="F0FC"/>
            </w:r>
          </w:p>
        </w:tc>
        <w:tc>
          <w:tcPr>
            <w:tcW w:w="2254" w:type="dxa"/>
          </w:tcPr>
          <w:p w14:paraId="270633A4" w14:textId="290FE6BE" w:rsidR="00A31A1D" w:rsidRDefault="00A31A1D" w:rsidP="00A01FD2">
            <w:pPr>
              <w:pStyle w:val="ListParagraph"/>
              <w:spacing w:after="180"/>
              <w:ind w:left="0"/>
              <w:contextualSpacing w:val="0"/>
            </w:pPr>
            <w:r>
              <w:sym w:font="Wingdings" w:char="F0FC"/>
            </w:r>
          </w:p>
        </w:tc>
        <w:tc>
          <w:tcPr>
            <w:tcW w:w="2254" w:type="dxa"/>
          </w:tcPr>
          <w:p w14:paraId="33F7F372" w14:textId="5E211E92" w:rsidR="00A31A1D" w:rsidRDefault="00A31A1D" w:rsidP="00A01FD2">
            <w:pPr>
              <w:pStyle w:val="ListParagraph"/>
              <w:spacing w:after="180"/>
              <w:ind w:left="0"/>
              <w:contextualSpacing w:val="0"/>
            </w:pPr>
            <w:r>
              <w:sym w:font="Wingdings" w:char="F0FC"/>
            </w:r>
          </w:p>
        </w:tc>
      </w:tr>
    </w:tbl>
    <w:p w14:paraId="17AC8936" w14:textId="77777777" w:rsidR="00771B78" w:rsidRDefault="00771B78" w:rsidP="00026DEC">
      <w:pPr>
        <w:spacing w:after="180"/>
      </w:pPr>
    </w:p>
    <w:p w14:paraId="5E49870D" w14:textId="799F80AC" w:rsidR="00A31A1D" w:rsidRPr="00A31A1D" w:rsidRDefault="00A31A1D" w:rsidP="00026DEC">
      <w:pPr>
        <w:spacing w:after="180"/>
      </w:pPr>
      <w:r>
        <w:t xml:space="preserve">b At the start the pH is one. At the end point the pH is 7. </w:t>
      </w:r>
      <w:r w:rsidR="00C7483B">
        <w:t xml:space="preserve">Midway through the reaction </w:t>
      </w:r>
      <w:bookmarkStart w:id="1" w:name="_GoBack"/>
      <w:bookmarkEnd w:id="1"/>
      <w:r>
        <w:t>the pH should be somewhere in between.</w:t>
      </w:r>
    </w:p>
    <w:p w14:paraId="7C13C187" w14:textId="0C38134F"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CF45D0B" w14:textId="5C7FC257" w:rsidR="00D278E8" w:rsidRDefault="00D278E8" w:rsidP="00E172C6">
      <w:pPr>
        <w:spacing w:after="180"/>
      </w:pPr>
      <w:r>
        <w:t xml:space="preserve">Developed </w:t>
      </w:r>
      <w:r w:rsidR="0015356E">
        <w:t xml:space="preserve">by </w:t>
      </w:r>
      <w:r w:rsidR="009C733D">
        <w:t>Helen Harden</w:t>
      </w:r>
      <w:r w:rsidR="0015356E">
        <w:t xml:space="preserve"> (UYSEG)</w:t>
      </w:r>
      <w:r w:rsidR="009C733D">
        <w:t>.</w:t>
      </w:r>
    </w:p>
    <w:p w14:paraId="65A2325B" w14:textId="2D05CEAE" w:rsidR="00CC78A5" w:rsidRDefault="00D278E8" w:rsidP="00E172C6">
      <w:pPr>
        <w:spacing w:after="180"/>
      </w:pPr>
      <w:r w:rsidRPr="0045323E">
        <w:t xml:space="preserve">Images: </w:t>
      </w:r>
      <w:r w:rsidR="009C733D">
        <w:t>Helen Harden and Alistair Moore (UYSEG)</w:t>
      </w:r>
    </w:p>
    <w:p w14:paraId="1A72B237"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6C269D43" w14:textId="47A14F4D" w:rsidR="00A31A1D" w:rsidRPr="00A31A1D" w:rsidRDefault="00A31A1D" w:rsidP="00A31A1D">
      <w:pPr>
        <w:pStyle w:val="EndNoteBibliography"/>
      </w:pPr>
      <w:r>
        <w:fldChar w:fldCharType="begin"/>
      </w:r>
      <w:r>
        <w:instrText xml:space="preserve"> ADDIN EN.REFLIST </w:instrText>
      </w:r>
      <w:r>
        <w:fldChar w:fldCharType="separate"/>
      </w:r>
      <w:r w:rsidRPr="00A31A1D">
        <w:t>Schmidt, H</w:t>
      </w:r>
      <w:r>
        <w:t>ands</w:t>
      </w:r>
      <w:r w:rsidRPr="00A31A1D">
        <w:t>-J</w:t>
      </w:r>
      <w:r>
        <w:t>ürgen</w:t>
      </w:r>
      <w:r w:rsidRPr="00A31A1D">
        <w:t xml:space="preserve">. (1991). A label as a hidden persuader: chemists' neutralisation concept. </w:t>
      </w:r>
      <w:r w:rsidRPr="00A31A1D">
        <w:rPr>
          <w:i/>
        </w:rPr>
        <w:t>International Journal of Science Education,</w:t>
      </w:r>
      <w:r w:rsidRPr="00A31A1D">
        <w:t xml:space="preserve"> 13(4)</w:t>
      </w:r>
      <w:r w:rsidRPr="00A31A1D">
        <w:rPr>
          <w:b/>
        </w:rPr>
        <w:t>,</w:t>
      </w:r>
      <w:r w:rsidRPr="00A31A1D">
        <w:t xml:space="preserve"> 459-471.</w:t>
      </w:r>
    </w:p>
    <w:p w14:paraId="3D2BA3B3" w14:textId="04FCAA87" w:rsidR="005E1205" w:rsidRPr="005E1205" w:rsidRDefault="00A31A1D" w:rsidP="00026DEC">
      <w:pPr>
        <w:spacing w:after="180"/>
      </w:pPr>
      <w:r>
        <w:fldChar w:fldCharType="end"/>
      </w:r>
    </w:p>
    <w:sectPr w:rsidR="005E1205" w:rsidRPr="005E120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FAE34" w14:textId="77777777" w:rsidR="0017638B" w:rsidRDefault="0017638B" w:rsidP="000B473B">
      <w:r>
        <w:separator/>
      </w:r>
    </w:p>
  </w:endnote>
  <w:endnote w:type="continuationSeparator" w:id="0">
    <w:p w14:paraId="1B7C5A89" w14:textId="77777777" w:rsidR="0017638B" w:rsidRDefault="0017638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42B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478B30B" wp14:editId="55799CD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E3498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710AE9F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4ABE36AB"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E2740" w14:textId="77777777" w:rsidR="0017638B" w:rsidRDefault="0017638B" w:rsidP="000B473B">
      <w:r>
        <w:separator/>
      </w:r>
    </w:p>
  </w:footnote>
  <w:footnote w:type="continuationSeparator" w:id="0">
    <w:p w14:paraId="0AA7FB69" w14:textId="77777777" w:rsidR="0017638B" w:rsidRDefault="0017638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8DAD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FCE19D8" wp14:editId="70C222D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BECAB2" wp14:editId="4C730AF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63C4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CC07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583AB78" wp14:editId="1755E4A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5309348" wp14:editId="438F241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B7BE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1047"/>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7638B"/>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81201"/>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71B78"/>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C733D"/>
    <w:rsid w:val="009E0D11"/>
    <w:rsid w:val="00A24A16"/>
    <w:rsid w:val="00A31A1D"/>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E1047"/>
    <w:rsid w:val="00BF0BBF"/>
    <w:rsid w:val="00BF6C8A"/>
    <w:rsid w:val="00C05571"/>
    <w:rsid w:val="00C246CE"/>
    <w:rsid w:val="00C31041"/>
    <w:rsid w:val="00C57FA2"/>
    <w:rsid w:val="00C7483B"/>
    <w:rsid w:val="00C80257"/>
    <w:rsid w:val="00C86511"/>
    <w:rsid w:val="00CB4B24"/>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80375"/>
  <w15:docId w15:val="{66800AD3-3401-4601-A4AE-6A7EE9EB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31A1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31A1D"/>
    <w:rPr>
      <w:rFonts w:ascii="Calibri" w:hAnsi="Calibri" w:cs="Calibri"/>
      <w:noProof/>
      <w:lang w:val="en-US"/>
    </w:rPr>
  </w:style>
  <w:style w:type="paragraph" w:customStyle="1" w:styleId="EndNoteBibliography">
    <w:name w:val="EndNote Bibliography"/>
    <w:basedOn w:val="Normal"/>
    <w:link w:val="EndNoteBibliographyChar"/>
    <w:rsid w:val="00A31A1D"/>
    <w:rPr>
      <w:rFonts w:ascii="Calibri" w:hAnsi="Calibri" w:cs="Calibri"/>
      <w:noProof/>
      <w:lang w:val="en-US"/>
    </w:rPr>
  </w:style>
  <w:style w:type="character" w:customStyle="1" w:styleId="EndNoteBibliographyChar">
    <w:name w:val="EndNote Bibliography Char"/>
    <w:basedOn w:val="DefaultParagraphFont"/>
    <w:link w:val="EndNoteBibliography"/>
    <w:rsid w:val="00A31A1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27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68</TotalTime>
  <Pages>3</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2019-05-21T09:43:00Z</dcterms:created>
  <dcterms:modified xsi:type="dcterms:W3CDTF">2019-07-02T09:30:00Z</dcterms:modified>
</cp:coreProperties>
</file>