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A52318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Hot metal</w:t>
      </w:r>
    </w:p>
    <w:p w:rsidR="00201AC2" w:rsidRDefault="00745D43" w:rsidP="00201AC2">
      <w:pPr>
        <w:spacing w:after="180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4399280</wp:posOffset>
            </wp:positionH>
            <wp:positionV relativeFrom="paragraph">
              <wp:posOffset>78105</wp:posOffset>
            </wp:positionV>
            <wp:extent cx="1257300" cy="134429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989"/>
                    <a:stretch/>
                  </pic:blipFill>
                  <pic:spPr bwMode="auto">
                    <a:xfrm>
                      <a:off x="0" y="0"/>
                      <a:ext cx="125730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45D43" w:rsidRPr="00745D43" w:rsidRDefault="00745D43" w:rsidP="00745D43">
      <w:pPr>
        <w:spacing w:after="60"/>
      </w:pPr>
      <w:r w:rsidRPr="00745D43">
        <w:rPr>
          <w:lang w:val="en-US"/>
        </w:rPr>
        <w:t>These cubes are made out of metal.</w:t>
      </w:r>
    </w:p>
    <w:p w:rsidR="00745D43" w:rsidRPr="00745D43" w:rsidRDefault="00745D43" w:rsidP="00745D43">
      <w:pPr>
        <w:spacing w:after="60"/>
      </w:pPr>
      <w:r w:rsidRPr="00745D43">
        <w:rPr>
          <w:lang w:val="en-US"/>
        </w:rPr>
        <w:t>They are put into a beaker of very hot water to heat up.</w:t>
      </w:r>
    </w:p>
    <w:p w:rsidR="00745D43" w:rsidRPr="00745D43" w:rsidRDefault="00745D43" w:rsidP="00745D43">
      <w:pPr>
        <w:spacing w:after="180"/>
      </w:pPr>
      <w:r w:rsidRPr="00745D43">
        <w:rPr>
          <w:lang w:val="en-US"/>
        </w:rPr>
        <w:t>Each one is put into a new beaker with 100cm</w:t>
      </w:r>
      <w:r w:rsidRPr="00745D43">
        <w:rPr>
          <w:vertAlign w:val="superscript"/>
          <w:lang w:val="en-US"/>
        </w:rPr>
        <w:t>3</w:t>
      </w:r>
      <w:r w:rsidRPr="00745D43">
        <w:rPr>
          <w:lang w:val="en-US"/>
        </w:rPr>
        <w:t xml:space="preserve"> of cold water.</w:t>
      </w:r>
    </w:p>
    <w:p w:rsidR="00B23B31" w:rsidRDefault="00B23B31" w:rsidP="00745D43">
      <w:pPr>
        <w:spacing w:after="180"/>
        <w:jc w:val="center"/>
      </w:pPr>
    </w:p>
    <w:p w:rsidR="00745D43" w:rsidRPr="00E172C6" w:rsidRDefault="00745D43" w:rsidP="00745D43">
      <w:pPr>
        <w:spacing w:after="120"/>
        <w:rPr>
          <w:b/>
        </w:rPr>
      </w:pPr>
      <w:r>
        <w:rPr>
          <w:b/>
        </w:rPr>
        <w:t>Predict</w:t>
      </w:r>
    </w:p>
    <w:p w:rsidR="00745D43" w:rsidRPr="00745D43" w:rsidRDefault="00745D43" w:rsidP="00745D43">
      <w:pPr>
        <w:tabs>
          <w:tab w:val="left" w:pos="3402"/>
          <w:tab w:val="left" w:pos="6237"/>
        </w:tabs>
        <w:spacing w:line="278" w:lineRule="auto"/>
        <w:rPr>
          <w:lang w:val="en-US"/>
        </w:rPr>
      </w:pPr>
      <w:r w:rsidRPr="00745D43">
        <w:rPr>
          <w:lang w:val="en-US"/>
        </w:rPr>
        <w:t>Does the steel have more than twice the energy in its thermal store than the lead?</w:t>
      </w:r>
    </w:p>
    <w:p w:rsidR="00745D43" w:rsidRPr="00745D43" w:rsidRDefault="00745D43" w:rsidP="00745D43">
      <w:pPr>
        <w:tabs>
          <w:tab w:val="left" w:pos="5954"/>
        </w:tabs>
        <w:spacing w:after="120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142875</wp:posOffset>
            </wp:positionV>
            <wp:extent cx="1256558" cy="1344295"/>
            <wp:effectExtent l="0" t="0" r="127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015"/>
                    <a:stretch/>
                  </pic:blipFill>
                  <pic:spPr bwMode="auto">
                    <a:xfrm>
                      <a:off x="0" y="0"/>
                      <a:ext cx="1256558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45D43">
        <w:rPr>
          <w:lang w:val="en-US"/>
        </w:rPr>
        <w:t>What will you observe if it does?</w:t>
      </w:r>
    </w:p>
    <w:p w:rsidR="00745D43" w:rsidRDefault="00745D43" w:rsidP="00745D43">
      <w:pPr>
        <w:tabs>
          <w:tab w:val="right" w:leader="dot" w:pos="5954"/>
        </w:tabs>
        <w:spacing w:after="120"/>
      </w:pPr>
      <w:r>
        <w:tab/>
      </w:r>
    </w:p>
    <w:p w:rsidR="00745D43" w:rsidRDefault="00745D43" w:rsidP="00745D43">
      <w:pPr>
        <w:tabs>
          <w:tab w:val="right" w:leader="dot" w:pos="5954"/>
          <w:tab w:val="right" w:leader="dot" w:pos="8931"/>
        </w:tabs>
        <w:spacing w:after="120"/>
      </w:pPr>
      <w:r>
        <w:tab/>
      </w:r>
    </w:p>
    <w:p w:rsidR="00745D43" w:rsidRDefault="00745D43" w:rsidP="00745D43">
      <w:pPr>
        <w:tabs>
          <w:tab w:val="right" w:leader="dot" w:pos="5954"/>
          <w:tab w:val="right" w:leader="dot" w:pos="8931"/>
        </w:tabs>
        <w:spacing w:after="120"/>
      </w:pPr>
      <w:r>
        <w:tab/>
      </w:r>
    </w:p>
    <w:p w:rsidR="00745D43" w:rsidRDefault="00745D43" w:rsidP="00745D43">
      <w:pPr>
        <w:tabs>
          <w:tab w:val="right" w:leader="dot" w:pos="6946"/>
        </w:tabs>
        <w:spacing w:after="120"/>
        <w:rPr>
          <w:b/>
        </w:rPr>
      </w:pPr>
    </w:p>
    <w:p w:rsidR="00745D43" w:rsidRPr="00E172C6" w:rsidRDefault="00745D43" w:rsidP="00745D43">
      <w:pPr>
        <w:spacing w:after="120"/>
        <w:rPr>
          <w:b/>
        </w:rPr>
      </w:pPr>
      <w:r>
        <w:rPr>
          <w:b/>
        </w:rPr>
        <w:t>Explain</w:t>
      </w:r>
    </w:p>
    <w:p w:rsidR="00745D43" w:rsidRPr="00745D43" w:rsidRDefault="00745D43" w:rsidP="00745D43">
      <w:pPr>
        <w:tabs>
          <w:tab w:val="right" w:leader="dot" w:pos="8931"/>
        </w:tabs>
        <w:spacing w:after="120"/>
        <w:rPr>
          <w:lang w:eastAsia="en-GB"/>
        </w:rPr>
      </w:pPr>
      <w:r w:rsidRPr="00745D43">
        <w:rPr>
          <w:lang w:val="en-US" w:eastAsia="en-GB"/>
        </w:rPr>
        <w:t>What are the reasons for your prediction?</w:t>
      </w:r>
    </w:p>
    <w:p w:rsidR="00745D43" w:rsidRDefault="00745D43" w:rsidP="00745D43">
      <w:pPr>
        <w:tabs>
          <w:tab w:val="right" w:leader="dot" w:pos="8931"/>
        </w:tabs>
        <w:spacing w:after="120"/>
      </w:pPr>
      <w:r>
        <w:tab/>
      </w:r>
    </w:p>
    <w:p w:rsidR="00745D43" w:rsidRDefault="00745D43" w:rsidP="00745D43">
      <w:pPr>
        <w:tabs>
          <w:tab w:val="right" w:leader="dot" w:pos="8931"/>
        </w:tabs>
        <w:spacing w:after="120"/>
      </w:pPr>
      <w:r>
        <w:tab/>
      </w:r>
    </w:p>
    <w:p w:rsidR="00745D43" w:rsidRDefault="00745D43" w:rsidP="00745D43">
      <w:pPr>
        <w:tabs>
          <w:tab w:val="right" w:leader="dot" w:pos="8931"/>
        </w:tabs>
        <w:spacing w:after="120"/>
      </w:pPr>
      <w:r>
        <w:tab/>
      </w:r>
    </w:p>
    <w:p w:rsidR="00745D43" w:rsidRPr="008E662A" w:rsidRDefault="00745D43" w:rsidP="00745D43">
      <w:pPr>
        <w:tabs>
          <w:tab w:val="right" w:leader="dot" w:pos="7655"/>
        </w:tabs>
        <w:spacing w:after="120"/>
        <w:rPr>
          <w:sz w:val="4"/>
          <w:szCs w:val="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45"/>
      </w:tblGrid>
      <w:tr w:rsidR="00745D43" w:rsidRPr="00563C6F" w:rsidTr="00167A18">
        <w:trPr>
          <w:trHeight w:val="454"/>
          <w:jc w:val="center"/>
        </w:trPr>
        <w:tc>
          <w:tcPr>
            <w:tcW w:w="6345" w:type="dxa"/>
            <w:vAlign w:val="center"/>
          </w:tcPr>
          <w:p w:rsidR="00745D43" w:rsidRPr="00405E6F" w:rsidRDefault="00745D43" w:rsidP="00167A18">
            <w:pPr>
              <w:tabs>
                <w:tab w:val="right" w:leader="dot" w:pos="765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05E6F">
              <w:rPr>
                <w:b/>
                <w:bCs/>
                <w:sz w:val="24"/>
                <w:szCs w:val="24"/>
                <w:lang w:val="en-US"/>
              </w:rPr>
              <w:t>Now carry out the investigation</w:t>
            </w:r>
          </w:p>
        </w:tc>
      </w:tr>
    </w:tbl>
    <w:p w:rsidR="00745D43" w:rsidRDefault="00745D43" w:rsidP="00745D43">
      <w:pPr>
        <w:spacing w:after="120"/>
        <w:rPr>
          <w:b/>
          <w:sz w:val="4"/>
          <w:szCs w:val="4"/>
        </w:rPr>
      </w:pPr>
    </w:p>
    <w:p w:rsidR="00745D43" w:rsidRPr="00F45BBF" w:rsidRDefault="00745D43" w:rsidP="00745D43">
      <w:pPr>
        <w:spacing w:after="120"/>
        <w:rPr>
          <w:b/>
          <w:sz w:val="4"/>
          <w:szCs w:val="4"/>
        </w:rPr>
      </w:pPr>
    </w:p>
    <w:p w:rsidR="00745D43" w:rsidRPr="00E172C6" w:rsidRDefault="00745D43" w:rsidP="00745D43">
      <w:pPr>
        <w:spacing w:after="120"/>
        <w:rPr>
          <w:b/>
        </w:rPr>
      </w:pPr>
      <w:r>
        <w:rPr>
          <w:b/>
        </w:rPr>
        <w:t>Observe</w:t>
      </w:r>
    </w:p>
    <w:p w:rsidR="00745D43" w:rsidRPr="00745D43" w:rsidRDefault="00745D43" w:rsidP="00745D43">
      <w:pPr>
        <w:tabs>
          <w:tab w:val="right" w:leader="dot" w:pos="8931"/>
        </w:tabs>
        <w:spacing w:after="120"/>
        <w:rPr>
          <w:rFonts w:ascii="Calibri" w:eastAsia="Times New Roman" w:hAnsi="Calibri" w:cs="Times New Roman"/>
          <w:lang w:eastAsia="en-GB" w:bidi="en-US"/>
        </w:rPr>
      </w:pPr>
      <w:r w:rsidRPr="00745D43">
        <w:rPr>
          <w:rFonts w:ascii="Calibri" w:eastAsia="Times New Roman" w:hAnsi="Calibri" w:cs="Times New Roman"/>
          <w:lang w:val="en-US" w:eastAsia="en-GB" w:bidi="en-US"/>
        </w:rPr>
        <w:t>Measure how much the temperature of the water goes up for each metal.</w:t>
      </w:r>
    </w:p>
    <w:p w:rsidR="00745D43" w:rsidRDefault="00745D43" w:rsidP="00745D43">
      <w:pPr>
        <w:tabs>
          <w:tab w:val="right" w:leader="dot" w:pos="8931"/>
        </w:tabs>
        <w:spacing w:after="120"/>
      </w:pPr>
      <w:r>
        <w:tab/>
      </w:r>
    </w:p>
    <w:p w:rsidR="00745D43" w:rsidRDefault="00745D43" w:rsidP="00745D43">
      <w:pPr>
        <w:tabs>
          <w:tab w:val="right" w:leader="dot" w:pos="8931"/>
        </w:tabs>
        <w:spacing w:after="120"/>
      </w:pPr>
      <w:r>
        <w:tab/>
      </w:r>
    </w:p>
    <w:p w:rsidR="00745D43" w:rsidRDefault="00745D43" w:rsidP="00745D43">
      <w:pPr>
        <w:tabs>
          <w:tab w:val="right" w:leader="dot" w:pos="8931"/>
        </w:tabs>
        <w:spacing w:after="120"/>
      </w:pPr>
      <w:r>
        <w:tab/>
      </w:r>
    </w:p>
    <w:p w:rsidR="00745D43" w:rsidRDefault="00745D43" w:rsidP="00745D43">
      <w:pPr>
        <w:tabs>
          <w:tab w:val="right" w:leader="dot" w:pos="8931"/>
        </w:tabs>
        <w:spacing w:after="120"/>
      </w:pPr>
    </w:p>
    <w:p w:rsidR="00745D43" w:rsidRPr="00E172C6" w:rsidRDefault="00745D43" w:rsidP="00745D43">
      <w:pPr>
        <w:spacing w:after="120"/>
        <w:rPr>
          <w:b/>
        </w:rPr>
      </w:pPr>
      <w:r>
        <w:rPr>
          <w:b/>
        </w:rPr>
        <w:t>Explain</w:t>
      </w:r>
    </w:p>
    <w:p w:rsidR="00745D43" w:rsidRPr="00ED002F" w:rsidRDefault="00745D43" w:rsidP="00745D43">
      <w:pPr>
        <w:tabs>
          <w:tab w:val="right" w:leader="dot" w:pos="7655"/>
        </w:tabs>
        <w:spacing w:after="120"/>
      </w:pPr>
      <w:r w:rsidRPr="00ED002F">
        <w:t>Were your prediction and explanation correct?</w:t>
      </w:r>
    </w:p>
    <w:p w:rsidR="00745D43" w:rsidRPr="00ED002F" w:rsidRDefault="00745D43" w:rsidP="00745D43">
      <w:pPr>
        <w:tabs>
          <w:tab w:val="right" w:leader="dot" w:pos="7655"/>
        </w:tabs>
        <w:spacing w:after="120"/>
      </w:pPr>
      <w:r w:rsidRPr="00ED002F">
        <w:t>If not, can you explain what you observed?</w:t>
      </w:r>
    </w:p>
    <w:p w:rsidR="00745D43" w:rsidRDefault="00745D43" w:rsidP="00745D43">
      <w:pPr>
        <w:tabs>
          <w:tab w:val="right" w:leader="dot" w:pos="8931"/>
        </w:tabs>
        <w:spacing w:after="120"/>
      </w:pPr>
      <w:r>
        <w:tab/>
      </w:r>
    </w:p>
    <w:p w:rsidR="00745D43" w:rsidRDefault="00745D43" w:rsidP="00745D43">
      <w:pPr>
        <w:tabs>
          <w:tab w:val="right" w:leader="dot" w:pos="8931"/>
        </w:tabs>
        <w:spacing w:after="120"/>
      </w:pPr>
      <w:r>
        <w:tab/>
      </w:r>
    </w:p>
    <w:p w:rsidR="00745D43" w:rsidRPr="00405E6F" w:rsidRDefault="00745D43" w:rsidP="00745D43">
      <w:pPr>
        <w:tabs>
          <w:tab w:val="right" w:leader="dot" w:pos="8931"/>
        </w:tabs>
        <w:spacing w:after="120"/>
      </w:pPr>
      <w:r>
        <w:tab/>
      </w: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8C06E5" w:rsidRPr="006F3279" w:rsidRDefault="008C06E5" w:rsidP="008C06E5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PMA1: Heating and cooling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Pr="002E4EF7">
        <w:rPr>
          <w:i/>
          <w:sz w:val="18"/>
          <w:szCs w:val="18"/>
        </w:rPr>
        <w:t>PMA1.</w:t>
      </w:r>
      <w:r w:rsidR="00676D66">
        <w:rPr>
          <w:i/>
          <w:sz w:val="18"/>
          <w:szCs w:val="18"/>
        </w:rPr>
        <w:t>4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Thermal store of energy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8C06E5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Hot metal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8C06E5" w:rsidTr="003F16F9">
        <w:trPr>
          <w:trHeight w:val="340"/>
        </w:trPr>
        <w:tc>
          <w:tcPr>
            <w:tcW w:w="2196" w:type="dxa"/>
          </w:tcPr>
          <w:p w:rsidR="008C06E5" w:rsidRDefault="008C06E5" w:rsidP="008C06E5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8C06E5" w:rsidRDefault="00676D66" w:rsidP="008C06E5">
            <w:pPr>
              <w:spacing w:before="60" w:after="60"/>
            </w:pPr>
            <w:r>
              <w:t>Each different</w:t>
            </w:r>
            <w:r w:rsidR="008C06E5" w:rsidRPr="00EC10FD">
              <w:t xml:space="preserve"> material will have mor</w:t>
            </w:r>
            <w:r>
              <w:t>e energy in its thermal store</w:t>
            </w:r>
            <w:r w:rsidR="008C06E5" w:rsidRPr="00EC10FD">
              <w:t xml:space="preserve"> if either its temperature or mass is increased</w:t>
            </w:r>
          </w:p>
        </w:tc>
      </w:tr>
      <w:tr w:rsidR="008C06E5" w:rsidTr="003F16F9">
        <w:trPr>
          <w:trHeight w:val="340"/>
        </w:trPr>
        <w:tc>
          <w:tcPr>
            <w:tcW w:w="2196" w:type="dxa"/>
          </w:tcPr>
          <w:p w:rsidR="008C06E5" w:rsidRDefault="008C06E5" w:rsidP="008C06E5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8C06E5" w:rsidRPr="003174E3" w:rsidRDefault="008C06E5" w:rsidP="003174E3">
            <w:pPr>
              <w:spacing w:before="60" w:after="60"/>
              <w:rPr>
                <w:b/>
              </w:rPr>
            </w:pPr>
            <w:r w:rsidRPr="00C65EB8">
              <w:t>Describe how the specific heat capacity of a material affects the amount of energy in its thermal store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342102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3174E3" w:rsidP="00350FAB">
            <w:pPr>
              <w:spacing w:before="60" w:after="60"/>
            </w:pPr>
            <w:r>
              <w:t>P</w:t>
            </w:r>
            <w:r w:rsidR="00350FAB" w:rsidRPr="00350FAB">
              <w:t>redict, explain, observe, explain - practical/demonstration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8C06E5" w:rsidP="00676D66">
            <w:pPr>
              <w:spacing w:before="60" w:after="60"/>
            </w:pPr>
            <w:r w:rsidRPr="00C65EB8">
              <w:t>Thermal store</w:t>
            </w:r>
            <w:r w:rsidR="00676D66">
              <w:t xml:space="preserve"> of energy</w:t>
            </w:r>
            <w:r w:rsidRPr="00C65EB8">
              <w:t>, temperature, specific heat capacity</w:t>
            </w:r>
          </w:p>
        </w:tc>
      </w:tr>
    </w:tbl>
    <w:p w:rsidR="00E172C6" w:rsidRDefault="00E172C6" w:rsidP="00E172C6">
      <w:pPr>
        <w:spacing w:after="180"/>
      </w:pPr>
    </w:p>
    <w:p w:rsidR="00755E81" w:rsidRPr="008C06E5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 xml:space="preserve">This activity can help develop students’ understanding by addressing the sticking-points revealed by </w:t>
      </w:r>
      <w:r w:rsidRPr="008C06E5">
        <w:rPr>
          <w:rFonts w:cstheme="minorHAnsi"/>
          <w:color w:val="222222"/>
          <w:shd w:val="clear" w:color="auto" w:fill="FFFFFF"/>
        </w:rPr>
        <w:t xml:space="preserve">the following diagnostic </w:t>
      </w:r>
      <w:r w:rsidR="008C06E5" w:rsidRPr="008C06E5">
        <w:rPr>
          <w:rFonts w:cstheme="minorHAnsi"/>
          <w:color w:val="222222"/>
          <w:shd w:val="clear" w:color="auto" w:fill="FFFFFF"/>
        </w:rPr>
        <w:t>question:</w:t>
      </w:r>
    </w:p>
    <w:p w:rsidR="00B00348" w:rsidRPr="00A6111E" w:rsidRDefault="00B00348" w:rsidP="00B00348">
      <w:pPr>
        <w:pStyle w:val="ListParagraph"/>
        <w:numPr>
          <w:ilvl w:val="0"/>
          <w:numId w:val="1"/>
        </w:numPr>
        <w:spacing w:after="180"/>
      </w:pPr>
      <w:r w:rsidRPr="008C06E5">
        <w:t xml:space="preserve">Diagnostic </w:t>
      </w:r>
      <w:r w:rsidR="00E3348F" w:rsidRPr="008C06E5">
        <w:t>question</w:t>
      </w:r>
      <w:r w:rsidRPr="008C06E5">
        <w:t xml:space="preserve">: </w:t>
      </w:r>
      <w:r w:rsidR="008C06E5" w:rsidRPr="008C06E5">
        <w:t>Specific heat</w:t>
      </w:r>
      <w:r w:rsidR="008C06E5">
        <w:t xml:space="preserve"> capacity</w:t>
      </w:r>
      <w:bookmarkStart w:id="0" w:name="_GoBack"/>
      <w:bookmarkEnd w:id="0"/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7372BD" w:rsidRDefault="007372BD" w:rsidP="007372BD">
      <w:pPr>
        <w:spacing w:after="180"/>
      </w:pPr>
      <w:r>
        <w:t>Apart from mass and temperature, the other factor that affects the amount of energy in the thermal store of a material is the specific heat capacity of the material. It is common for students to experience specific heat capacity, c, for the first time as the constant in the equation E=mc</w:t>
      </w:r>
      <w:r>
        <w:sym w:font="Symbol" w:char="F044"/>
      </w:r>
      <w:r>
        <w:t xml:space="preserve">T (which they often learn in their later studies at age 14-16). Although they are often able to calculate values with this equation, students do not often understand what specific heat capacity tells us about a material. Using an investigative approach has been shown to help develop a clearer understanding of specific heat capacity. </w:t>
      </w:r>
      <w:r>
        <w:fldChar w:fldCharType="begin"/>
      </w:r>
      <w:r>
        <w:instrText xml:space="preserve"> ADDIN EN.CITE &lt;EndNote&gt;&lt;Cite&gt;&lt;Author&gt;Herrington&lt;/Author&gt;&lt;Year&gt;2011&lt;/Year&gt;&lt;IDText&gt;The heat is on: an inquiry-based investigation for specific heat&lt;/IDText&gt;&lt;DisplayText&gt;(Herrington, 2011)&lt;/DisplayText&gt;&lt;record&gt;&lt;titles&gt;&lt;title&gt;The heat is on: an inquiry-based investigation for specific heat&lt;/title&gt;&lt;secondary-title&gt;Journal of Chemical Education&lt;/secondary-title&gt;&lt;/titles&gt;&lt;pages&gt;1558-1561&lt;/pages&gt;&lt;contributors&gt;&lt;authors&gt;&lt;author&gt;Herrington, Deborah G&lt;/author&gt;&lt;/authors&gt;&lt;/contributors&gt;&lt;added-date format="utc"&gt;1544088838&lt;/added-date&gt;&lt;ref-type name="Journal Article"&gt;17&lt;/ref-type&gt;&lt;dates&gt;&lt;year&gt;2011&lt;/year&gt;&lt;/dates&gt;&lt;rec-number&gt;73&lt;/rec-number&gt;&lt;last-updated-date format="utc"&gt;1544088985&lt;/last-updated-date&gt;&lt;volume&gt;88(11)&lt;/volume&gt;&lt;/record&gt;&lt;/Cite&gt;&lt;/EndNote&gt;</w:instrText>
      </w:r>
      <w:r>
        <w:fldChar w:fldCharType="separate"/>
      </w:r>
      <w:r>
        <w:rPr>
          <w:noProof/>
        </w:rPr>
        <w:t>(Herrington, 2011)</w:t>
      </w:r>
      <w:r>
        <w:fldChar w:fldCharType="end"/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E3348F">
        <w:rPr>
          <w:b/>
          <w:color w:val="5F497A" w:themeColor="accent4" w:themeShade="BF"/>
          <w:sz w:val="24"/>
        </w:rPr>
        <w:t>activity</w:t>
      </w:r>
    </w:p>
    <w:p w:rsidR="007372BD" w:rsidRDefault="007372BD" w:rsidP="007372BD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491B00">
        <w:t xml:space="preserve"> </w:t>
      </w:r>
      <w:r>
        <w:t>It is through the discussions that students can check their understanding and rehearse their explanations.</w:t>
      </w:r>
    </w:p>
    <w:p w:rsidR="007372BD" w:rsidRDefault="007372BD" w:rsidP="007372BD">
      <w:pPr>
        <w:spacing w:after="180"/>
      </w:pPr>
      <w:r>
        <w:t xml:space="preserve">To begin, each group should discuss the activity and use their scientific understanding, firstly to predict </w:t>
      </w:r>
      <w:r w:rsidRPr="00E1670C">
        <w:rPr>
          <w:i/>
        </w:rPr>
        <w:t>what</w:t>
      </w:r>
      <w:r w:rsidRPr="00137023">
        <w:t xml:space="preserve"> </w:t>
      </w:r>
      <w:r>
        <w:t xml:space="preserve">they think will happen, and then to explain </w:t>
      </w:r>
      <w:r w:rsidRPr="00E1670C">
        <w:rPr>
          <w:i/>
        </w:rPr>
        <w:t>why</w:t>
      </w:r>
      <w:r>
        <w:t xml:space="preserve"> they think they are going to be right.</w:t>
      </w:r>
      <w:r w:rsidR="00491B00">
        <w:t xml:space="preserve"> </w:t>
      </w:r>
      <w:r>
        <w:t>If students in any group cannot agree, you may be able to direct them with some careful questioning.</w:t>
      </w:r>
      <w:r w:rsidR="00491B00">
        <w:t xml:space="preserve"> </w:t>
      </w:r>
    </w:p>
    <w:p w:rsidR="007372BD" w:rsidRDefault="007372BD" w:rsidP="007372BD">
      <w:pPr>
        <w:spacing w:after="180"/>
      </w:pPr>
      <w:r>
        <w:t>Students now carry out the practical, or watch a demonstration.</w:t>
      </w:r>
      <w:r w:rsidR="00491B00">
        <w:t xml:space="preserve"> </w:t>
      </w:r>
      <w:r>
        <w:t>Y</w:t>
      </w:r>
      <w:r w:rsidRPr="00F666A4">
        <w:t xml:space="preserve">ou will need to decide whether it is better </w:t>
      </w:r>
      <w:r>
        <w:t>for</w:t>
      </w:r>
      <w:r w:rsidRPr="00F666A4">
        <w:t xml:space="preserve"> each group to </w:t>
      </w:r>
      <w:r>
        <w:t xml:space="preserve">carry out the practical </w:t>
      </w:r>
      <w:r w:rsidRPr="00F666A4">
        <w:t xml:space="preserve">and risk some </w:t>
      </w:r>
      <w:r>
        <w:t>unexpected observations,</w:t>
      </w:r>
      <w:r w:rsidRPr="00F666A4">
        <w:t xml:space="preserve"> or to </w:t>
      </w:r>
      <w:r>
        <w:t>demonstrate</w:t>
      </w:r>
      <w:r w:rsidRPr="00F666A4">
        <w:t xml:space="preserve"> </w:t>
      </w:r>
      <w:r>
        <w:t xml:space="preserve">the activity </w:t>
      </w:r>
      <w:r w:rsidRPr="00F666A4">
        <w:t xml:space="preserve">so that everyone </w:t>
      </w:r>
      <w:r w:rsidRPr="00BA242F">
        <w:rPr>
          <w:i/>
        </w:rPr>
        <w:t>observes</w:t>
      </w:r>
      <w:r>
        <w:t xml:space="preserve"> the same thing.</w:t>
      </w:r>
    </w:p>
    <w:p w:rsidR="007372BD" w:rsidRDefault="007372BD" w:rsidP="007372BD">
      <w:pPr>
        <w:spacing w:after="180"/>
      </w:pPr>
      <w:r>
        <w:t>After the practical each group should be given the opportunity to change, or improve their explanation.</w:t>
      </w:r>
      <w:r w:rsidR="00491B00">
        <w:t xml:space="preserve"> </w:t>
      </w:r>
      <w:r>
        <w:t>A good way to review your students’ thinking might be through a structured class discussion.</w:t>
      </w:r>
      <w:r w:rsidR="00491B00">
        <w:t xml:space="preserve"> </w:t>
      </w:r>
      <w:r>
        <w:t xml:space="preserve">You could ask several groups for their </w:t>
      </w:r>
      <w:r>
        <w:rPr>
          <w:i/>
        </w:rPr>
        <w:t>expla</w:t>
      </w:r>
      <w:r w:rsidRPr="00BA242F">
        <w:rPr>
          <w:i/>
        </w:rPr>
        <w:t>n</w:t>
      </w:r>
      <w:r>
        <w:rPr>
          <w:i/>
        </w:rPr>
        <w:t>ations</w:t>
      </w:r>
      <w:r>
        <w:t xml:space="preserve"> and put these on the whiteboard.</w:t>
      </w:r>
      <w:r w:rsidR="00491B00">
        <w:t xml:space="preserve"> </w:t>
      </w:r>
      <w:r>
        <w:t>Then ask other groups to suggest which explanation is the most accurate and the most clearly expressed, and through careful questioning work up a clear ‘class explanation’.</w:t>
      </w:r>
      <w:r w:rsidR="00491B00">
        <w:t xml:space="preserve"> </w:t>
      </w:r>
    </w:p>
    <w:p w:rsidR="007372BD" w:rsidRDefault="007372BD" w:rsidP="007372BD">
      <w:pPr>
        <w:spacing w:after="180"/>
      </w:pPr>
      <w:r>
        <w:lastRenderedPageBreak/>
        <w:t>A useful follow up is for individual students to then write down explanations in their own words – without reference to the class explanation on the board (i.e. cover it up).</w:t>
      </w:r>
    </w:p>
    <w:p w:rsidR="007372BD" w:rsidRPr="00C86659" w:rsidRDefault="007372BD" w:rsidP="007372BD">
      <w:pPr>
        <w:spacing w:after="180"/>
        <w:rPr>
          <w:i/>
        </w:rPr>
      </w:pPr>
      <w:r w:rsidRPr="00C86659">
        <w:rPr>
          <w:i/>
        </w:rPr>
        <w:t>Differentiation</w:t>
      </w:r>
    </w:p>
    <w:p w:rsidR="007372BD" w:rsidRDefault="007372BD" w:rsidP="007372BD">
      <w:pPr>
        <w:spacing w:after="180"/>
      </w:pPr>
      <w:r>
        <w:t>The quality of the discussions can be improved with a careful selection of groups; or by allocating specific roles to students in the each group.</w:t>
      </w:r>
      <w:r w:rsidR="00491B00">
        <w:t xml:space="preserve"> </w:t>
      </w:r>
      <w:r>
        <w:t>For example, you may choose to select a student with strong prior knowledge as a scribe, and forbid them from contributing any of their own answers.</w:t>
      </w:r>
      <w:r w:rsidR="00491B00">
        <w:t xml:space="preserve"> </w:t>
      </w:r>
      <w:r>
        <w:t>They may question the others and only write down what they have been told.</w:t>
      </w:r>
      <w:r w:rsidR="00491B00">
        <w:t xml:space="preserve"> </w:t>
      </w:r>
      <w:r>
        <w:t xml:space="preserve">This strategy encourages contributions from more members of each group. </w:t>
      </w:r>
    </w:p>
    <w:p w:rsidR="001D0511" w:rsidRPr="00755E81" w:rsidRDefault="001D0511" w:rsidP="001D0511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C57FA2">
        <w:t>For each student/pair/group:</w:t>
      </w:r>
    </w:p>
    <w:p w:rsidR="00EC3492" w:rsidRDefault="00EC3492" w:rsidP="001D0511">
      <w:pPr>
        <w:pStyle w:val="ListParagraph"/>
        <w:numPr>
          <w:ilvl w:val="0"/>
          <w:numId w:val="1"/>
        </w:numPr>
        <w:spacing w:after="180"/>
        <w:sectPr w:rsidR="00EC3492" w:rsidSect="00642ECD">
          <w:head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D0511" w:rsidRDefault="00301C7E" w:rsidP="001D0511">
      <w:pPr>
        <w:pStyle w:val="ListParagraph"/>
        <w:numPr>
          <w:ilvl w:val="0"/>
          <w:numId w:val="1"/>
        </w:numPr>
        <w:spacing w:after="180"/>
      </w:pPr>
      <w:r>
        <w:t>l</w:t>
      </w:r>
      <w:r w:rsidR="007372BD">
        <w:t xml:space="preserve">ead block and a steel block </w:t>
      </w:r>
    </w:p>
    <w:p w:rsidR="00002E8D" w:rsidRDefault="00301C7E" w:rsidP="001D0511">
      <w:pPr>
        <w:pStyle w:val="ListParagraph"/>
        <w:numPr>
          <w:ilvl w:val="0"/>
          <w:numId w:val="1"/>
        </w:numPr>
        <w:spacing w:after="180"/>
      </w:pPr>
      <w:r>
        <w:t>l</w:t>
      </w:r>
      <w:r w:rsidR="00002E8D">
        <w:t>arge plastic beaker</w:t>
      </w:r>
    </w:p>
    <w:p w:rsidR="00002E8D" w:rsidRDefault="00301C7E" w:rsidP="001D0511">
      <w:pPr>
        <w:pStyle w:val="ListParagraph"/>
        <w:numPr>
          <w:ilvl w:val="0"/>
          <w:numId w:val="1"/>
        </w:numPr>
        <w:spacing w:after="180"/>
      </w:pPr>
      <w:r>
        <w:t>a</w:t>
      </w:r>
      <w:r w:rsidR="00002E8D">
        <w:t>ccess to hot water from a kettle</w:t>
      </w:r>
    </w:p>
    <w:p w:rsidR="00301C7E" w:rsidRDefault="00301C7E" w:rsidP="00301C7E">
      <w:pPr>
        <w:pStyle w:val="ListParagraph"/>
        <w:numPr>
          <w:ilvl w:val="0"/>
          <w:numId w:val="1"/>
        </w:numPr>
        <w:spacing w:after="180"/>
      </w:pPr>
      <w:r>
        <w:t>x2 plastic beaker 250 cm</w:t>
      </w:r>
      <w:r w:rsidRPr="00301C7E">
        <w:rPr>
          <w:vertAlign w:val="superscript"/>
        </w:rPr>
        <w:t>3</w:t>
      </w:r>
      <w:r>
        <w:t xml:space="preserve"> </w:t>
      </w:r>
    </w:p>
    <w:p w:rsidR="00301C7E" w:rsidRDefault="00301C7E" w:rsidP="00301C7E">
      <w:pPr>
        <w:pStyle w:val="ListParagraph"/>
        <w:numPr>
          <w:ilvl w:val="0"/>
          <w:numId w:val="1"/>
        </w:numPr>
        <w:spacing w:after="180"/>
      </w:pPr>
      <w:r>
        <w:t>x2 thermometer (0-100</w:t>
      </w:r>
      <w:r w:rsidRPr="00301C7E">
        <w:rPr>
          <w:vertAlign w:val="superscript"/>
        </w:rPr>
        <w:t>o</w:t>
      </w:r>
      <w:r>
        <w:t>C)</w:t>
      </w:r>
    </w:p>
    <w:p w:rsidR="00EC3492" w:rsidRDefault="00EC3492" w:rsidP="00B26756">
      <w:pPr>
        <w:spacing w:after="180"/>
        <w:rPr>
          <w:b/>
          <w:color w:val="5F497A" w:themeColor="accent4" w:themeShade="BF"/>
          <w:sz w:val="24"/>
        </w:rPr>
        <w:sectPr w:rsidR="00EC3492" w:rsidSect="00EC3492">
          <w:type w:val="continuous"/>
          <w:pgSz w:w="11906" w:h="16838" w:code="9"/>
          <w:pgMar w:top="1440" w:right="1440" w:bottom="1440" w:left="1440" w:header="709" w:footer="567" w:gutter="0"/>
          <w:cols w:num="2" w:space="708"/>
          <w:docGrid w:linePitch="360"/>
        </w:sectPr>
      </w:pPr>
    </w:p>
    <w:p w:rsidR="00B26756" w:rsidRPr="002454AC" w:rsidRDefault="00B26756" w:rsidP="00EC3492">
      <w:pPr>
        <w:spacing w:before="360" w:after="12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Technician notes</w:t>
      </w:r>
    </w:p>
    <w:p w:rsidR="00B26756" w:rsidRDefault="007372BD" w:rsidP="00B26756">
      <w:pPr>
        <w:spacing w:after="180"/>
      </w:pPr>
      <w:r>
        <w:t xml:space="preserve">The blocks need to be approximately the same size. </w:t>
      </w:r>
      <w:r w:rsidR="00184BDF">
        <w:t>The ones in a density block set have a volume of approximately 50cm</w:t>
      </w:r>
      <w:r w:rsidR="00184BDF" w:rsidRPr="00184BDF">
        <w:rPr>
          <w:vertAlign w:val="superscript"/>
        </w:rPr>
        <w:t>3</w:t>
      </w:r>
      <w:r w:rsidR="00184BDF">
        <w:rPr>
          <w:vertAlign w:val="superscript"/>
        </w:rPr>
        <w:t xml:space="preserve"> </w:t>
      </w:r>
      <w:r w:rsidR="00184BDF" w:rsidRPr="00184BDF">
        <w:t>and work well.</w:t>
      </w:r>
    </w:p>
    <w:p w:rsidR="007372BD" w:rsidRDefault="007372BD" w:rsidP="00B26756">
      <w:pPr>
        <w:spacing w:after="180"/>
      </w:pPr>
      <w:r>
        <w:t>The amount of cold water used in should be as small as necessary to cover the blocks. The smaller the volume, the larger the temperature changes.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Health and safety</w:t>
      </w:r>
    </w:p>
    <w:p w:rsidR="007372BD" w:rsidRDefault="007372BD" w:rsidP="007372BD">
      <w:pPr>
        <w:spacing w:after="180"/>
      </w:pPr>
      <w:r>
        <w:t>Plastic beakers</w:t>
      </w:r>
      <w:r w:rsidR="005F7C0B">
        <w:t xml:space="preserve"> will</w:t>
      </w:r>
      <w:r>
        <w:t xml:space="preserve"> prevent breakages if a metal block slips and falls into a beaker.</w:t>
      </w:r>
    </w:p>
    <w:p w:rsidR="00DD118D" w:rsidRDefault="00002E8D" w:rsidP="007372BD">
      <w:pPr>
        <w:spacing w:after="180"/>
      </w:pPr>
      <w:r>
        <w:t>The large beakers should be filled at students’ tables with a kettle. This reduces the risk of dropping beakers of hot water. Working close to a sink also reduces this risk when clearing away.</w:t>
      </w:r>
    </w:p>
    <w:p w:rsidR="002454AC" w:rsidRPr="002454AC" w:rsidRDefault="002454AC" w:rsidP="00B26756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DC6EAD" w:rsidRDefault="00DC6EAD" w:rsidP="00B00348">
      <w:pPr>
        <w:spacing w:after="180"/>
      </w:pPr>
      <w:r>
        <w:t>Using blocks of approximately 50 cm</w:t>
      </w:r>
      <w:r w:rsidRPr="00DC6EAD">
        <w:rPr>
          <w:vertAlign w:val="superscript"/>
        </w:rPr>
        <w:t>3</w:t>
      </w:r>
      <w:r>
        <w:t>, in 100 cm</w:t>
      </w:r>
      <w:r w:rsidRPr="00DC6EAD">
        <w:rPr>
          <w:vertAlign w:val="superscript"/>
        </w:rPr>
        <w:t>3</w:t>
      </w:r>
      <w:r>
        <w:t xml:space="preserve"> of water:</w:t>
      </w:r>
      <w:r w:rsidR="002242BA">
        <w:t xml:space="preserve"> l</w:t>
      </w:r>
      <w:r>
        <w:t xml:space="preserve">ead increases the temperature </w:t>
      </w:r>
      <w:r w:rsidR="00FC0AEA">
        <w:t xml:space="preserve">of the water </w:t>
      </w:r>
      <w:r>
        <w:t>by about 10</w:t>
      </w:r>
      <w:r w:rsidRPr="00DC6EAD">
        <w:rPr>
          <w:vertAlign w:val="superscript"/>
        </w:rPr>
        <w:t>o</w:t>
      </w:r>
      <w:r>
        <w:t xml:space="preserve">C and steel </w:t>
      </w:r>
      <w:r w:rsidR="00DD118D">
        <w:t xml:space="preserve">increases </w:t>
      </w:r>
      <w:r w:rsidR="00FC0AEA">
        <w:t xml:space="preserve">it </w:t>
      </w:r>
      <w:r>
        <w:t>by more than twice th</w:t>
      </w:r>
      <w:r w:rsidR="00DD118D">
        <w:t>e amount that lead does</w:t>
      </w:r>
      <w:r>
        <w:t xml:space="preserve">. </w:t>
      </w:r>
    </w:p>
    <w:p w:rsidR="007C7151" w:rsidRPr="007421C8" w:rsidRDefault="007C7151" w:rsidP="00B00348">
      <w:pPr>
        <w:spacing w:after="180"/>
      </w:pPr>
      <w:r>
        <w:t xml:space="preserve">This shows </w:t>
      </w:r>
      <w:r w:rsidR="00EC3492">
        <w:t>that steel, at the same temperature as lead, contains more energy in its thermal store</w:t>
      </w:r>
      <w:r>
        <w:t>. Both metals are heating the same volume of water and so the increase in temperature is proportional to the energy transferred to the water.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C7151">
        <w:t xml:space="preserve">Peter Fairhurst </w:t>
      </w:r>
      <w:r w:rsidR="0015356E">
        <w:t>(</w:t>
      </w:r>
      <w:r w:rsidR="0015356E" w:rsidRPr="001C686C">
        <w:t xml:space="preserve">UYSEG), </w:t>
      </w:r>
      <w:r w:rsidRPr="001C686C">
        <w:t xml:space="preserve">from an idea </w:t>
      </w:r>
      <w:r w:rsidR="001C686C" w:rsidRPr="001C686C">
        <w:t>by Herrington</w:t>
      </w:r>
      <w:r w:rsidR="001C686C">
        <w:t xml:space="preserve"> </w:t>
      </w:r>
      <w:r w:rsidR="001C686C">
        <w:fldChar w:fldCharType="begin"/>
      </w:r>
      <w:r w:rsidR="001C686C">
        <w:instrText xml:space="preserve"> ADDIN EN.CITE &lt;EndNote&gt;&lt;Cite ExcludeAuth="1"&gt;&lt;Author&gt;Herrington&lt;/Author&gt;&lt;Year&gt;2011&lt;/Year&gt;&lt;IDText&gt;The heat is on: an inquiry-based investigation for specific heat&lt;/IDText&gt;&lt;DisplayText&gt;(2011)&lt;/DisplayText&gt;&lt;record&gt;&lt;titles&gt;&lt;title&gt;The heat is on: an inquiry-based investigation for specific heat&lt;/title&gt;&lt;secondary-title&gt;Journal of Chemical Education&lt;/secondary-title&gt;&lt;/titles&gt;&lt;pages&gt;1558-1561&lt;/pages&gt;&lt;contributors&gt;&lt;authors&gt;&lt;author&gt;Herrington, Deborah G&lt;/author&gt;&lt;/authors&gt;&lt;/contributors&gt;&lt;added-date format="utc"&gt;1544088838&lt;/added-date&gt;&lt;ref-type name="Journal Article"&gt;17&lt;/ref-type&gt;&lt;dates&gt;&lt;year&gt;2011&lt;/year&gt;&lt;/dates&gt;&lt;rec-number&gt;73&lt;/rec-number&gt;&lt;last-updated-date format="utc"&gt;1544088985&lt;/last-updated-date&gt;&lt;volume&gt;88(11)&lt;/volume&gt;&lt;/record&gt;&lt;/Cite&gt;&lt;/EndNote&gt;</w:instrText>
      </w:r>
      <w:r w:rsidR="001C686C">
        <w:fldChar w:fldCharType="separate"/>
      </w:r>
      <w:r w:rsidR="001C686C">
        <w:rPr>
          <w:noProof/>
        </w:rPr>
        <w:t>(2011)</w:t>
      </w:r>
      <w:r w:rsidR="001C686C">
        <w:fldChar w:fldCharType="end"/>
      </w:r>
      <w:r w:rsidR="001C686C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1C686C">
        <w:t>Peter Fairhurst (UYSEG).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B37A2E" w:rsidRPr="00B37A2E" w:rsidRDefault="007372BD" w:rsidP="001C686C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1C686C" w:rsidRPr="001C686C">
        <w:t xml:space="preserve">Herrington, D. G. (2011). The heat is on: an inquiry-based investigation for specific heat. </w:t>
      </w:r>
      <w:r w:rsidR="001C686C" w:rsidRPr="001C686C">
        <w:rPr>
          <w:i/>
        </w:rPr>
        <w:t>Journal of Chemical Education,</w:t>
      </w:r>
      <w:r w:rsidR="001C686C" w:rsidRPr="001C686C">
        <w:t xml:space="preserve"> 88(11)</w:t>
      </w:r>
      <w:r w:rsidR="001C686C" w:rsidRPr="001C686C">
        <w:rPr>
          <w:b/>
        </w:rPr>
        <w:t>,</w:t>
      </w:r>
      <w:r w:rsidR="001C686C" w:rsidRPr="001C686C">
        <w:t xml:space="preserve"> 1558-1561.</w:t>
      </w:r>
      <w:r>
        <w:fldChar w:fldCharType="end"/>
      </w:r>
    </w:p>
    <w:sectPr w:rsidR="00B37A2E" w:rsidRPr="00B37A2E" w:rsidSect="00EC3492">
      <w:type w:val="continuous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318" w:rsidRDefault="00A52318" w:rsidP="000B473B">
      <w:r>
        <w:separator/>
      </w:r>
    </w:p>
  </w:endnote>
  <w:endnote w:type="continuationSeparator" w:id="0">
    <w:p w:rsidR="00A52318" w:rsidRDefault="00A5231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79DD0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174E3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B37A2E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  <w:r w:rsidR="00202AEC">
      <w:rPr>
        <w:sz w:val="16"/>
        <w:szCs w:val="16"/>
      </w:rPr>
      <w:t>. Distributed under a Creative Commons Attribution-NonCommercial (CC BY-NC) license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318" w:rsidRDefault="00A52318" w:rsidP="000B473B">
      <w:r>
        <w:separator/>
      </w:r>
    </w:p>
  </w:footnote>
  <w:footnote w:type="continuationSeparator" w:id="0">
    <w:p w:rsidR="00A52318" w:rsidRDefault="00A5231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32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7C399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91E46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90B1A"/>
    <w:multiLevelType w:val="hybridMultilevel"/>
    <w:tmpl w:val="062C0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52318"/>
    <w:rsid w:val="00002E8D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84BDF"/>
    <w:rsid w:val="001915D4"/>
    <w:rsid w:val="00194675"/>
    <w:rsid w:val="001A1FED"/>
    <w:rsid w:val="001A40E2"/>
    <w:rsid w:val="001C4805"/>
    <w:rsid w:val="001C686C"/>
    <w:rsid w:val="001D0511"/>
    <w:rsid w:val="00201AC2"/>
    <w:rsid w:val="00202AEC"/>
    <w:rsid w:val="00214608"/>
    <w:rsid w:val="002178AC"/>
    <w:rsid w:val="002242BA"/>
    <w:rsid w:val="0022547C"/>
    <w:rsid w:val="002454AC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01C7E"/>
    <w:rsid w:val="003117F6"/>
    <w:rsid w:val="003174E3"/>
    <w:rsid w:val="00342102"/>
    <w:rsid w:val="00350FAB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91B00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5F7C0B"/>
    <w:rsid w:val="006355D8"/>
    <w:rsid w:val="00642ECD"/>
    <w:rsid w:val="006502A0"/>
    <w:rsid w:val="00676D66"/>
    <w:rsid w:val="006772F5"/>
    <w:rsid w:val="006A4440"/>
    <w:rsid w:val="006B0615"/>
    <w:rsid w:val="006D166B"/>
    <w:rsid w:val="006F3279"/>
    <w:rsid w:val="00704AEE"/>
    <w:rsid w:val="00722F9A"/>
    <w:rsid w:val="007372BD"/>
    <w:rsid w:val="007421C8"/>
    <w:rsid w:val="00745D43"/>
    <w:rsid w:val="00754539"/>
    <w:rsid w:val="00755E81"/>
    <w:rsid w:val="00781BC6"/>
    <w:rsid w:val="007A3C86"/>
    <w:rsid w:val="007A683E"/>
    <w:rsid w:val="007A748B"/>
    <w:rsid w:val="007C7151"/>
    <w:rsid w:val="007C73B8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06E5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52318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37A2E"/>
    <w:rsid w:val="00B46FF9"/>
    <w:rsid w:val="00B75483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C6EAD"/>
    <w:rsid w:val="00DD118D"/>
    <w:rsid w:val="00DD1874"/>
    <w:rsid w:val="00DD63BD"/>
    <w:rsid w:val="00DF14E9"/>
    <w:rsid w:val="00E0092B"/>
    <w:rsid w:val="00E172C6"/>
    <w:rsid w:val="00E24309"/>
    <w:rsid w:val="00E3348F"/>
    <w:rsid w:val="00E53D82"/>
    <w:rsid w:val="00E9330A"/>
    <w:rsid w:val="00EC3492"/>
    <w:rsid w:val="00EE6B97"/>
    <w:rsid w:val="00F12C3B"/>
    <w:rsid w:val="00F26884"/>
    <w:rsid w:val="00F72ECC"/>
    <w:rsid w:val="00F8355F"/>
    <w:rsid w:val="00FA3196"/>
    <w:rsid w:val="00FC0AEA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BDB478"/>
  <w15:docId w15:val="{D4A123D3-EDC3-456A-BE25-62069C41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372B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372B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372B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372B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response_practica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template_physics_item_response_practicaI.dotx</Template>
  <TotalTime>53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20</cp:revision>
  <cp:lastPrinted>2017-02-24T16:20:00Z</cp:lastPrinted>
  <dcterms:created xsi:type="dcterms:W3CDTF">2018-12-12T12:15:00Z</dcterms:created>
  <dcterms:modified xsi:type="dcterms:W3CDTF">2019-03-12T15:13:00Z</dcterms:modified>
</cp:coreProperties>
</file>