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8694A" w:rsidP="00201AC2">
      <w:pPr>
        <w:spacing w:after="180"/>
        <w:rPr>
          <w:b/>
          <w:sz w:val="44"/>
          <w:szCs w:val="44"/>
        </w:rPr>
      </w:pPr>
      <w:r w:rsidRPr="0008694A">
        <w:rPr>
          <w:b/>
          <w:sz w:val="44"/>
          <w:szCs w:val="44"/>
        </w:rPr>
        <w:t>Improving physical health</w:t>
      </w:r>
    </w:p>
    <w:p w:rsidR="00201AC2" w:rsidRDefault="00201AC2" w:rsidP="00201AC2">
      <w:pPr>
        <w:spacing w:after="180"/>
      </w:pPr>
    </w:p>
    <w:p w:rsidR="008773B0" w:rsidRDefault="00042767" w:rsidP="00042767">
      <w:pPr>
        <w:spacing w:after="180"/>
        <w:jc w:val="center"/>
      </w:pPr>
      <w:r>
        <w:rPr>
          <w:noProof/>
          <w:lang w:eastAsia="en-GB"/>
        </w:rPr>
        <w:drawing>
          <wp:inline distT="0" distB="0" distL="0" distR="0">
            <wp:extent cx="2647950" cy="2014273"/>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_page_cur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55869" cy="2020297"/>
                    </a:xfrm>
                    <a:prstGeom prst="rect">
                      <a:avLst/>
                    </a:prstGeom>
                  </pic:spPr>
                </pic:pic>
              </a:graphicData>
            </a:graphic>
          </wp:inline>
        </w:drawing>
      </w:r>
    </w:p>
    <w:p w:rsidR="008773B0" w:rsidRDefault="008773B0" w:rsidP="00201AC2">
      <w:pPr>
        <w:spacing w:after="180"/>
      </w:pPr>
    </w:p>
    <w:p w:rsidR="00946EFE" w:rsidRDefault="008773B0" w:rsidP="00201AC2">
      <w:pPr>
        <w:spacing w:after="180"/>
      </w:pPr>
      <w:r>
        <w:t xml:space="preserve">Your teacher has given you some </w:t>
      </w:r>
      <w:r w:rsidR="00CF61DD">
        <w:t>pictures</w:t>
      </w:r>
      <w:r w:rsidR="00946EFE">
        <w:t>.</w:t>
      </w:r>
    </w:p>
    <w:p w:rsidR="00201AC2" w:rsidRDefault="00946EFE" w:rsidP="00201AC2">
      <w:pPr>
        <w:spacing w:after="180"/>
      </w:pPr>
      <w:r>
        <w:t>They show</w:t>
      </w:r>
      <w:r w:rsidR="00CF61DD">
        <w:t xml:space="preserve"> people doing things that are healthy and unhealthy for their body.</w:t>
      </w:r>
    </w:p>
    <w:p w:rsidR="00B23B31" w:rsidRDefault="00B23B31" w:rsidP="00201AC2">
      <w:pPr>
        <w:spacing w:after="180"/>
      </w:pPr>
    </w:p>
    <w:p w:rsidR="00201AC2" w:rsidRPr="00E172C6" w:rsidRDefault="00CF61DD" w:rsidP="00201AC2">
      <w:pPr>
        <w:spacing w:after="180"/>
        <w:rPr>
          <w:b/>
        </w:rPr>
      </w:pPr>
      <w:r>
        <w:rPr>
          <w:b/>
        </w:rPr>
        <w:t>To talk about in your group</w:t>
      </w:r>
    </w:p>
    <w:p w:rsidR="00201AC2" w:rsidRDefault="00CF61DD" w:rsidP="00201AC2">
      <w:pPr>
        <w:pStyle w:val="ListParagraph"/>
        <w:numPr>
          <w:ilvl w:val="0"/>
          <w:numId w:val="2"/>
        </w:numPr>
        <w:spacing w:after="180"/>
        <w:ind w:left="567" w:hanging="567"/>
        <w:contextualSpacing w:val="0"/>
      </w:pPr>
      <w:r w:rsidRPr="00CF61DD">
        <w:t>Do you agree</w:t>
      </w:r>
      <w:r>
        <w:t xml:space="preserve"> with each picture </w:t>
      </w:r>
      <w:r w:rsidR="008773B0">
        <w:t>of</w:t>
      </w:r>
      <w:r>
        <w:t xml:space="preserve"> a healthy activity?</w:t>
      </w:r>
    </w:p>
    <w:p w:rsidR="00CF61DD" w:rsidRDefault="00CF61DD" w:rsidP="00201AC2">
      <w:pPr>
        <w:pStyle w:val="ListParagraph"/>
        <w:numPr>
          <w:ilvl w:val="0"/>
          <w:numId w:val="2"/>
        </w:numPr>
        <w:spacing w:after="180"/>
        <w:ind w:left="567" w:hanging="567"/>
        <w:contextualSpacing w:val="0"/>
      </w:pPr>
      <w:r w:rsidRPr="00CF61DD">
        <w:t>Do you agree</w:t>
      </w:r>
      <w:r>
        <w:t xml:space="preserve"> with each picture </w:t>
      </w:r>
      <w:r w:rsidR="008773B0">
        <w:t>of</w:t>
      </w:r>
      <w:r>
        <w:t xml:space="preserve"> an unhealthy activity?</w:t>
      </w:r>
    </w:p>
    <w:p w:rsidR="00CF61DD" w:rsidRDefault="00CF61DD" w:rsidP="00201AC2">
      <w:pPr>
        <w:pStyle w:val="ListParagraph"/>
        <w:numPr>
          <w:ilvl w:val="0"/>
          <w:numId w:val="2"/>
        </w:numPr>
        <w:spacing w:after="180"/>
        <w:ind w:left="567" w:hanging="567"/>
        <w:contextualSpacing w:val="0"/>
      </w:pPr>
      <w:r>
        <w:t>Can you think of any more healthy activities?</w:t>
      </w:r>
    </w:p>
    <w:p w:rsidR="00CF61DD" w:rsidRPr="00CF61DD" w:rsidRDefault="00CF61DD" w:rsidP="00CF61DD">
      <w:pPr>
        <w:pStyle w:val="ListParagraph"/>
        <w:numPr>
          <w:ilvl w:val="0"/>
          <w:numId w:val="2"/>
        </w:numPr>
        <w:spacing w:after="180"/>
        <w:ind w:left="567" w:hanging="567"/>
        <w:contextualSpacing w:val="0"/>
      </w:pPr>
      <w:r>
        <w:t>Can you think of any more unhealthy activities?</w:t>
      </w:r>
    </w:p>
    <w:p w:rsidR="002F41B2" w:rsidRDefault="002F41B2" w:rsidP="002F41B2">
      <w:pPr>
        <w:spacing w:after="180"/>
      </w:pPr>
    </w:p>
    <w:p w:rsidR="00201AC2" w:rsidRPr="003117F6" w:rsidRDefault="00201AC2" w:rsidP="00201AC2">
      <w:pPr>
        <w:spacing w:after="180"/>
        <w:rPr>
          <w:b/>
        </w:rPr>
      </w:pPr>
      <w:r>
        <w:rPr>
          <w:b/>
        </w:rPr>
        <w:t xml:space="preserve">To </w:t>
      </w:r>
      <w:r w:rsidR="00042767">
        <w:rPr>
          <w:b/>
        </w:rPr>
        <w:t>work on in your group</w:t>
      </w:r>
    </w:p>
    <w:p w:rsidR="00201AC2" w:rsidRDefault="003B3DAB" w:rsidP="006F3279">
      <w:pPr>
        <w:spacing w:after="240"/>
        <w:rPr>
          <w:szCs w:val="18"/>
        </w:rPr>
      </w:pPr>
      <w:r>
        <w:rPr>
          <w:szCs w:val="18"/>
        </w:rPr>
        <w:t>Write a short story called “Sam’s healthy day”.</w:t>
      </w:r>
    </w:p>
    <w:p w:rsidR="003B3DAB" w:rsidRDefault="0049556E" w:rsidP="006F3279">
      <w:pPr>
        <w:spacing w:after="240"/>
        <w:rPr>
          <w:szCs w:val="18"/>
        </w:rPr>
      </w:pPr>
      <w:r>
        <w:rPr>
          <w:szCs w:val="18"/>
        </w:rPr>
        <w:t>Include in your stor</w:t>
      </w:r>
      <w:r w:rsidR="00463549">
        <w:rPr>
          <w:szCs w:val="18"/>
        </w:rPr>
        <w:t>y</w:t>
      </w:r>
      <w:r>
        <w:rPr>
          <w:szCs w:val="18"/>
        </w:rPr>
        <w:t>:</w:t>
      </w:r>
    </w:p>
    <w:p w:rsidR="0049556E" w:rsidRDefault="0049556E" w:rsidP="0049556E">
      <w:pPr>
        <w:pStyle w:val="ListParagraph"/>
        <w:numPr>
          <w:ilvl w:val="0"/>
          <w:numId w:val="4"/>
        </w:numPr>
        <w:spacing w:after="180"/>
        <w:ind w:left="714" w:hanging="357"/>
        <w:contextualSpacing w:val="0"/>
        <w:rPr>
          <w:szCs w:val="18"/>
        </w:rPr>
      </w:pPr>
      <w:r>
        <w:rPr>
          <w:szCs w:val="18"/>
        </w:rPr>
        <w:t>things Sam does that are good for physical health</w:t>
      </w:r>
    </w:p>
    <w:p w:rsidR="0049556E" w:rsidRPr="0049556E" w:rsidRDefault="0049556E" w:rsidP="0049556E">
      <w:pPr>
        <w:pStyle w:val="ListParagraph"/>
        <w:numPr>
          <w:ilvl w:val="0"/>
          <w:numId w:val="4"/>
        </w:numPr>
        <w:spacing w:after="240"/>
        <w:rPr>
          <w:szCs w:val="18"/>
        </w:rPr>
      </w:pPr>
      <w:proofErr w:type="gramStart"/>
      <w:r>
        <w:rPr>
          <w:szCs w:val="18"/>
        </w:rPr>
        <w:t>things</w:t>
      </w:r>
      <w:proofErr w:type="gramEnd"/>
      <w:r>
        <w:rPr>
          <w:szCs w:val="18"/>
        </w:rPr>
        <w:t xml:space="preserve"> Sam avoids doing because they are bad for physical health.</w:t>
      </w:r>
    </w:p>
    <w:p w:rsidR="00042767" w:rsidRPr="00201AC2" w:rsidRDefault="00042767"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FB0C5D"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08694A" w:rsidP="006F3279">
            <w:pPr>
              <w:spacing w:after="60"/>
              <w:ind w:left="1304"/>
              <w:rPr>
                <w:b/>
                <w:sz w:val="40"/>
                <w:szCs w:val="40"/>
              </w:rPr>
            </w:pPr>
            <w:r w:rsidRPr="0008694A">
              <w:rPr>
                <w:b/>
                <w:sz w:val="40"/>
                <w:szCs w:val="40"/>
              </w:rPr>
              <w:t>Improving physical health</w:t>
            </w:r>
          </w:p>
        </w:tc>
      </w:tr>
    </w:tbl>
    <w:p w:rsidR="006F3279" w:rsidRDefault="006F3279" w:rsidP="00857089">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E2338" w:rsidTr="003F16F9">
        <w:trPr>
          <w:trHeight w:val="340"/>
        </w:trPr>
        <w:tc>
          <w:tcPr>
            <w:tcW w:w="2196" w:type="dxa"/>
          </w:tcPr>
          <w:p w:rsidR="00EE2338" w:rsidRDefault="00EE2338" w:rsidP="00EE2338">
            <w:pPr>
              <w:spacing w:before="60" w:after="60"/>
            </w:pPr>
            <w:r>
              <w:t>Learning focus:</w:t>
            </w:r>
          </w:p>
        </w:tc>
        <w:tc>
          <w:tcPr>
            <w:tcW w:w="6820" w:type="dxa"/>
          </w:tcPr>
          <w:p w:rsidR="00EE2338" w:rsidRDefault="00EE2338" w:rsidP="00EE2338">
            <w:pPr>
              <w:spacing w:before="60" w:after="60"/>
            </w:pPr>
            <w:r w:rsidRPr="00EC79B3">
              <w:t>The physical health and the mental health of an organism can range from good to ill, and are affected by numerous factors.</w:t>
            </w:r>
          </w:p>
        </w:tc>
      </w:tr>
      <w:tr w:rsidR="00EE2338" w:rsidTr="003F16F9">
        <w:trPr>
          <w:trHeight w:val="340"/>
        </w:trPr>
        <w:tc>
          <w:tcPr>
            <w:tcW w:w="2196" w:type="dxa"/>
          </w:tcPr>
          <w:p w:rsidR="00EE2338" w:rsidRDefault="00EE2338" w:rsidP="00EE2338">
            <w:pPr>
              <w:spacing w:before="60" w:after="60"/>
            </w:pPr>
            <w:r>
              <w:t>Observable learning outcome:</w:t>
            </w:r>
          </w:p>
        </w:tc>
        <w:tc>
          <w:tcPr>
            <w:tcW w:w="6820" w:type="dxa"/>
          </w:tcPr>
          <w:p w:rsidR="00EE2338" w:rsidRPr="00A50C9C" w:rsidRDefault="00EE2338" w:rsidP="00EE2338">
            <w:pPr>
              <w:spacing w:before="60" w:after="60"/>
              <w:rPr>
                <w:b/>
              </w:rPr>
            </w:pPr>
            <w:r w:rsidRPr="00EC79B3">
              <w:t>Identify factors associated with good and ill physical health in humans, other animals, and plants.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E2338"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E2338" w:rsidP="000505CA">
            <w:pPr>
              <w:spacing w:before="60" w:after="60"/>
            </w:pPr>
            <w:r w:rsidRPr="00EE2338">
              <w:t>Health, disease</w:t>
            </w:r>
          </w:p>
        </w:tc>
      </w:tr>
    </w:tbl>
    <w:p w:rsidR="00E172C6" w:rsidRDefault="00E172C6" w:rsidP="00857089"/>
    <w:p w:rsidR="004032EA" w:rsidRPr="00EE2338" w:rsidRDefault="00725106" w:rsidP="00EE2338">
      <w:pPr>
        <w:spacing w:after="180"/>
      </w:pPr>
      <w:r w:rsidRPr="00EE2338">
        <w:t xml:space="preserve">This activity can help </w:t>
      </w:r>
      <w:r w:rsidR="00EE2338" w:rsidRPr="00EE2338">
        <w:t xml:space="preserve">to give students the opportunity to explore their thinking about </w:t>
      </w:r>
      <w:r w:rsidR="00054422">
        <w:t xml:space="preserve">physical </w:t>
      </w:r>
      <w:bookmarkStart w:id="0" w:name="_GoBack"/>
      <w:bookmarkEnd w:id="0"/>
      <w:r w:rsidR="00EE2338" w:rsidRPr="00EE2338">
        <w:t>health and encourage</w:t>
      </w:r>
      <w:r w:rsidR="00955EE1">
        <w:t>s</w:t>
      </w:r>
      <w:r w:rsidR="00EE2338" w:rsidRPr="00EE2338">
        <w:t xml:space="preserve"> social construction of new ideas (meaning making) through dialogue. It is intended to be used in response to</w:t>
      </w:r>
      <w:r w:rsidR="004032EA" w:rsidRPr="00EE2338">
        <w:t xml:space="preserve"> the following diagnostic </w:t>
      </w:r>
      <w:r w:rsidR="005908A7" w:rsidRPr="00EE2338">
        <w:t>question</w:t>
      </w:r>
      <w:r w:rsidR="004032EA" w:rsidRPr="00EE2338">
        <w:t>:</w:t>
      </w:r>
    </w:p>
    <w:p w:rsidR="0009089A" w:rsidRPr="00EE2338" w:rsidRDefault="004032EA" w:rsidP="000505CA">
      <w:pPr>
        <w:pStyle w:val="ListParagraph"/>
        <w:numPr>
          <w:ilvl w:val="0"/>
          <w:numId w:val="1"/>
        </w:numPr>
        <w:spacing w:after="180"/>
      </w:pPr>
      <w:r w:rsidRPr="00EE2338">
        <w:t>Diagnostic</w:t>
      </w:r>
      <w:r w:rsidR="00E610E5" w:rsidRPr="00EE2338">
        <w:t xml:space="preserve"> question</w:t>
      </w:r>
      <w:r w:rsidR="00EE2338" w:rsidRPr="00EE2338">
        <w:t>: Healthy body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7B0944" w:rsidRDefault="007B0944" w:rsidP="007B0944">
      <w:pPr>
        <w:spacing w:after="120"/>
      </w:pPr>
      <w:r>
        <w:t xml:space="preserve">Research suggests that children up to age 11 primarily equate healthiness with eating a healthy diet and being physically active </w:t>
      </w:r>
      <w:r>
        <w:fldChar w:fldCharType="begin"/>
      </w:r>
      <w:r>
        <w:instrText xml:space="preserve"> ADDIN EN.CITE &lt;EndNote&gt;&lt;Cite&gt;&lt;Author&gt;Hesketh&lt;/Author&gt;&lt;Year&gt;2005&lt;/Year&gt;&lt;IDText&gt;Healthy eating, activity and obesity prevention: a qualitative study of parent and child perceptions in Australia&lt;/IDText&gt;&lt;DisplayText&gt;(Hesketh et al., 2005; Protudjer et al., 2010)&lt;/DisplayText&gt;&lt;record&gt;&lt;titles&gt;&lt;title&gt;Healthy eating, activity and obesity prevention: a qualitative study of parent and child perceptions in Australia&lt;/title&gt;&lt;secondary-title&gt;Health Promotion International&lt;/secondary-title&gt;&lt;/titles&gt;&lt;pages&gt;19-26&lt;/pages&gt;&lt;number&gt;1&lt;/number&gt;&lt;contributors&gt;&lt;authors&gt;&lt;author&gt;Hesketh, K.&lt;/author&gt;&lt;author&gt;Waters, E.&lt;/author&gt;&lt;author&gt;Green, J.&lt;/author&gt;&lt;author&gt;Salmon, L.&lt;/author&gt;&lt;author&gt;Williams, J.&lt;/author&gt;&lt;/authors&gt;&lt;/contributors&gt;&lt;added-date format="utc"&gt;1549724911&lt;/added-date&gt;&lt;ref-type name="Journal Article"&gt;17&lt;/ref-type&gt;&lt;dates&gt;&lt;year&gt;2005&lt;/year&gt;&lt;/dates&gt;&lt;rec-number&gt;8583&lt;/rec-number&gt;&lt;last-updated-date format="utc"&gt;1549724989&lt;/last-updated-date&gt;&lt;volume&gt;20&lt;/volume&gt;&lt;/record&gt;&lt;/Cite&gt;&lt;Cite&gt;&lt;Author&gt;Protudjer&lt;/Author&gt;&lt;Year&gt;2010&lt;/Year&gt;&lt;IDText&gt;Children’s perceptions of healthful eating and physical activity&lt;/IDText&gt;&lt;record&gt;&lt;titles&gt;&lt;title&gt;Children’s perceptions of healthful eating and physical activity&lt;/title&gt;&lt;secondary-title&gt;Canadian Journal of Dietetic Practice and Research&lt;/secondary-title&gt;&lt;/titles&gt;&lt;pages&gt;19-23&lt;/pages&gt;&lt;number&gt;1&lt;/number&gt;&lt;contributors&gt;&lt;authors&gt;&lt;author&gt;Protudjer, J.L.P.&lt;/author&gt;&lt;author&gt;Marchessault, G.&lt;/author&gt;&lt;author&gt;Kozyrskyj, A.L.&lt;/author&gt;&lt;author&gt;Becker, A.B.&lt;/author&gt;&lt;/authors&gt;&lt;/contributors&gt;&lt;added-date format="utc"&gt;1549725036&lt;/added-date&gt;&lt;ref-type name="Journal Article"&gt;17&lt;/ref-type&gt;&lt;dates&gt;&lt;year&gt;2010&lt;/year&gt;&lt;/dates&gt;&lt;rec-number&gt;8584&lt;/rec-number&gt;&lt;last-updated-date format="utc"&gt;1549725104&lt;/last-updated-date&gt;&lt;volume&gt;71&lt;/volume&gt;&lt;/record&gt;&lt;/Cite&gt;&lt;/EndNote&gt;</w:instrText>
      </w:r>
      <w:r>
        <w:fldChar w:fldCharType="separate"/>
      </w:r>
      <w:r>
        <w:rPr>
          <w:noProof/>
        </w:rPr>
        <w:t>(Hesketh et al., 2005; Protudjer et al., 2010)</w:t>
      </w:r>
      <w:r>
        <w:fldChar w:fldCharType="end"/>
      </w:r>
      <w:r>
        <w:t>.</w:t>
      </w:r>
    </w:p>
    <w:p w:rsidR="00857089" w:rsidRDefault="00857089" w:rsidP="00857089">
      <w:pPr>
        <w:spacing w:after="180"/>
      </w:pPr>
      <w:r>
        <w:t xml:space="preserve">When children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14-15 in Turkey </w:t>
      </w:r>
      <w:r>
        <w:fldChar w:fldCharType="begin"/>
      </w:r>
      <w:r>
        <w:instrText xml:space="preserve"> ADDIN EN.CITE &lt;EndNote&gt;&lt;Cite&gt;&lt;Author&gt;Çetin&lt;/Author&gt;&lt;Year&gt;2013&lt;/Year&gt;&lt;IDText&gt;Students&amp;apos; views about health concept by drawing and writing technique&lt;/IDText&gt;&lt;DisplayText&gt;(Çetin et al., 2013)&lt;/DisplayText&gt;&lt;record&gt;&lt;titles&gt;&lt;title&gt;Students&amp;apos; views about health concept by drawing and writing technique&lt;/title&gt;&lt;secondary-title&gt;Energy Education Science and Technology Part B: Social and Educational Studies&lt;/secondary-title&gt;&lt;/titles&gt;&lt;number&gt;1&lt;/number&gt;&lt;contributors&gt;&lt;authors&gt;&lt;author&gt;Çetin, Gülcan&lt;/author&gt;&lt;author&gt;Özarslan, Murat&lt;/author&gt;&lt;author&gt;Isik, Ebru&lt;/author&gt;&lt;author&gt;Eser, Handan&lt;/author&gt;&lt;/authors&gt;&lt;/contributors&gt;&lt;section&gt;597-606&lt;/section&gt;&lt;added-date format="utc"&gt;1550317450&lt;/added-date&gt;&lt;ref-type name="Journal Article"&gt;17&lt;/ref-type&gt;&lt;dates&gt;&lt;year&gt;2013&lt;/year&gt;&lt;/dates&gt;&lt;rec-number&gt;8599&lt;/rec-number&gt;&lt;last-updated-date format="utc"&gt;1550317611&lt;/last-updated-date&gt;&lt;volume&gt;5&lt;/volume&gt;&lt;/record&gt;&lt;/Cite&gt;&lt;/EndNote&gt;</w:instrText>
      </w:r>
      <w:r>
        <w:fldChar w:fldCharType="separate"/>
      </w:r>
      <w:r>
        <w:rPr>
          <w:noProof/>
        </w:rPr>
        <w:t>(Çetin et al., 2013)</w:t>
      </w:r>
      <w:r>
        <w:fldChar w:fldCharType="end"/>
      </w:r>
      <w:r>
        <w:t xml:space="preserve"> were asked to draw and write about healthy and unhealthy things, most of the students’ answers related to food and drink (over 60% in the US study) and physical activity. Emotional or mental health was not commonly depicted or described by the children up to age 11 (although depictions of healthy activities usually included people who were smiling), but featured more commonly in answers from the children aged 14-15. Ideas about social health and wellbeing were rarely seen. A separate study found that some adolescent children also referred to fresh air in relation to healthiness </w:t>
      </w:r>
      <w:r>
        <w:fldChar w:fldCharType="begin"/>
      </w:r>
      <w:r>
        <w:instrText xml:space="preserve"> ADDIN EN.CITE &lt;EndNote&gt;&lt;Cite&gt;&lt;Author&gt;O’Higgins&lt;/Author&gt;&lt;Year&gt;2010&lt;/Year&gt;&lt;IDText&gt;Adolescents’ perceptions of the words ‘health’ and ‘happy’&lt;/IDText&gt;&lt;DisplayText&gt;(O’Higgins, Sixsmith and Gabhainn, 2010)&lt;/DisplayText&gt;&lt;record&gt;&lt;titles&gt;&lt;title&gt;Adolescents’ perceptions of the words ‘health’ and ‘happy’&lt;/title&gt;&lt;secondary-title&gt;Health Education&lt;/secondary-title&gt;&lt;/titles&gt;&lt;pages&gt;367-381&lt;/pages&gt;&lt;number&gt;5&lt;/number&gt;&lt;contributors&gt;&lt;authors&gt;&lt;author&gt;O’Higgins, S.&lt;/author&gt;&lt;author&gt;Sixsmith, J.&lt;/author&gt;&lt;author&gt;Gabhainn, S.N.&lt;/author&gt;&lt;/authors&gt;&lt;/contributors&gt;&lt;added-date format="utc"&gt;1549725541&lt;/added-date&gt;&lt;ref-type name="Journal Article"&gt;17&lt;/ref-type&gt;&lt;dates&gt;&lt;year&gt;2010&lt;/year&gt;&lt;/dates&gt;&lt;rec-number&gt;8585&lt;/rec-number&gt;&lt;last-updated-date format="utc"&gt;1549725596&lt;/last-updated-date&gt;&lt;volume&gt;110&lt;/volume&gt;&lt;/record&gt;&lt;/Cite&gt;&lt;/EndNote&gt;</w:instrText>
      </w:r>
      <w:r>
        <w:fldChar w:fldCharType="separate"/>
      </w:r>
      <w:r>
        <w:rPr>
          <w:noProof/>
        </w:rPr>
        <w:t>(O’Higgins, Sixsmith and Gabhainn, 2010)</w:t>
      </w:r>
      <w:r>
        <w:fldChar w:fldCharType="end"/>
      </w:r>
      <w:r>
        <w:t>.</w:t>
      </w:r>
    </w:p>
    <w:p w:rsidR="00972187" w:rsidRDefault="00857089" w:rsidP="00857089">
      <w:pPr>
        <w:spacing w:after="180"/>
      </w:pPr>
      <w:r>
        <w:t xml:space="preserve">Asking children to draw, discuss and write is an established technique for probing their understanding of health and disease, which has been said to enhance participation by children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AF7D64" w:rsidRDefault="00AF7D64" w:rsidP="00AF7D64">
      <w:pPr>
        <w:spacing w:after="120"/>
      </w:pPr>
      <w:r w:rsidRPr="00DA3B6C">
        <w:t xml:space="preserve">Students </w:t>
      </w:r>
      <w:r>
        <w:t>should complete this activity in pairs or small groups.</w:t>
      </w:r>
    </w:p>
    <w:p w:rsidR="00AF7D64" w:rsidRDefault="00AF7D64" w:rsidP="00AF7D64">
      <w:pPr>
        <w:spacing w:after="120"/>
      </w:pPr>
      <w:r>
        <w:t xml:space="preserve">In part 1, each pair or group looks at </w:t>
      </w:r>
      <w:r w:rsidRPr="00AF7D64">
        <w:t>drawings of people engaging in activities that are healthy and unhealthy for the body</w:t>
      </w:r>
      <w:r>
        <w:t xml:space="preserve">; these drawings may be those </w:t>
      </w:r>
      <w:r w:rsidRPr="00AF7D64">
        <w:t>produced by students in the diagnostic activity ‘Healthy body’</w:t>
      </w:r>
      <w:r>
        <w:t xml:space="preserve"> (in which case you may wish to swap drawings between groups so that students are not looking at their own drawings, to reduce sensitivities)</w:t>
      </w:r>
      <w:r w:rsidRPr="00AF7D64">
        <w:t>, or</w:t>
      </w:r>
      <w:r>
        <w:t xml:space="preserve"> they could be sourced from elsewhere.</w:t>
      </w:r>
    </w:p>
    <w:p w:rsidR="00AF7D64" w:rsidRDefault="00AF7D64" w:rsidP="00AF7D64">
      <w:pPr>
        <w:spacing w:after="120"/>
      </w:pPr>
      <w:r>
        <w:lastRenderedPageBreak/>
        <w:t>In part 2, each pair or group writes a story (or a series of bullet points) to describe things that an imaginary person do</w:t>
      </w:r>
      <w:r w:rsidR="00120200">
        <w:t>es</w:t>
      </w:r>
      <w:r>
        <w:t xml:space="preserve"> during a ‘healthy day’ that help to improve the</w:t>
      </w:r>
      <w:r w:rsidR="00120200">
        <w:t>ir physical</w:t>
      </w:r>
      <w:r>
        <w:t xml:space="preserve"> health, and things that the person avoid</w:t>
      </w:r>
      <w:r w:rsidR="00120200">
        <w:t>s</w:t>
      </w:r>
      <w:r>
        <w:t xml:space="preserve"> doing.</w:t>
      </w:r>
    </w:p>
    <w:p w:rsidR="00852D96" w:rsidRDefault="00852D96" w:rsidP="00AF7D64">
      <w:pPr>
        <w:spacing w:after="120"/>
      </w:pPr>
      <w:r>
        <w:t xml:space="preserve">There is evidence that the gender of the character in a ‘storying’ activity may influence the perception of appropriate health behaviours </w:t>
      </w:r>
      <w:r>
        <w:fldChar w:fldCharType="begin"/>
      </w:r>
      <w:r>
        <w:instrText xml:space="preserve"> ADDIN EN.CITE &lt;EndNote&gt;&lt;Cite&gt;&lt;Author&gt;Mooney&lt;/Author&gt;&lt;Year&gt;1997&lt;/Year&gt;&lt;IDText&gt;The effects of food and gender on interpersonal perceptions&lt;/IDText&gt;&lt;DisplayText&gt;(Mooney and Lorenz, 1997)&lt;/DisplayText&gt;&lt;record&gt;&lt;titles&gt;&lt;title&gt;The effects of food and gender on interpersonal perceptions&lt;/title&gt;&lt;secondary-title&gt;Sex Roles&lt;/secondary-title&gt;&lt;/titles&gt;&lt;pages&gt;639-653&lt;/pages&gt;&lt;number&gt;9/10&lt;/number&gt;&lt;contributors&gt;&lt;authors&gt;&lt;author&gt;Mooney, K.M.&lt;/author&gt;&lt;author&gt;Lorenz, E.&lt;/author&gt;&lt;/authors&gt;&lt;/contributors&gt;&lt;added-date format="utc"&gt;1549984658&lt;/added-date&gt;&lt;ref-type name="Journal Article"&gt;17&lt;/ref-type&gt;&lt;dates&gt;&lt;year&gt;1997&lt;/year&gt;&lt;/dates&gt;&lt;rec-number&gt;8597&lt;/rec-number&gt;&lt;last-updated-date format="utc"&gt;1549984732&lt;/last-updated-date&gt;&lt;volume&gt;36&lt;/volume&gt;&lt;/record&gt;&lt;/Cite&gt;&lt;/EndNote&gt;</w:instrText>
      </w:r>
      <w:r>
        <w:fldChar w:fldCharType="separate"/>
      </w:r>
      <w:r>
        <w:rPr>
          <w:noProof/>
        </w:rPr>
        <w:t>(Mooney and Lorenz, 1997)</w:t>
      </w:r>
      <w:r>
        <w:fldChar w:fldCharType="end"/>
      </w:r>
      <w:r>
        <w:t xml:space="preserve">. The gender neutral name Sam is used </w:t>
      </w:r>
      <w:r w:rsidR="00463549">
        <w:t>i</w:t>
      </w:r>
      <w:r>
        <w:t xml:space="preserve">n the student </w:t>
      </w:r>
      <w:r w:rsidR="00463549">
        <w:t>activity</w:t>
      </w:r>
      <w:r>
        <w:t xml:space="preserve"> but could be changed if desired.</w:t>
      </w:r>
    </w:p>
    <w:p w:rsidR="00AF7D64" w:rsidRDefault="00AF7D64" w:rsidP="00AF7D64">
      <w:pPr>
        <w:spacing w:after="120"/>
      </w:pPr>
      <w:r>
        <w:t xml:space="preserve">The focus throughout the activity should be </w:t>
      </w:r>
      <w:r w:rsidRPr="008C25B7">
        <w:t xml:space="preserve">on group discussion to </w:t>
      </w:r>
      <w:r>
        <w:t>answer the questions about the drawings and to decide what to include in the story of the ‘healthy day’. It is through the discussions that students can check their understanding and develop their explanations. Listening in to the conversations of each group will often give you insights into how your students are thinking.</w:t>
      </w:r>
    </w:p>
    <w:p w:rsidR="00AF7D64" w:rsidRDefault="00AF7D64" w:rsidP="00AF7D64">
      <w:pPr>
        <w:spacing w:after="120"/>
      </w:pPr>
      <w:r>
        <w:t xml:space="preserve">The quality of the discussions can be improved with </w:t>
      </w:r>
      <w:r w:rsidR="00B7679B">
        <w:t>careful selection of groups,</w:t>
      </w:r>
      <w:r>
        <w:t xml:space="preserve"> or by allocating specific roles to students in </w:t>
      </w:r>
      <w:r w:rsidR="00B7679B">
        <w:t>a</w:t>
      </w:r>
      <w:r>
        <w:t xml:space="preserve"> group. For example, you may choose to select a student with strong prior knowledge as a scribe, and forbid them from contributing any of their own answers.</w:t>
      </w:r>
      <w:r w:rsidR="00463549">
        <w:t xml:space="preserve"> </w:t>
      </w:r>
      <w:r>
        <w:t>They may question the others and only write down what they have been told. This strategy encourages contributions from more members of each group.</w:t>
      </w:r>
    </w:p>
    <w:p w:rsidR="004032EA" w:rsidRPr="00C54711" w:rsidRDefault="00AF7D64" w:rsidP="00AF7D64">
      <w:pPr>
        <w:spacing w:after="180"/>
        <w:rPr>
          <w:highlight w:val="yellow"/>
        </w:rPr>
      </w:pPr>
      <w:r>
        <w:t>After their discussions, each group should be prepared to report the key points of their discussions to another group, or to the class.</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7B0944" w:rsidP="004032EA">
      <w:pPr>
        <w:pStyle w:val="ListParagraph"/>
        <w:numPr>
          <w:ilvl w:val="0"/>
          <w:numId w:val="1"/>
        </w:numPr>
        <w:spacing w:after="180"/>
      </w:pPr>
      <w:r>
        <w:t>drawings of people engaging in activities that are healthy and unhealthy for the body (either produced by the students in the diagnostic activity ‘Healthy body’, or sourced from elsewhere)</w:t>
      </w:r>
    </w:p>
    <w:p w:rsidR="007B0944" w:rsidRDefault="007B0944" w:rsidP="004032EA">
      <w:pPr>
        <w:pStyle w:val="ListParagraph"/>
        <w:numPr>
          <w:ilvl w:val="0"/>
          <w:numId w:val="1"/>
        </w:numPr>
        <w:spacing w:after="180"/>
      </w:pPr>
      <w:r>
        <w:t>paper (if not writing on the student worksheet)</w:t>
      </w:r>
    </w:p>
    <w:p w:rsidR="00E172C6" w:rsidRPr="00A82D25" w:rsidRDefault="00BB44B4" w:rsidP="00026DEC">
      <w:pPr>
        <w:spacing w:after="180"/>
        <w:rPr>
          <w:b/>
          <w:color w:val="538135"/>
          <w:sz w:val="24"/>
        </w:rPr>
      </w:pPr>
      <w:r w:rsidRPr="00A82D25">
        <w:rPr>
          <w:b/>
          <w:color w:val="538135"/>
          <w:sz w:val="24"/>
        </w:rPr>
        <w:t>Expected answers</w:t>
      </w:r>
    </w:p>
    <w:p w:rsidR="00BF6C8A" w:rsidRDefault="00120200" w:rsidP="00BF6C8A">
      <w:pPr>
        <w:spacing w:after="180"/>
      </w:pPr>
      <w:r>
        <w:t xml:space="preserve">The stories </w:t>
      </w:r>
      <w:r w:rsidR="00463549">
        <w:t>of the ‘healthy day’ are likely to contain a rang</w:t>
      </w:r>
      <w:r w:rsidR="003626A0">
        <w:t xml:space="preserve">e of activities, </w:t>
      </w:r>
      <w:r w:rsidR="003626A0" w:rsidRPr="003626A0">
        <w:t xml:space="preserve">but in the studies by Reeve &amp; Bell and </w:t>
      </w:r>
      <w:proofErr w:type="spellStart"/>
      <w:r w:rsidR="003626A0" w:rsidRPr="003626A0">
        <w:t>Brindal</w:t>
      </w:r>
      <w:proofErr w:type="spellEnd"/>
      <w:r w:rsidR="003626A0" w:rsidRPr="003626A0">
        <w:t xml:space="preserve"> et al. most </w:t>
      </w:r>
      <w:r w:rsidR="00611EA1">
        <w:t>student responses</w:t>
      </w:r>
      <w:r w:rsidR="003626A0" w:rsidRPr="003626A0">
        <w:t xml:space="preserve"> were categorised as relating to either </w:t>
      </w:r>
      <w:r w:rsidR="00484A73">
        <w:t>eating and drinking</w:t>
      </w:r>
      <w:r w:rsidR="003626A0" w:rsidRPr="003626A0">
        <w:t xml:space="preserve"> or physical activity</w:t>
      </w:r>
      <w:r w:rsidR="00484A73">
        <w:t xml:space="preserve">. Smoking, rest, </w:t>
      </w:r>
      <w:r w:rsidR="003F7F38">
        <w:t xml:space="preserve">fresh air, </w:t>
      </w:r>
      <w:r w:rsidR="00484A73">
        <w:t>use of medicines, and activities related to personal hygiene may also feature.</w:t>
      </w:r>
    </w:p>
    <w:p w:rsidR="00484A73" w:rsidRDefault="00484A73" w:rsidP="00BF6C8A">
      <w:pPr>
        <w:spacing w:after="180"/>
      </w:pPr>
      <w:r>
        <w:t xml:space="preserve">Students with deeper understanding of the relationship between behaviours and </w:t>
      </w:r>
      <w:r w:rsidR="002A5A63">
        <w:t xml:space="preserve">physical </w:t>
      </w:r>
      <w:r w:rsidR="00BE346D">
        <w:t xml:space="preserve">good </w:t>
      </w:r>
      <w:r>
        <w:t xml:space="preserve">health may indicate </w:t>
      </w:r>
      <w:r w:rsidRPr="00484A73">
        <w:rPr>
          <w:i/>
        </w:rPr>
        <w:t>how much</w:t>
      </w:r>
      <w:r>
        <w:t xml:space="preserve"> of each activity is appropriate, an</w:t>
      </w:r>
      <w:r w:rsidR="00611EA1">
        <w:t>d</w:t>
      </w:r>
      <w:r>
        <w:t xml:space="preserve"> may go so far as to explain that </w:t>
      </w:r>
      <w:r w:rsidR="001E399C">
        <w:t>while an activity done in moderation can be good for physical health, too much or too little of the same activity may lead to physical ill health.</w:t>
      </w:r>
    </w:p>
    <w:p w:rsidR="003117F6" w:rsidRPr="00A82D25" w:rsidRDefault="00CC78A5" w:rsidP="00026DEC">
      <w:pPr>
        <w:spacing w:after="180"/>
        <w:rPr>
          <w:b/>
          <w:color w:val="538135"/>
          <w:sz w:val="24"/>
        </w:rPr>
      </w:pPr>
      <w:r w:rsidRPr="00A82D25">
        <w:rPr>
          <w:b/>
          <w:color w:val="538135"/>
          <w:sz w:val="24"/>
        </w:rPr>
        <w:t>Acknowledgments</w:t>
      </w:r>
    </w:p>
    <w:p w:rsidR="007B0944" w:rsidRPr="00DF6651" w:rsidRDefault="007B0944" w:rsidP="007B0944">
      <w:pPr>
        <w:spacing w:after="120"/>
        <w:rPr>
          <w:sz w:val="20"/>
        </w:rPr>
      </w:pPr>
      <w:r w:rsidRPr="00DF6651">
        <w:rPr>
          <w:sz w:val="20"/>
        </w:rPr>
        <w:t xml:space="preserve">Developed by Alistair Moore (UYSEG), from techniques described by </w:t>
      </w:r>
      <w:proofErr w:type="spellStart"/>
      <w:r w:rsidRPr="00DF6651">
        <w:rPr>
          <w:sz w:val="20"/>
        </w:rPr>
        <w:t>Wetton</w:t>
      </w:r>
      <w:proofErr w:type="spellEnd"/>
      <w:r w:rsidRPr="00DF6651">
        <w:rPr>
          <w:sz w:val="20"/>
        </w:rPr>
        <w:t xml:space="preserve"> and </w:t>
      </w:r>
      <w:proofErr w:type="spellStart"/>
      <w:r w:rsidRPr="00DF6651">
        <w:rPr>
          <w:sz w:val="20"/>
        </w:rPr>
        <w:t>McWhirter</w:t>
      </w:r>
      <w:proofErr w:type="spellEnd"/>
      <w:r w:rsidRPr="00DF6651">
        <w:rPr>
          <w:sz w:val="20"/>
        </w:rPr>
        <w:t xml:space="preserve"> (1998), Harrison (2002), Reeve and Bell (2009), and </w:t>
      </w:r>
      <w:proofErr w:type="spellStart"/>
      <w:r w:rsidRPr="00DF6651">
        <w:rPr>
          <w:sz w:val="20"/>
        </w:rPr>
        <w:t>Brindal</w:t>
      </w:r>
      <w:proofErr w:type="spellEnd"/>
      <w:r w:rsidRPr="00DF6651">
        <w:rPr>
          <w:sz w:val="20"/>
        </w:rPr>
        <w:t xml:space="preserve"> et al. (2012).</w:t>
      </w:r>
    </w:p>
    <w:p w:rsidR="007B0944" w:rsidRPr="00DF6651" w:rsidRDefault="007B0944" w:rsidP="007B0944">
      <w:pPr>
        <w:spacing w:after="120"/>
        <w:rPr>
          <w:sz w:val="20"/>
        </w:rPr>
      </w:pPr>
      <w:r w:rsidRPr="00DF6651">
        <w:rPr>
          <w:sz w:val="20"/>
        </w:rPr>
        <w:t xml:space="preserve">Images: </w:t>
      </w:r>
      <w:r w:rsidR="00AB6D25">
        <w:rPr>
          <w:sz w:val="20"/>
        </w:rPr>
        <w:t>adapted by UYSEG from</w:t>
      </w:r>
      <w:r>
        <w:rPr>
          <w:sz w:val="20"/>
        </w:rPr>
        <w:t xml:space="preserve"> </w:t>
      </w:r>
      <w:r w:rsidRPr="00DF6651">
        <w:rPr>
          <w:sz w:val="20"/>
        </w:rPr>
        <w:t>pixabay.com/</w:t>
      </w:r>
      <w:proofErr w:type="spellStart"/>
      <w:r w:rsidR="00AB6D25">
        <w:rPr>
          <w:sz w:val="20"/>
        </w:rPr>
        <w:t>Prawny</w:t>
      </w:r>
      <w:proofErr w:type="spellEnd"/>
      <w:r w:rsidRPr="00DF6651">
        <w:rPr>
          <w:sz w:val="20"/>
        </w:rPr>
        <w:t xml:space="preserve"> (</w:t>
      </w:r>
      <w:r w:rsidR="00AB6D25" w:rsidRPr="00AB6D25">
        <w:rPr>
          <w:sz w:val="20"/>
        </w:rPr>
        <w:t>1082114</w:t>
      </w:r>
      <w:r w:rsidRPr="00DF6651">
        <w:rPr>
          <w:sz w:val="20"/>
        </w:rPr>
        <w:t>)</w:t>
      </w:r>
    </w:p>
    <w:p w:rsidR="003117F6" w:rsidRPr="00A82D25" w:rsidRDefault="003117F6" w:rsidP="00026DEC">
      <w:pPr>
        <w:spacing w:after="180"/>
        <w:rPr>
          <w:b/>
          <w:color w:val="538135"/>
          <w:sz w:val="24"/>
        </w:rPr>
      </w:pPr>
      <w:r w:rsidRPr="00A82D25">
        <w:rPr>
          <w:b/>
          <w:color w:val="538135"/>
          <w:sz w:val="24"/>
        </w:rPr>
        <w:t>References</w:t>
      </w:r>
    </w:p>
    <w:p w:rsidR="00857089" w:rsidRPr="00857089" w:rsidRDefault="007B0944" w:rsidP="00857089">
      <w:pPr>
        <w:pStyle w:val="EndNoteBibliography"/>
        <w:spacing w:after="120"/>
        <w:rPr>
          <w:sz w:val="20"/>
          <w:szCs w:val="20"/>
        </w:rPr>
      </w:pPr>
      <w:r w:rsidRPr="00857089">
        <w:rPr>
          <w:sz w:val="20"/>
          <w:szCs w:val="20"/>
        </w:rPr>
        <w:fldChar w:fldCharType="begin"/>
      </w:r>
      <w:r w:rsidRPr="00857089">
        <w:rPr>
          <w:sz w:val="20"/>
          <w:szCs w:val="20"/>
        </w:rPr>
        <w:instrText xml:space="preserve"> ADDIN EN.REFLIST </w:instrText>
      </w:r>
      <w:r w:rsidRPr="00857089">
        <w:rPr>
          <w:sz w:val="20"/>
          <w:szCs w:val="20"/>
        </w:rPr>
        <w:fldChar w:fldCharType="separate"/>
      </w:r>
      <w:r w:rsidR="00857089" w:rsidRPr="00857089">
        <w:rPr>
          <w:sz w:val="20"/>
          <w:szCs w:val="20"/>
        </w:rPr>
        <w:t xml:space="preserve">Backett-Milburn, K. and McKie, L. (1999). A critical appraisal of the draw and write technique. </w:t>
      </w:r>
      <w:r w:rsidR="00857089" w:rsidRPr="00857089">
        <w:rPr>
          <w:i/>
          <w:sz w:val="20"/>
          <w:szCs w:val="20"/>
        </w:rPr>
        <w:t>Health Education Research,</w:t>
      </w:r>
      <w:r w:rsidR="00857089" w:rsidRPr="00857089">
        <w:rPr>
          <w:sz w:val="20"/>
          <w:szCs w:val="20"/>
        </w:rPr>
        <w:t xml:space="preserve"> 14(3)</w:t>
      </w:r>
      <w:r w:rsidR="00857089" w:rsidRPr="00857089">
        <w:rPr>
          <w:b/>
          <w:sz w:val="20"/>
          <w:szCs w:val="20"/>
        </w:rPr>
        <w:t>,</w:t>
      </w:r>
      <w:r w:rsidR="00857089" w:rsidRPr="00857089">
        <w:rPr>
          <w:sz w:val="20"/>
          <w:szCs w:val="20"/>
        </w:rPr>
        <w:t xml:space="preserve"> 387-398.</w:t>
      </w:r>
    </w:p>
    <w:p w:rsidR="00857089" w:rsidRPr="00857089" w:rsidRDefault="00857089" w:rsidP="00857089">
      <w:pPr>
        <w:pStyle w:val="EndNoteBibliography"/>
        <w:spacing w:after="120"/>
        <w:rPr>
          <w:sz w:val="20"/>
          <w:szCs w:val="20"/>
        </w:rPr>
      </w:pPr>
      <w:r w:rsidRPr="00857089">
        <w:rPr>
          <w:sz w:val="20"/>
          <w:szCs w:val="20"/>
        </w:rPr>
        <w:t xml:space="preserve">Brindal, E., et al. (2012). How do Australian junior primary school children perceive the concepts of "healthy" and "unhealthy"? </w:t>
      </w:r>
      <w:r w:rsidRPr="00857089">
        <w:rPr>
          <w:i/>
          <w:sz w:val="20"/>
          <w:szCs w:val="20"/>
        </w:rPr>
        <w:t>Health Education,</w:t>
      </w:r>
      <w:r w:rsidRPr="00857089">
        <w:rPr>
          <w:sz w:val="20"/>
          <w:szCs w:val="20"/>
        </w:rPr>
        <w:t xml:space="preserve"> 112(5)</w:t>
      </w:r>
      <w:r w:rsidRPr="00857089">
        <w:rPr>
          <w:b/>
          <w:sz w:val="20"/>
          <w:szCs w:val="20"/>
        </w:rPr>
        <w:t>,</w:t>
      </w:r>
      <w:r w:rsidRPr="00857089">
        <w:rPr>
          <w:sz w:val="20"/>
          <w:szCs w:val="20"/>
        </w:rPr>
        <w:t xml:space="preserve"> 406-420.</w:t>
      </w:r>
    </w:p>
    <w:p w:rsidR="00857089" w:rsidRDefault="00857089" w:rsidP="00857089">
      <w:pPr>
        <w:pStyle w:val="EndNoteBibliography"/>
        <w:spacing w:after="120"/>
        <w:rPr>
          <w:sz w:val="20"/>
          <w:szCs w:val="20"/>
        </w:rPr>
      </w:pPr>
      <w:r w:rsidRPr="00857089">
        <w:rPr>
          <w:sz w:val="20"/>
          <w:szCs w:val="20"/>
        </w:rPr>
        <w:lastRenderedPageBreak/>
        <w:t xml:space="preserve">Çetin, G., et al. (2013). Students' views about health concept by drawing and writing technique. </w:t>
      </w:r>
      <w:r w:rsidRPr="00857089">
        <w:rPr>
          <w:i/>
          <w:sz w:val="20"/>
          <w:szCs w:val="20"/>
        </w:rPr>
        <w:t>Energy Education Science and Technology Part B: Social and Educational Studies,</w:t>
      </w:r>
      <w:r w:rsidRPr="00857089">
        <w:rPr>
          <w:sz w:val="20"/>
          <w:szCs w:val="20"/>
        </w:rPr>
        <w:t xml:space="preserve"> 5(1).</w:t>
      </w:r>
    </w:p>
    <w:p w:rsidR="00857089" w:rsidRPr="00857089" w:rsidRDefault="00857089" w:rsidP="00857089">
      <w:pPr>
        <w:pStyle w:val="EndNoteBibliography"/>
        <w:spacing w:after="120"/>
        <w:rPr>
          <w:sz w:val="20"/>
          <w:szCs w:val="20"/>
        </w:rPr>
      </w:pPr>
      <w:r w:rsidRPr="00857089">
        <w:rPr>
          <w:sz w:val="20"/>
          <w:szCs w:val="20"/>
        </w:rPr>
        <w:t xml:space="preserve">Harrison, B. (2002). Seeing health and illness worlds – using visual methodologies in a sociology of health and illness: a methodological review. </w:t>
      </w:r>
      <w:r w:rsidRPr="00857089">
        <w:rPr>
          <w:i/>
          <w:sz w:val="20"/>
          <w:szCs w:val="20"/>
        </w:rPr>
        <w:t>Sociology of Health Illness,</w:t>
      </w:r>
      <w:r w:rsidRPr="00857089">
        <w:rPr>
          <w:sz w:val="20"/>
          <w:szCs w:val="20"/>
        </w:rPr>
        <w:t xml:space="preserve"> 24(6)</w:t>
      </w:r>
      <w:r w:rsidRPr="00857089">
        <w:rPr>
          <w:b/>
          <w:sz w:val="20"/>
          <w:szCs w:val="20"/>
        </w:rPr>
        <w:t>,</w:t>
      </w:r>
      <w:r w:rsidRPr="00857089">
        <w:rPr>
          <w:sz w:val="20"/>
          <w:szCs w:val="20"/>
        </w:rPr>
        <w:t xml:space="preserve"> 856-872.</w:t>
      </w:r>
    </w:p>
    <w:p w:rsidR="00857089" w:rsidRPr="00857089" w:rsidRDefault="00857089" w:rsidP="00857089">
      <w:pPr>
        <w:pStyle w:val="EndNoteBibliography"/>
        <w:spacing w:after="120"/>
        <w:rPr>
          <w:sz w:val="20"/>
          <w:szCs w:val="20"/>
        </w:rPr>
      </w:pPr>
      <w:r w:rsidRPr="00857089">
        <w:rPr>
          <w:sz w:val="20"/>
          <w:szCs w:val="20"/>
        </w:rPr>
        <w:t xml:space="preserve">Hesketh, K., et al. (2005). Healthy eating, activity and obesity prevention: a qualitative study of parent and child perceptions in Australia. </w:t>
      </w:r>
      <w:r w:rsidRPr="00857089">
        <w:rPr>
          <w:i/>
          <w:sz w:val="20"/>
          <w:szCs w:val="20"/>
        </w:rPr>
        <w:t>Health Promotion International,</w:t>
      </w:r>
      <w:r w:rsidRPr="00857089">
        <w:rPr>
          <w:sz w:val="20"/>
          <w:szCs w:val="20"/>
        </w:rPr>
        <w:t xml:space="preserve"> 20(1)</w:t>
      </w:r>
      <w:r w:rsidRPr="00857089">
        <w:rPr>
          <w:b/>
          <w:sz w:val="20"/>
          <w:szCs w:val="20"/>
        </w:rPr>
        <w:t>,</w:t>
      </w:r>
      <w:r w:rsidRPr="00857089">
        <w:rPr>
          <w:sz w:val="20"/>
          <w:szCs w:val="20"/>
        </w:rPr>
        <w:t xml:space="preserve"> 19-26.</w:t>
      </w:r>
    </w:p>
    <w:p w:rsidR="00857089" w:rsidRPr="00857089" w:rsidRDefault="00857089" w:rsidP="00857089">
      <w:pPr>
        <w:pStyle w:val="EndNoteBibliography"/>
        <w:spacing w:after="120"/>
        <w:rPr>
          <w:sz w:val="20"/>
          <w:szCs w:val="20"/>
        </w:rPr>
      </w:pPr>
      <w:r w:rsidRPr="00857089">
        <w:rPr>
          <w:sz w:val="20"/>
          <w:szCs w:val="20"/>
        </w:rPr>
        <w:t xml:space="preserve">Mooney, K. M. and Lorenz, E. (1997). The effects of food and gender on interpersonal perceptions. </w:t>
      </w:r>
      <w:r w:rsidRPr="00857089">
        <w:rPr>
          <w:i/>
          <w:sz w:val="20"/>
          <w:szCs w:val="20"/>
        </w:rPr>
        <w:t>Sex Roles,</w:t>
      </w:r>
      <w:r w:rsidRPr="00857089">
        <w:rPr>
          <w:sz w:val="20"/>
          <w:szCs w:val="20"/>
        </w:rPr>
        <w:t xml:space="preserve"> 36(9/10)</w:t>
      </w:r>
      <w:r w:rsidRPr="00857089">
        <w:rPr>
          <w:b/>
          <w:sz w:val="20"/>
          <w:szCs w:val="20"/>
        </w:rPr>
        <w:t>,</w:t>
      </w:r>
      <w:r w:rsidRPr="00857089">
        <w:rPr>
          <w:sz w:val="20"/>
          <w:szCs w:val="20"/>
        </w:rPr>
        <w:t xml:space="preserve"> 639-653.</w:t>
      </w:r>
    </w:p>
    <w:p w:rsidR="00857089" w:rsidRPr="00857089" w:rsidRDefault="00857089" w:rsidP="00857089">
      <w:pPr>
        <w:pStyle w:val="EndNoteBibliography"/>
        <w:spacing w:after="120"/>
        <w:rPr>
          <w:sz w:val="20"/>
          <w:szCs w:val="20"/>
        </w:rPr>
      </w:pPr>
      <w:r w:rsidRPr="00857089">
        <w:rPr>
          <w:sz w:val="20"/>
          <w:szCs w:val="20"/>
        </w:rPr>
        <w:t xml:space="preserve">O’Higgins, S., Sixsmith, J. and Gabhainn, S. N. (2010). Adolescents’ perceptions of the words ‘health’ and ‘happy’. </w:t>
      </w:r>
      <w:r w:rsidRPr="00857089">
        <w:rPr>
          <w:i/>
          <w:sz w:val="20"/>
          <w:szCs w:val="20"/>
        </w:rPr>
        <w:t>Health Education,</w:t>
      </w:r>
      <w:r w:rsidRPr="00857089">
        <w:rPr>
          <w:sz w:val="20"/>
          <w:szCs w:val="20"/>
        </w:rPr>
        <w:t xml:space="preserve"> 110(5)</w:t>
      </w:r>
      <w:r w:rsidRPr="00857089">
        <w:rPr>
          <w:b/>
          <w:sz w:val="20"/>
          <w:szCs w:val="20"/>
        </w:rPr>
        <w:t>,</w:t>
      </w:r>
      <w:r w:rsidRPr="00857089">
        <w:rPr>
          <w:sz w:val="20"/>
          <w:szCs w:val="20"/>
        </w:rPr>
        <w:t xml:space="preserve"> 367-381.</w:t>
      </w:r>
    </w:p>
    <w:p w:rsidR="00857089" w:rsidRPr="00857089" w:rsidRDefault="00857089" w:rsidP="00857089">
      <w:pPr>
        <w:pStyle w:val="EndNoteBibliography"/>
        <w:spacing w:after="120"/>
        <w:rPr>
          <w:sz w:val="20"/>
          <w:szCs w:val="20"/>
        </w:rPr>
      </w:pPr>
      <w:r w:rsidRPr="00857089">
        <w:rPr>
          <w:sz w:val="20"/>
          <w:szCs w:val="20"/>
        </w:rPr>
        <w:t xml:space="preserve">Protudjer, J. L. P., et al. (2010). Children’s perceptions of healthful eating and physical activity. </w:t>
      </w:r>
      <w:r w:rsidRPr="00857089">
        <w:rPr>
          <w:i/>
          <w:sz w:val="20"/>
          <w:szCs w:val="20"/>
        </w:rPr>
        <w:t>Canadian Journal of Dietetic Practice and Research,</w:t>
      </w:r>
      <w:r w:rsidRPr="00857089">
        <w:rPr>
          <w:sz w:val="20"/>
          <w:szCs w:val="20"/>
        </w:rPr>
        <w:t xml:space="preserve"> 71(1)</w:t>
      </w:r>
      <w:r w:rsidRPr="00857089">
        <w:rPr>
          <w:b/>
          <w:sz w:val="20"/>
          <w:szCs w:val="20"/>
        </w:rPr>
        <w:t>,</w:t>
      </w:r>
      <w:r w:rsidRPr="00857089">
        <w:rPr>
          <w:sz w:val="20"/>
          <w:szCs w:val="20"/>
        </w:rPr>
        <w:t xml:space="preserve"> 19-23.</w:t>
      </w:r>
    </w:p>
    <w:p w:rsidR="00857089" w:rsidRPr="00857089" w:rsidRDefault="00857089" w:rsidP="00857089">
      <w:pPr>
        <w:pStyle w:val="EndNoteBibliography"/>
        <w:spacing w:after="120"/>
        <w:rPr>
          <w:sz w:val="20"/>
          <w:szCs w:val="20"/>
        </w:rPr>
      </w:pPr>
      <w:r w:rsidRPr="00857089">
        <w:rPr>
          <w:sz w:val="20"/>
          <w:szCs w:val="20"/>
        </w:rPr>
        <w:t xml:space="preserve">Reeve, S. and Bell, P. (2009). Children's self-documentation and understanding of the concepts 'healthy' and 'unhealthy'. </w:t>
      </w:r>
      <w:r w:rsidRPr="00857089">
        <w:rPr>
          <w:i/>
          <w:sz w:val="20"/>
          <w:szCs w:val="20"/>
        </w:rPr>
        <w:t>International Journal of Science Education,</w:t>
      </w:r>
      <w:r w:rsidRPr="00857089">
        <w:rPr>
          <w:sz w:val="20"/>
          <w:szCs w:val="20"/>
        </w:rPr>
        <w:t xml:space="preserve"> 31(14)</w:t>
      </w:r>
      <w:r w:rsidRPr="00857089">
        <w:rPr>
          <w:b/>
          <w:sz w:val="20"/>
          <w:szCs w:val="20"/>
        </w:rPr>
        <w:t>,</w:t>
      </w:r>
      <w:r w:rsidRPr="00857089">
        <w:rPr>
          <w:sz w:val="20"/>
          <w:szCs w:val="20"/>
        </w:rPr>
        <w:t xml:space="preserve"> 1953-1974.</w:t>
      </w:r>
    </w:p>
    <w:p w:rsidR="00857089" w:rsidRPr="00857089" w:rsidRDefault="00857089" w:rsidP="00857089">
      <w:pPr>
        <w:pStyle w:val="EndNoteBibliography"/>
        <w:spacing w:after="120"/>
        <w:rPr>
          <w:sz w:val="20"/>
          <w:szCs w:val="20"/>
        </w:rPr>
      </w:pPr>
      <w:r w:rsidRPr="00857089">
        <w:rPr>
          <w:sz w:val="20"/>
          <w:szCs w:val="20"/>
        </w:rPr>
        <w:t xml:space="preserve">Wetton, N. M. and McWhirter, J. (1998). </w:t>
      </w:r>
      <w:r w:rsidRPr="00857089">
        <w:rPr>
          <w:i/>
          <w:sz w:val="20"/>
          <w:szCs w:val="20"/>
        </w:rPr>
        <w:t xml:space="preserve">Images and Curriculum Development in Health Education, </w:t>
      </w:r>
      <w:r w:rsidRPr="00857089">
        <w:rPr>
          <w:sz w:val="20"/>
          <w:szCs w:val="20"/>
        </w:rPr>
        <w:t>London, UK: Falmer Press.</w:t>
      </w:r>
    </w:p>
    <w:p w:rsidR="00857089" w:rsidRPr="00857089" w:rsidRDefault="00857089" w:rsidP="00857089">
      <w:pPr>
        <w:pStyle w:val="EndNoteBibliography"/>
        <w:spacing w:after="120"/>
        <w:rPr>
          <w:sz w:val="20"/>
          <w:szCs w:val="20"/>
        </w:rPr>
      </w:pPr>
    </w:p>
    <w:p w:rsidR="00A82D25" w:rsidRPr="000F28B4" w:rsidRDefault="007B0944" w:rsidP="00857089">
      <w:pPr>
        <w:spacing w:after="120"/>
        <w:rPr>
          <w:sz w:val="20"/>
        </w:rPr>
      </w:pPr>
      <w:r w:rsidRPr="00857089">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94A" w:rsidRDefault="0008694A" w:rsidP="000B473B">
      <w:r>
        <w:separator/>
      </w:r>
    </w:p>
  </w:endnote>
  <w:endnote w:type="continuationSeparator" w:id="0">
    <w:p w:rsidR="0008694A" w:rsidRDefault="0008694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4652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5442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B0BA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54422">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94A" w:rsidRDefault="0008694A" w:rsidP="000B473B">
      <w:r>
        <w:separator/>
      </w:r>
    </w:p>
  </w:footnote>
  <w:footnote w:type="continuationSeparator" w:id="0">
    <w:p w:rsidR="0008694A" w:rsidRDefault="0008694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030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521E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0D5919"/>
    <w:multiLevelType w:val="hybridMultilevel"/>
    <w:tmpl w:val="A9C44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694A"/>
    <w:rsid w:val="00015578"/>
    <w:rsid w:val="00024731"/>
    <w:rsid w:val="00026DEC"/>
    <w:rsid w:val="00042767"/>
    <w:rsid w:val="000505CA"/>
    <w:rsid w:val="00054422"/>
    <w:rsid w:val="0007651D"/>
    <w:rsid w:val="0008694A"/>
    <w:rsid w:val="0009089A"/>
    <w:rsid w:val="000947E2"/>
    <w:rsid w:val="00095E04"/>
    <w:rsid w:val="000B473B"/>
    <w:rsid w:val="000D0E89"/>
    <w:rsid w:val="000E2689"/>
    <w:rsid w:val="000F28B4"/>
    <w:rsid w:val="00120200"/>
    <w:rsid w:val="00142613"/>
    <w:rsid w:val="00144DA7"/>
    <w:rsid w:val="0015356E"/>
    <w:rsid w:val="00161D3F"/>
    <w:rsid w:val="001915D4"/>
    <w:rsid w:val="00194675"/>
    <w:rsid w:val="001A1FED"/>
    <w:rsid w:val="001A40E2"/>
    <w:rsid w:val="001C4334"/>
    <w:rsid w:val="001C4805"/>
    <w:rsid w:val="001E399C"/>
    <w:rsid w:val="00201AC2"/>
    <w:rsid w:val="00214608"/>
    <w:rsid w:val="002178AC"/>
    <w:rsid w:val="0022547C"/>
    <w:rsid w:val="0025410A"/>
    <w:rsid w:val="0027553E"/>
    <w:rsid w:val="0028012F"/>
    <w:rsid w:val="002828DF"/>
    <w:rsid w:val="00287876"/>
    <w:rsid w:val="00292C53"/>
    <w:rsid w:val="00294E22"/>
    <w:rsid w:val="002A5A63"/>
    <w:rsid w:val="002C22EA"/>
    <w:rsid w:val="002C59BA"/>
    <w:rsid w:val="002F41B2"/>
    <w:rsid w:val="00301AA9"/>
    <w:rsid w:val="003117F6"/>
    <w:rsid w:val="003533B8"/>
    <w:rsid w:val="003626A0"/>
    <w:rsid w:val="003752BE"/>
    <w:rsid w:val="003A346A"/>
    <w:rsid w:val="003A50A4"/>
    <w:rsid w:val="003B2917"/>
    <w:rsid w:val="003B3DAB"/>
    <w:rsid w:val="003B541B"/>
    <w:rsid w:val="003E2B2F"/>
    <w:rsid w:val="003E6046"/>
    <w:rsid w:val="003F16F9"/>
    <w:rsid w:val="003F7F38"/>
    <w:rsid w:val="004032EA"/>
    <w:rsid w:val="00411C41"/>
    <w:rsid w:val="00430C1F"/>
    <w:rsid w:val="00442595"/>
    <w:rsid w:val="0045323E"/>
    <w:rsid w:val="00463549"/>
    <w:rsid w:val="00484A73"/>
    <w:rsid w:val="0049556E"/>
    <w:rsid w:val="004B0EE1"/>
    <w:rsid w:val="004D0D83"/>
    <w:rsid w:val="004E1DF1"/>
    <w:rsid w:val="004E5592"/>
    <w:rsid w:val="0050055B"/>
    <w:rsid w:val="005229DD"/>
    <w:rsid w:val="00524710"/>
    <w:rsid w:val="00555342"/>
    <w:rsid w:val="005560E2"/>
    <w:rsid w:val="005908A7"/>
    <w:rsid w:val="005A452E"/>
    <w:rsid w:val="005A6EE7"/>
    <w:rsid w:val="005E07F2"/>
    <w:rsid w:val="005F1A7B"/>
    <w:rsid w:val="00611EA1"/>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B0944"/>
    <w:rsid w:val="007D1D65"/>
    <w:rsid w:val="007E0A9E"/>
    <w:rsid w:val="007E5309"/>
    <w:rsid w:val="007F23FD"/>
    <w:rsid w:val="00800549"/>
    <w:rsid w:val="00800DE1"/>
    <w:rsid w:val="00806B12"/>
    <w:rsid w:val="00813F47"/>
    <w:rsid w:val="008450D6"/>
    <w:rsid w:val="00852D96"/>
    <w:rsid w:val="00856FCA"/>
    <w:rsid w:val="00857089"/>
    <w:rsid w:val="00873B8C"/>
    <w:rsid w:val="008773B0"/>
    <w:rsid w:val="00880E3B"/>
    <w:rsid w:val="008A405F"/>
    <w:rsid w:val="008C7F34"/>
    <w:rsid w:val="008E580C"/>
    <w:rsid w:val="0090047A"/>
    <w:rsid w:val="009158ED"/>
    <w:rsid w:val="00925026"/>
    <w:rsid w:val="00931264"/>
    <w:rsid w:val="00942A4B"/>
    <w:rsid w:val="00946EFE"/>
    <w:rsid w:val="00951572"/>
    <w:rsid w:val="00955EE1"/>
    <w:rsid w:val="00961D59"/>
    <w:rsid w:val="00972187"/>
    <w:rsid w:val="009B2D55"/>
    <w:rsid w:val="009C0343"/>
    <w:rsid w:val="009E0D11"/>
    <w:rsid w:val="00A24A16"/>
    <w:rsid w:val="00A37D14"/>
    <w:rsid w:val="00A6111E"/>
    <w:rsid w:val="00A6168B"/>
    <w:rsid w:val="00A62028"/>
    <w:rsid w:val="00A82D25"/>
    <w:rsid w:val="00AA59FD"/>
    <w:rsid w:val="00AA6236"/>
    <w:rsid w:val="00AB6AE7"/>
    <w:rsid w:val="00AB6D25"/>
    <w:rsid w:val="00AD21F5"/>
    <w:rsid w:val="00AF7D64"/>
    <w:rsid w:val="00B06225"/>
    <w:rsid w:val="00B23B31"/>
    <w:rsid w:val="00B23C7A"/>
    <w:rsid w:val="00B305F5"/>
    <w:rsid w:val="00B46FF9"/>
    <w:rsid w:val="00B75483"/>
    <w:rsid w:val="00B7679B"/>
    <w:rsid w:val="00BA7952"/>
    <w:rsid w:val="00BB44B4"/>
    <w:rsid w:val="00BE346D"/>
    <w:rsid w:val="00BF0BBF"/>
    <w:rsid w:val="00BF6C8A"/>
    <w:rsid w:val="00C05571"/>
    <w:rsid w:val="00C246CE"/>
    <w:rsid w:val="00C57FA2"/>
    <w:rsid w:val="00C70BA8"/>
    <w:rsid w:val="00C80257"/>
    <w:rsid w:val="00CC2E4D"/>
    <w:rsid w:val="00CC78A5"/>
    <w:rsid w:val="00CC7B16"/>
    <w:rsid w:val="00CE15FE"/>
    <w:rsid w:val="00CF61DD"/>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2338"/>
    <w:rsid w:val="00EE6B97"/>
    <w:rsid w:val="00F12C3B"/>
    <w:rsid w:val="00F26884"/>
    <w:rsid w:val="00F72ECC"/>
    <w:rsid w:val="00F8355F"/>
    <w:rsid w:val="00FA3196"/>
    <w:rsid w:val="00FB0C5D"/>
    <w:rsid w:val="00FC21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B2A84BD"/>
  <w15:docId w15:val="{3F342A0D-B9C0-4273-8D6E-44D462BE7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B094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0944"/>
    <w:rPr>
      <w:rFonts w:ascii="Calibri" w:hAnsi="Calibri" w:cs="Calibri"/>
      <w:noProof/>
      <w:lang w:val="en-US"/>
    </w:rPr>
  </w:style>
  <w:style w:type="paragraph" w:customStyle="1" w:styleId="EndNoteBibliography">
    <w:name w:val="EndNote Bibliography"/>
    <w:basedOn w:val="Normal"/>
    <w:link w:val="EndNoteBibliographyChar"/>
    <w:rsid w:val="007B0944"/>
    <w:rPr>
      <w:rFonts w:ascii="Calibri" w:hAnsi="Calibri" w:cs="Calibri"/>
      <w:noProof/>
      <w:lang w:val="en-US"/>
    </w:rPr>
  </w:style>
  <w:style w:type="character" w:customStyle="1" w:styleId="EndNoteBibliographyChar">
    <w:name w:val="EndNote Bibliography Char"/>
    <w:basedOn w:val="DefaultParagraphFont"/>
    <w:link w:val="EndNoteBibliography"/>
    <w:rsid w:val="007B094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131</TotalTime>
  <Pages>4</Pages>
  <Words>2330</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27</cp:revision>
  <cp:lastPrinted>2017-02-24T16:20:00Z</cp:lastPrinted>
  <dcterms:created xsi:type="dcterms:W3CDTF">2019-02-12T13:16:00Z</dcterms:created>
  <dcterms:modified xsi:type="dcterms:W3CDTF">2019-04-16T14:31:00Z</dcterms:modified>
</cp:coreProperties>
</file>