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57C98"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4114165</wp:posOffset>
            </wp:positionH>
            <wp:positionV relativeFrom="paragraph">
              <wp:posOffset>381000</wp:posOffset>
            </wp:positionV>
            <wp:extent cx="1588135" cy="1712005"/>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nd draw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135" cy="1712005"/>
                    </a:xfrm>
                    <a:prstGeom prst="rect">
                      <a:avLst/>
                    </a:prstGeom>
                  </pic:spPr>
                </pic:pic>
              </a:graphicData>
            </a:graphic>
            <wp14:sizeRelH relativeFrom="margin">
              <wp14:pctWidth>0</wp14:pctWidth>
            </wp14:sizeRelH>
            <wp14:sizeRelV relativeFrom="margin">
              <wp14:pctHeight>0</wp14:pctHeight>
            </wp14:sizeRelV>
          </wp:anchor>
        </w:drawing>
      </w:r>
      <w:r w:rsidR="00BF4A55" w:rsidRPr="00BF4A55">
        <w:rPr>
          <w:b/>
          <w:sz w:val="44"/>
          <w:szCs w:val="44"/>
        </w:rPr>
        <w:t>Healthy body</w:t>
      </w:r>
    </w:p>
    <w:p w:rsidR="00201AC2" w:rsidRDefault="00201AC2" w:rsidP="00201AC2">
      <w:pPr>
        <w:spacing w:after="180"/>
      </w:pPr>
    </w:p>
    <w:p w:rsidR="00201AC2" w:rsidRDefault="00D57C98" w:rsidP="009443F0">
      <w:pPr>
        <w:spacing w:after="180"/>
        <w:ind w:right="3214"/>
      </w:pPr>
      <w:r>
        <w:t>Think about thing</w:t>
      </w:r>
      <w:r w:rsidR="009443F0">
        <w:t xml:space="preserve">s </w:t>
      </w:r>
      <w:r>
        <w:t xml:space="preserve">you can do </w:t>
      </w:r>
      <w:r w:rsidR="009443F0">
        <w:t>that affect the health of</w:t>
      </w:r>
      <w:r>
        <w:t xml:space="preserve"> your</w:t>
      </w:r>
      <w:r w:rsidR="009443F0">
        <w:t xml:space="preserve"> </w:t>
      </w:r>
      <w:r>
        <w:t>body</w:t>
      </w:r>
      <w:r w:rsidR="009443F0">
        <w:t>.</w:t>
      </w:r>
      <w:r>
        <w:t xml:space="preserve"> </w:t>
      </w:r>
    </w:p>
    <w:p w:rsidR="00D57C98" w:rsidRDefault="00D57C98" w:rsidP="009443F0">
      <w:pPr>
        <w:spacing w:after="180"/>
        <w:ind w:right="3214"/>
      </w:pPr>
    </w:p>
    <w:p w:rsidR="00D57C98" w:rsidRPr="009443F0" w:rsidRDefault="00D57C98" w:rsidP="009443F0">
      <w:pPr>
        <w:spacing w:after="240"/>
        <w:ind w:right="3214"/>
        <w:rPr>
          <w:b/>
        </w:rPr>
      </w:pPr>
      <w:r>
        <w:t xml:space="preserve">Draw a picture of you </w:t>
      </w:r>
      <w:r w:rsidR="009443F0">
        <w:t>doing something that is</w:t>
      </w:r>
      <w:r>
        <w:t xml:space="preserve"> </w:t>
      </w:r>
      <w:r w:rsidRPr="009443F0">
        <w:rPr>
          <w:b/>
        </w:rPr>
        <w:t>healthy</w:t>
      </w:r>
      <w:r w:rsidR="009443F0" w:rsidRPr="009443F0">
        <w:t xml:space="preserve"> for your body.</w:t>
      </w:r>
    </w:p>
    <w:p w:rsidR="00D57C98" w:rsidRDefault="00D57C98" w:rsidP="009443F0">
      <w:pPr>
        <w:spacing w:after="240"/>
        <w:ind w:right="3214"/>
      </w:pPr>
    </w:p>
    <w:tbl>
      <w:tblPr>
        <w:tblStyle w:val="TableGrid"/>
        <w:tblW w:w="0" w:type="auto"/>
        <w:tblLook w:val="04A0" w:firstRow="1" w:lastRow="0" w:firstColumn="1" w:lastColumn="0" w:noHBand="0" w:noVBand="1"/>
      </w:tblPr>
      <w:tblGrid>
        <w:gridCol w:w="9016"/>
      </w:tblGrid>
      <w:tr w:rsidR="00D57C98" w:rsidTr="00D57C98">
        <w:tc>
          <w:tcPr>
            <w:tcW w:w="9016" w:type="dxa"/>
          </w:tcPr>
          <w:p w:rsidR="00D57C98" w:rsidRPr="00D57C98" w:rsidRDefault="00D57C98" w:rsidP="00D57C98">
            <w:pPr>
              <w:spacing w:before="120" w:after="240"/>
              <w:jc w:val="center"/>
              <w:rPr>
                <w:b/>
                <w:szCs w:val="18"/>
              </w:rPr>
            </w:pPr>
            <w:r w:rsidRPr="00D57C98">
              <w:rPr>
                <w:b/>
                <w:szCs w:val="18"/>
              </w:rPr>
              <w:t xml:space="preserve">Me </w:t>
            </w:r>
            <w:r w:rsidR="009443F0" w:rsidRPr="009443F0">
              <w:rPr>
                <w:b/>
                <w:szCs w:val="18"/>
              </w:rPr>
              <w:t xml:space="preserve">doing something that is </w:t>
            </w:r>
            <w:r w:rsidR="009443F0" w:rsidRPr="009443F0">
              <w:rPr>
                <w:b/>
                <w:szCs w:val="18"/>
                <w:u w:val="single"/>
              </w:rPr>
              <w:t>healthy</w:t>
            </w:r>
            <w:r w:rsidR="009443F0" w:rsidRPr="009443F0">
              <w:rPr>
                <w:b/>
                <w:szCs w:val="18"/>
              </w:rPr>
              <w:t xml:space="preserve"> for </w:t>
            </w:r>
            <w:r w:rsidR="009443F0">
              <w:rPr>
                <w:b/>
                <w:szCs w:val="18"/>
              </w:rPr>
              <w:t>my</w:t>
            </w:r>
            <w:r w:rsidR="009443F0" w:rsidRPr="009443F0">
              <w:rPr>
                <w:b/>
                <w:szCs w:val="18"/>
              </w:rPr>
              <w:t xml:space="preserve"> body</w:t>
            </w: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9443F0" w:rsidRDefault="009443F0" w:rsidP="006F3279">
            <w:pPr>
              <w:spacing w:after="240"/>
              <w:rPr>
                <w:szCs w:val="18"/>
              </w:rPr>
            </w:pPr>
          </w:p>
          <w:p w:rsidR="009443F0" w:rsidRDefault="009443F0"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p w:rsidR="00D57C98" w:rsidRDefault="00D57C98" w:rsidP="006F3279">
            <w:pPr>
              <w:spacing w:after="240"/>
              <w:rPr>
                <w:szCs w:val="18"/>
              </w:rPr>
            </w:pPr>
          </w:p>
        </w:tc>
      </w:tr>
    </w:tbl>
    <w:p w:rsidR="00D57C98" w:rsidRPr="00201AC2" w:rsidRDefault="00D57C98" w:rsidP="006F3279">
      <w:pPr>
        <w:spacing w:after="240"/>
        <w:rPr>
          <w:szCs w:val="18"/>
        </w:rPr>
      </w:pPr>
    </w:p>
    <w:p w:rsidR="00201AC2" w:rsidRDefault="00201AC2" w:rsidP="006F3279">
      <w:pPr>
        <w:spacing w:after="240"/>
        <w:rPr>
          <w:szCs w:val="18"/>
        </w:rPr>
      </w:pPr>
    </w:p>
    <w:p w:rsidR="009443F0" w:rsidRDefault="009443F0" w:rsidP="006F3279">
      <w:pPr>
        <w:spacing w:after="240"/>
        <w:rPr>
          <w:szCs w:val="18"/>
        </w:rPr>
      </w:pPr>
      <w:r>
        <w:t xml:space="preserve">Now, draw a picture of you doing something that is </w:t>
      </w:r>
      <w:r w:rsidRPr="009443F0">
        <w:rPr>
          <w:b/>
        </w:rPr>
        <w:t>unhealthy</w:t>
      </w:r>
      <w:r w:rsidRPr="009443F0">
        <w:t xml:space="preserve"> for your body.</w:t>
      </w:r>
    </w:p>
    <w:p w:rsidR="009443F0" w:rsidRDefault="009443F0" w:rsidP="009443F0">
      <w:pPr>
        <w:spacing w:after="240"/>
        <w:ind w:right="3214"/>
      </w:pPr>
    </w:p>
    <w:tbl>
      <w:tblPr>
        <w:tblStyle w:val="TableGrid"/>
        <w:tblW w:w="0" w:type="auto"/>
        <w:tblLook w:val="04A0" w:firstRow="1" w:lastRow="0" w:firstColumn="1" w:lastColumn="0" w:noHBand="0" w:noVBand="1"/>
      </w:tblPr>
      <w:tblGrid>
        <w:gridCol w:w="9016"/>
      </w:tblGrid>
      <w:tr w:rsidR="009443F0" w:rsidTr="00703D1C">
        <w:tc>
          <w:tcPr>
            <w:tcW w:w="9016" w:type="dxa"/>
          </w:tcPr>
          <w:p w:rsidR="009443F0" w:rsidRPr="00D57C98" w:rsidRDefault="009443F0" w:rsidP="00703D1C">
            <w:pPr>
              <w:spacing w:before="120" w:after="240"/>
              <w:jc w:val="center"/>
              <w:rPr>
                <w:b/>
                <w:szCs w:val="18"/>
              </w:rPr>
            </w:pPr>
            <w:r w:rsidRPr="00D57C98">
              <w:rPr>
                <w:b/>
                <w:szCs w:val="18"/>
              </w:rPr>
              <w:t xml:space="preserve">Me </w:t>
            </w:r>
            <w:r w:rsidRPr="009443F0">
              <w:rPr>
                <w:b/>
                <w:szCs w:val="18"/>
              </w:rPr>
              <w:t xml:space="preserve">doing something that is </w:t>
            </w:r>
            <w:r w:rsidRPr="009443F0">
              <w:rPr>
                <w:b/>
                <w:szCs w:val="18"/>
                <w:u w:val="single"/>
              </w:rPr>
              <w:t>unhealthy</w:t>
            </w:r>
            <w:r w:rsidRPr="009443F0">
              <w:rPr>
                <w:b/>
                <w:szCs w:val="18"/>
              </w:rPr>
              <w:t xml:space="preserve"> for </w:t>
            </w:r>
            <w:r>
              <w:rPr>
                <w:b/>
                <w:szCs w:val="18"/>
              </w:rPr>
              <w:t>my</w:t>
            </w:r>
            <w:r w:rsidRPr="009443F0">
              <w:rPr>
                <w:b/>
                <w:szCs w:val="18"/>
              </w:rPr>
              <w:t xml:space="preserve"> body</w:t>
            </w: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p w:rsidR="009443F0" w:rsidRDefault="009443F0" w:rsidP="00703D1C">
            <w:pPr>
              <w:spacing w:after="240"/>
              <w:rPr>
                <w:szCs w:val="18"/>
              </w:rPr>
            </w:pPr>
          </w:p>
        </w:tc>
      </w:tr>
    </w:tbl>
    <w:p w:rsidR="009443F0" w:rsidRPr="00201AC2" w:rsidRDefault="009443F0" w:rsidP="009443F0">
      <w:pPr>
        <w:spacing w:after="240"/>
        <w:rPr>
          <w:szCs w:val="18"/>
        </w:rPr>
      </w:pPr>
    </w:p>
    <w:p w:rsidR="009443F0" w:rsidRPr="00201AC2" w:rsidRDefault="009443F0" w:rsidP="006F3279">
      <w:pPr>
        <w:spacing w:after="240"/>
        <w:rPr>
          <w:szCs w:val="18"/>
        </w:rPr>
      </w:pPr>
    </w:p>
    <w:p w:rsidR="00201AC2" w:rsidRDefault="00201AC2" w:rsidP="006F3279">
      <w:pPr>
        <w:spacing w:after="240"/>
        <w:rPr>
          <w:szCs w:val="18"/>
        </w:rPr>
      </w:pPr>
    </w:p>
    <w:p w:rsidR="009443F0" w:rsidRPr="00201AC2" w:rsidRDefault="009443F0" w:rsidP="006F3279">
      <w:pPr>
        <w:spacing w:after="240"/>
        <w:rPr>
          <w:szCs w:val="18"/>
        </w:rPr>
        <w:sectPr w:rsidR="009443F0"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7C6D78"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F4A55" w:rsidP="006F3279">
            <w:pPr>
              <w:spacing w:after="60"/>
              <w:ind w:left="1304"/>
              <w:rPr>
                <w:b/>
                <w:sz w:val="40"/>
                <w:szCs w:val="40"/>
              </w:rPr>
            </w:pPr>
            <w:r w:rsidRPr="00BF4A55">
              <w:rPr>
                <w:b/>
                <w:sz w:val="40"/>
                <w:szCs w:val="40"/>
              </w:rPr>
              <w:t>Healthy body</w:t>
            </w:r>
          </w:p>
        </w:tc>
      </w:tr>
    </w:tbl>
    <w:p w:rsidR="006F3279" w:rsidRDefault="006F3279" w:rsidP="00242827">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C79B3" w:rsidP="0007651D">
            <w:pPr>
              <w:spacing w:before="60" w:after="60"/>
            </w:pPr>
            <w:r w:rsidRPr="00EC79B3">
              <w:t>The physical health and the mental health of an organism can range from good to ill, and are affected by numerous factors.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C79B3" w:rsidP="0007651D">
            <w:pPr>
              <w:spacing w:before="60" w:after="60"/>
              <w:rPr>
                <w:b/>
              </w:rPr>
            </w:pPr>
            <w:r w:rsidRPr="00EC79B3">
              <w:t>Identify factors associated with good and ill physical health in humans, other animals, and plants.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EC79B3" w:rsidP="0021607B">
            <w:pPr>
              <w:spacing w:before="60" w:after="60"/>
            </w:pPr>
            <w:r w:rsidRPr="00EC79B3">
              <w:t>Drawing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2035F" w:rsidP="000505CA">
            <w:pPr>
              <w:spacing w:before="60" w:after="60"/>
            </w:pPr>
            <w:r w:rsidRPr="00A2035F">
              <w:t>Health, disease</w:t>
            </w:r>
          </w:p>
        </w:tc>
      </w:tr>
    </w:tbl>
    <w:p w:rsidR="00E172C6" w:rsidRDefault="00E172C6" w:rsidP="00242827">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593786"/>
    <w:p w:rsidR="00C05571" w:rsidRPr="005B372A" w:rsidRDefault="00BB44B4" w:rsidP="00242827">
      <w:pPr>
        <w:spacing w:after="180"/>
        <w:rPr>
          <w:b/>
          <w:color w:val="538135"/>
          <w:sz w:val="24"/>
        </w:rPr>
      </w:pPr>
      <w:r w:rsidRPr="005B372A">
        <w:rPr>
          <w:b/>
          <w:color w:val="538135"/>
          <w:sz w:val="24"/>
        </w:rPr>
        <w:t>What does the research say</w:t>
      </w:r>
      <w:r w:rsidR="00C05571" w:rsidRPr="005B372A">
        <w:rPr>
          <w:b/>
          <w:color w:val="538135"/>
          <w:sz w:val="24"/>
        </w:rPr>
        <w:t>?</w:t>
      </w:r>
    </w:p>
    <w:p w:rsidR="0062304E" w:rsidRDefault="00D81365" w:rsidP="00242827">
      <w:pPr>
        <w:spacing w:after="180"/>
      </w:pPr>
      <w:r>
        <w:t xml:space="preserve">Research suggests that children up to age 11 primarily equate healthiness with eating a healthy diet and being physically active </w:t>
      </w:r>
      <w:r>
        <w:fldChar w:fldCharType="begin"/>
      </w:r>
      <w:r>
        <w:instrText xml:space="preserve"> ADDIN EN.CITE &lt;EndNote&gt;&lt;Cite&gt;&lt;Author&gt;Hesketh&lt;/Author&gt;&lt;Year&gt;2005&lt;/Year&gt;&lt;IDText&gt;Healthy eating, activity and obesity prevention: a qualitative study of parent and child perceptions in Australia&lt;/IDText&gt;&lt;DisplayText&gt;(Hesketh et al., 2005; Protudjer et al., 2010)&lt;/DisplayText&gt;&lt;record&gt;&lt;titles&gt;&lt;title&gt;Healthy eating, activity and obesity prevention: a qualitative study of parent and child perceptions in Australia&lt;/title&gt;&lt;secondary-title&gt;Health Promotion International&lt;/secondary-title&gt;&lt;/titles&gt;&lt;pages&gt;19-26&lt;/pages&gt;&lt;number&gt;1&lt;/number&gt;&lt;contributors&gt;&lt;authors&gt;&lt;author&gt;Hesketh, K.&lt;/author&gt;&lt;author&gt;Waters, E.&lt;/author&gt;&lt;author&gt;Green, J.&lt;/author&gt;&lt;author&gt;Salmon, L.&lt;/author&gt;&lt;author&gt;Williams, J.&lt;/author&gt;&lt;/authors&gt;&lt;/contributors&gt;&lt;added-date format="utc"&gt;1549724911&lt;/added-date&gt;&lt;ref-type name="Journal Article"&gt;17&lt;/ref-type&gt;&lt;dates&gt;&lt;year&gt;2005&lt;/year&gt;&lt;/dates&gt;&lt;rec-number&gt;8583&lt;/rec-number&gt;&lt;last-updated-date format="utc"&gt;1549724989&lt;/last-updated-date&gt;&lt;volume&gt;20&lt;/volume&gt;&lt;/record&gt;&lt;/Cite&gt;&lt;Cite&gt;&lt;Author&gt;Protudjer&lt;/Author&gt;&lt;Year&gt;2010&lt;/Year&gt;&lt;IDText&gt;Children’s perceptions of healthful eating and physical activity&lt;/IDText&gt;&lt;record&gt;&lt;titles&gt;&lt;title&gt;Children’s perceptions of healthful eating and physical activity&lt;/title&gt;&lt;secondary-title&gt;Canadian Journal of Dietetic Practice and Research&lt;/secondary-title&gt;&lt;/titles&gt;&lt;pages&gt;19-23&lt;/pages&gt;&lt;number&gt;1&lt;/number&gt;&lt;contributors&gt;&lt;authors&gt;&lt;author&gt;Protudjer, J.L.P.&lt;/author&gt;&lt;author&gt;Marchessault, G.&lt;/author&gt;&lt;author&gt;Kozyrskyj, A.L.&lt;/author&gt;&lt;author&gt;Becker, A.B.&lt;/author&gt;&lt;/authors&gt;&lt;/contributors&gt;&lt;added-date format="utc"&gt;1549725036&lt;/added-date&gt;&lt;ref-type name="Journal Article"&gt;17&lt;/ref-type&gt;&lt;dates&gt;&lt;year&gt;2010&lt;/year&gt;&lt;/dates&gt;&lt;rec-number&gt;8584&lt;/rec-number&gt;&lt;last-updated-date format="utc"&gt;1549725104&lt;/last-updated-date&gt;&lt;volume&gt;71&lt;/volume&gt;&lt;/record&gt;&lt;/Cite&gt;&lt;/EndNote&gt;</w:instrText>
      </w:r>
      <w:r>
        <w:fldChar w:fldCharType="separate"/>
      </w:r>
      <w:r>
        <w:rPr>
          <w:noProof/>
        </w:rPr>
        <w:t>(Hesketh et al., 2005; Protudjer et al., 2010)</w:t>
      </w:r>
      <w:r>
        <w:fldChar w:fldCharType="end"/>
      </w:r>
      <w:r w:rsidR="0062304E">
        <w:t>.</w:t>
      </w:r>
    </w:p>
    <w:p w:rsidR="00C05571" w:rsidRDefault="00242827" w:rsidP="00242827">
      <w:pPr>
        <w:spacing w:after="180"/>
      </w:pPr>
      <w:r>
        <w:t xml:space="preserve">When children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14-15 in Turkey </w:t>
      </w:r>
      <w:r>
        <w:fldChar w:fldCharType="begin"/>
      </w:r>
      <w:r>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fldChar w:fldCharType="separate"/>
      </w:r>
      <w:r>
        <w:rPr>
          <w:noProof/>
        </w:rPr>
        <w:t>(Çetin et al., 2013)</w:t>
      </w:r>
      <w:r>
        <w:fldChar w:fldCharType="end"/>
      </w:r>
      <w:r>
        <w:t xml:space="preserve"> were asked to draw and write about healthy and unhealthy things, most of the students’ answers related to food and drink (over 60% in the US study) and physical activity. Emotional or mental health was not commonly depicted or described by the children up to age 11 (although depictions of healthy activities usually included people who were smiling), but featured more commonly in answers from the children aged 14-15. Ideas about social health and wellbeing were rarely seen. A separate study found that some adolescent children also referred to fresh air in relation to healthiness </w:t>
      </w:r>
      <w:r>
        <w:fldChar w:fldCharType="begin"/>
      </w:r>
      <w:r>
        <w:instrText xml:space="preserve"> ADDIN EN.CITE &lt;EndNote&gt;&lt;Cite&gt;&lt;Author&gt;O’Higgins&lt;/Author&gt;&lt;Year&gt;2010&lt;/Year&gt;&lt;IDText&gt;Adolescents’ perceptions of the words ‘health’ and ‘happy’&lt;/IDText&gt;&lt;DisplayText&gt;(O’Higgins, Sixsmith and Gabhainn, 2010)&lt;/DisplayText&gt;&lt;record&gt;&lt;titles&gt;&lt;title&gt;Adolescents’ perceptions of the words ‘health’ and ‘happy’&lt;/title&gt;&lt;secondary-title&gt;Health Education&lt;/secondary-title&gt;&lt;/titles&gt;&lt;pages&gt;367-381&lt;/pages&gt;&lt;number&gt;5&lt;/number&gt;&lt;contributors&gt;&lt;authors&gt;&lt;author&gt;O’Higgins, S.&lt;/author&gt;&lt;author&gt;Sixsmith, J.&lt;/author&gt;&lt;author&gt;Gabhainn, S.N.&lt;/author&gt;&lt;/authors&gt;&lt;/contributors&gt;&lt;added-date format="utc"&gt;1549725541&lt;/added-date&gt;&lt;ref-type name="Journal Article"&gt;17&lt;/ref-type&gt;&lt;dates&gt;&lt;year&gt;2010&lt;/year&gt;&lt;/dates&gt;&lt;rec-number&gt;8585&lt;/rec-number&gt;&lt;last-updated-date format="utc"&gt;1549725596&lt;/last-updated-date&gt;&lt;volume&gt;110&lt;/volume&gt;&lt;/record&gt;&lt;/Cite&gt;&lt;/EndNote&gt;</w:instrText>
      </w:r>
      <w:r>
        <w:fldChar w:fldCharType="separate"/>
      </w:r>
      <w:r>
        <w:rPr>
          <w:noProof/>
        </w:rPr>
        <w:t>(O’Higgins, Sixsmith and Gabhainn, 2010)</w:t>
      </w:r>
      <w:r>
        <w:fldChar w:fldCharType="end"/>
      </w:r>
      <w:r>
        <w:t>.</w:t>
      </w:r>
    </w:p>
    <w:p w:rsidR="0062304E" w:rsidRDefault="00A27080" w:rsidP="00242827">
      <w:pPr>
        <w:spacing w:after="180"/>
      </w:pPr>
      <w:r>
        <w:t>Asking children to draw, discuss and write is an established technique for probing their understanding of health and disease</w:t>
      </w:r>
      <w:r w:rsidR="00242827">
        <w:t>, which has been said to enhance participation by children</w:t>
      </w:r>
      <w:r>
        <w:t xml:space="preserve">; the drawing aspect in particular enables children to convey personal preferences and concepts that may be beyond their current vocabulary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rsidR="00242827">
        <w:instrText xml:space="preserve"> ADDIN EN.CITE </w:instrText>
      </w:r>
      <w:r w:rsidR="00242827">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rsidR="00242827">
        <w:instrText xml:space="preserve"> ADDIN EN.CITE.DATA </w:instrText>
      </w:r>
      <w:r w:rsidR="00242827">
        <w:fldChar w:fldCharType="end"/>
      </w:r>
      <w:r>
        <w:fldChar w:fldCharType="separate"/>
      </w:r>
      <w:r w:rsidR="00242827">
        <w:rPr>
          <w:noProof/>
        </w:rPr>
        <w:t>(Wetton and McWhirter, 1998; Backett-Milburn and McKie, 1999; Harrison, 2002)</w:t>
      </w:r>
      <w:r>
        <w:fldChar w:fldCharType="end"/>
      </w:r>
      <w:r>
        <w:t>.</w:t>
      </w:r>
    </w:p>
    <w:p w:rsidR="007A748B" w:rsidRPr="00D57C98" w:rsidRDefault="007A748B" w:rsidP="00242827">
      <w:pPr>
        <w:spacing w:after="180"/>
        <w:rPr>
          <w:b/>
          <w:color w:val="538135"/>
          <w:sz w:val="24"/>
        </w:rPr>
      </w:pPr>
      <w:r w:rsidRPr="00D57C98">
        <w:rPr>
          <w:b/>
          <w:color w:val="538135"/>
          <w:sz w:val="24"/>
        </w:rPr>
        <w:t xml:space="preserve">Ways to use this </w:t>
      </w:r>
      <w:r w:rsidR="00641E99" w:rsidRPr="00D57C98">
        <w:rPr>
          <w:b/>
          <w:color w:val="538135"/>
          <w:sz w:val="24"/>
        </w:rPr>
        <w:t>question</w:t>
      </w:r>
    </w:p>
    <w:p w:rsidR="00FD60D7" w:rsidRDefault="00D57C98" w:rsidP="00242827">
      <w:pPr>
        <w:spacing w:after="180"/>
      </w:pPr>
      <w:r w:rsidRPr="00D57C98">
        <w:t xml:space="preserve">Students should complete </w:t>
      </w:r>
      <w:r>
        <w:t>the drawing tasks individually (the drawings will be discussed in small groups in the response activity ‘</w:t>
      </w:r>
      <w:r w:rsidR="00E84F22">
        <w:t>Improving p</w:t>
      </w:r>
      <w:r>
        <w:t>hysical health’).</w:t>
      </w:r>
      <w:r w:rsidR="00593786">
        <w:t xml:space="preserve"> To </w:t>
      </w:r>
      <w:r w:rsidR="008D2146">
        <w:t>reduce</w:t>
      </w:r>
      <w:r w:rsidR="00593786">
        <w:t xml:space="preserve"> sensitivities when the drawings are shared, students could be told </w:t>
      </w:r>
      <w:r w:rsidR="00593786" w:rsidRPr="00593786">
        <w:rPr>
          <w:b/>
        </w:rPr>
        <w:t>not</w:t>
      </w:r>
      <w:r w:rsidR="00593786">
        <w:t xml:space="preserve"> to put their names on their drawings.</w:t>
      </w:r>
    </w:p>
    <w:p w:rsidR="00D57C98" w:rsidRPr="00D57C98" w:rsidRDefault="00D57C98" w:rsidP="00242827">
      <w:pPr>
        <w:spacing w:after="180"/>
        <w:rPr>
          <w:i/>
        </w:rPr>
      </w:pPr>
      <w:r w:rsidRPr="00D57C98">
        <w:rPr>
          <w:i/>
        </w:rPr>
        <w:t>Differentiation</w:t>
      </w:r>
    </w:p>
    <w:p w:rsidR="00D57C98" w:rsidRPr="00D57C98" w:rsidRDefault="00894606" w:rsidP="00242827">
      <w:pPr>
        <w:spacing w:after="180"/>
      </w:pPr>
      <w:r>
        <w:t xml:space="preserve">In some cases it may be helpful to prompt students to think about things they do </w:t>
      </w:r>
      <w:r w:rsidR="00DF6651">
        <w:t>on</w:t>
      </w:r>
      <w:r>
        <w:t xml:space="preserve"> a healthy day, or things they have been told to do (by parents</w:t>
      </w:r>
      <w:r w:rsidR="00DF6651">
        <w:t>/</w:t>
      </w:r>
      <w:r>
        <w:t>teachers</w:t>
      </w:r>
      <w:r w:rsidR="00DF6651">
        <w:t>/</w:t>
      </w:r>
      <w:r>
        <w:t>TV</w:t>
      </w:r>
      <w:r w:rsidR="00DF6651">
        <w:t>/</w:t>
      </w:r>
      <w:r>
        <w:t>books) that are good for their health.</w:t>
      </w:r>
    </w:p>
    <w:p w:rsidR="00BB44B4" w:rsidRPr="00F26884" w:rsidRDefault="00FD60D7" w:rsidP="00242827">
      <w:pPr>
        <w:spacing w:after="180"/>
        <w:rPr>
          <w:b/>
          <w:color w:val="76923C" w:themeColor="accent3" w:themeShade="BF"/>
          <w:sz w:val="24"/>
        </w:rPr>
      </w:pPr>
      <w:r w:rsidRPr="00D57C98">
        <w:rPr>
          <w:b/>
          <w:color w:val="538135"/>
          <w:sz w:val="24"/>
        </w:rPr>
        <w:lastRenderedPageBreak/>
        <w:t>Equipment</w:t>
      </w:r>
    </w:p>
    <w:p w:rsidR="00FD60D7" w:rsidRDefault="00FD60D7" w:rsidP="00242827">
      <w:pPr>
        <w:spacing w:after="180"/>
      </w:pPr>
      <w:r w:rsidRPr="00C57FA2">
        <w:t>For each student:</w:t>
      </w:r>
    </w:p>
    <w:p w:rsidR="00593786" w:rsidRDefault="00593786" w:rsidP="00242827">
      <w:pPr>
        <w:pStyle w:val="ListParagraph"/>
        <w:numPr>
          <w:ilvl w:val="0"/>
          <w:numId w:val="1"/>
        </w:numPr>
        <w:spacing w:after="180"/>
      </w:pPr>
      <w:r>
        <w:t>pencils, pens or crayons</w:t>
      </w:r>
    </w:p>
    <w:p w:rsidR="00EC79B3" w:rsidRDefault="00EC79B3" w:rsidP="00242827">
      <w:pPr>
        <w:pStyle w:val="ListParagraph"/>
        <w:numPr>
          <w:ilvl w:val="0"/>
          <w:numId w:val="1"/>
        </w:numPr>
        <w:spacing w:after="180"/>
      </w:pPr>
      <w:r>
        <w:t>paper (if not drawing on the student worksheet)</w:t>
      </w:r>
    </w:p>
    <w:p w:rsidR="00E172C6" w:rsidRPr="005B372A" w:rsidRDefault="00BB44B4" w:rsidP="00242827">
      <w:pPr>
        <w:spacing w:after="180"/>
        <w:rPr>
          <w:b/>
          <w:color w:val="538135"/>
          <w:sz w:val="24"/>
        </w:rPr>
      </w:pPr>
      <w:r w:rsidRPr="005B372A">
        <w:rPr>
          <w:b/>
          <w:color w:val="538135"/>
          <w:sz w:val="24"/>
        </w:rPr>
        <w:t>Expected answers</w:t>
      </w:r>
    </w:p>
    <w:p w:rsidR="00BF6C8A" w:rsidRDefault="009F356D" w:rsidP="00242827">
      <w:pPr>
        <w:spacing w:after="180"/>
      </w:pPr>
      <w:r>
        <w:t xml:space="preserve">There is likely to be a wide range of depictions, but </w:t>
      </w:r>
      <w:r w:rsidR="00DE2716">
        <w:t xml:space="preserve">in the studies by </w:t>
      </w:r>
      <w:r w:rsidR="00DE2716" w:rsidRPr="00DE2716">
        <w:t xml:space="preserve">Reeve </w:t>
      </w:r>
      <w:r w:rsidR="00DE2716">
        <w:t>&amp;</w:t>
      </w:r>
      <w:r w:rsidR="00DE2716" w:rsidRPr="00DE2716">
        <w:t xml:space="preserve"> Bell</w:t>
      </w:r>
      <w:r w:rsidR="00DE2716">
        <w:t xml:space="preserve"> and </w:t>
      </w:r>
      <w:proofErr w:type="spellStart"/>
      <w:r w:rsidR="00DE2716">
        <w:t>Brindal</w:t>
      </w:r>
      <w:proofErr w:type="spellEnd"/>
      <w:r w:rsidR="00DE2716" w:rsidRPr="00DE2716">
        <w:t xml:space="preserve"> </w:t>
      </w:r>
      <w:r w:rsidR="00171028">
        <w:t xml:space="preserve">et al. </w:t>
      </w:r>
      <w:r>
        <w:t xml:space="preserve">most </w:t>
      </w:r>
      <w:r w:rsidR="00DE2716">
        <w:t>drawings were categorised as relating</w:t>
      </w:r>
      <w:r w:rsidR="00534190">
        <w:t xml:space="preserve"> to</w:t>
      </w:r>
      <w:r w:rsidR="00DE2716">
        <w:t xml:space="preserve"> either</w:t>
      </w:r>
      <w:r w:rsidR="00534190">
        <w:t xml:space="preserve"> dietary habits or physical activity</w:t>
      </w:r>
      <w:r w:rsidR="00DE2716">
        <w:t>; very few children drew pictures related to both</w:t>
      </w:r>
      <w:r w:rsidR="00534190">
        <w:t>.</w:t>
      </w:r>
      <w:r w:rsidR="00097D91">
        <w:t xml:space="preserve"> Depictions of hygiene may also be seen.</w:t>
      </w:r>
    </w:p>
    <w:p w:rsidR="00534190" w:rsidRDefault="00534190" w:rsidP="00242827">
      <w:pPr>
        <w:spacing w:after="180"/>
        <w:jc w:val="center"/>
      </w:pPr>
      <w:r>
        <w:rPr>
          <w:noProof/>
          <w:lang w:eastAsia="en-GB"/>
        </w:rPr>
        <w:drawing>
          <wp:inline distT="0" distB="0" distL="0" distR="0">
            <wp:extent cx="2471163" cy="2052000"/>
            <wp:effectExtent l="19050" t="19050" r="24765"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rindal_drawing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1163" cy="2052000"/>
                    </a:xfrm>
                    <a:prstGeom prst="rect">
                      <a:avLst/>
                    </a:prstGeom>
                    <a:ln>
                      <a:solidFill>
                        <a:schemeClr val="bg1">
                          <a:lumMod val="65000"/>
                        </a:schemeClr>
                      </a:solidFill>
                    </a:ln>
                  </pic:spPr>
                </pic:pic>
              </a:graphicData>
            </a:graphic>
          </wp:inline>
        </w:drawing>
      </w:r>
      <w:r>
        <w:t xml:space="preserve">          </w:t>
      </w:r>
      <w:r>
        <w:rPr>
          <w:noProof/>
          <w:lang w:eastAsia="en-GB"/>
        </w:rPr>
        <w:drawing>
          <wp:inline distT="0" distB="0" distL="0" distR="0">
            <wp:extent cx="2471160" cy="2052000"/>
            <wp:effectExtent l="19050" t="19050" r="2476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rindal_drawing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71160" cy="2052000"/>
                    </a:xfrm>
                    <a:prstGeom prst="rect">
                      <a:avLst/>
                    </a:prstGeom>
                    <a:ln>
                      <a:solidFill>
                        <a:schemeClr val="bg1">
                          <a:lumMod val="65000"/>
                        </a:schemeClr>
                      </a:solidFill>
                    </a:ln>
                  </pic:spPr>
                </pic:pic>
              </a:graphicData>
            </a:graphic>
          </wp:inline>
        </w:drawing>
      </w:r>
    </w:p>
    <w:p w:rsidR="00534190" w:rsidRPr="00534190" w:rsidRDefault="00534190" w:rsidP="00242827">
      <w:pPr>
        <w:spacing w:after="180"/>
        <w:jc w:val="center"/>
        <w:rPr>
          <w:i/>
        </w:rPr>
      </w:pPr>
      <w:r w:rsidRPr="00534190">
        <w:rPr>
          <w:i/>
        </w:rPr>
        <w:t>Example</w:t>
      </w:r>
      <w:r w:rsidR="007D6BCF">
        <w:rPr>
          <w:i/>
        </w:rPr>
        <w:t>s</w:t>
      </w:r>
      <w:r w:rsidRPr="00534190">
        <w:rPr>
          <w:i/>
        </w:rPr>
        <w:t xml:space="preserve"> of children’s drawings</w:t>
      </w:r>
      <w:r w:rsidR="007D6BCF">
        <w:rPr>
          <w:i/>
        </w:rPr>
        <w:t xml:space="preserve"> on the theme “Me being healthy”</w:t>
      </w:r>
      <w:r w:rsidRPr="00534190">
        <w:rPr>
          <w:i/>
        </w:rPr>
        <w:t xml:space="preserve"> </w:t>
      </w:r>
      <w:r w:rsidRPr="00534190">
        <w:rPr>
          <w:i/>
        </w:rPr>
        <w:fldChar w:fldCharType="begin"/>
      </w:r>
      <w:r w:rsidRPr="00534190">
        <w:rPr>
          <w:i/>
        </w:rPr>
        <w:instrText xml:space="preserve"> ADDIN EN.CITE &lt;EndNote&gt;&lt;Cite&gt;&lt;Author&gt;Brindal&lt;/Author&gt;&lt;Year&gt;2012&lt;/Year&gt;&lt;IDText&gt;How do Australian junior primary school children perceive the concepts of &amp;quot;healthy&amp;quot; and &amp;quot;unhealthy&amp;quot;?&lt;/IDText&gt;&lt;Prefix&gt;from &lt;/Prefix&gt;&lt;DisplayText&gt;(from 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rsidRPr="00534190">
        <w:rPr>
          <w:i/>
        </w:rPr>
        <w:fldChar w:fldCharType="separate"/>
      </w:r>
      <w:r w:rsidRPr="00534190">
        <w:rPr>
          <w:i/>
          <w:noProof/>
        </w:rPr>
        <w:t>(from Brindal et al., 2012)</w:t>
      </w:r>
      <w:r w:rsidRPr="00534190">
        <w:rPr>
          <w:i/>
        </w:rPr>
        <w:fldChar w:fldCharType="end"/>
      </w:r>
    </w:p>
    <w:p w:rsidR="006A4440" w:rsidRPr="005B372A" w:rsidRDefault="004C5D20" w:rsidP="00242827">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BD6BC9" w:rsidP="00242827">
      <w:pPr>
        <w:spacing w:after="180"/>
        <w:rPr>
          <w:highlight w:val="yellow"/>
        </w:rPr>
      </w:pPr>
      <w:r w:rsidRPr="00BD6BC9">
        <w:t>Asking children to draw, discuss and write is an established technique for probing their understanding of health and disease (</w:t>
      </w:r>
      <w:proofErr w:type="spellStart"/>
      <w:r w:rsidRPr="00BD6BC9">
        <w:t>Wetton</w:t>
      </w:r>
      <w:proofErr w:type="spellEnd"/>
      <w:r w:rsidRPr="00BD6BC9">
        <w:t xml:space="preserve"> and </w:t>
      </w:r>
      <w:proofErr w:type="spellStart"/>
      <w:r w:rsidRPr="00BD6BC9">
        <w:t>McWhirter</w:t>
      </w:r>
      <w:proofErr w:type="spellEnd"/>
      <w:r w:rsidRPr="00BD6BC9">
        <w:t>, 1998; Harrison, 2002).</w:t>
      </w:r>
      <w:r>
        <w:t xml:space="preserve"> Th</w:t>
      </w:r>
      <w:r w:rsidR="00320549">
        <w:t>us</w:t>
      </w:r>
      <w:r>
        <w:t xml:space="preserve">, the drawings that students have produced could be used as the basis for small group discussions, which give students the opportunity to explore their thinking and </w:t>
      </w:r>
      <w:r w:rsidRPr="003F560D">
        <w:t xml:space="preserve">encourage social construction of new ideas </w:t>
      </w:r>
      <w:r>
        <w:t xml:space="preserve">(meaning making) </w:t>
      </w:r>
      <w:r w:rsidRPr="003F560D">
        <w:t>through dialogue.</w:t>
      </w:r>
    </w:p>
    <w:p w:rsidR="00B24F62" w:rsidRPr="00FB0C5D" w:rsidRDefault="00B24F62" w:rsidP="00242827">
      <w:pPr>
        <w:spacing w:after="180"/>
      </w:pPr>
      <w:r w:rsidRPr="00FB0C5D">
        <w:t xml:space="preserve">The following BEST ‘response </w:t>
      </w:r>
      <w:r w:rsidR="00641E99" w:rsidRPr="00FB0C5D">
        <w:t>activit</w:t>
      </w:r>
      <w:r w:rsidR="00D47069" w:rsidRPr="00FB0C5D">
        <w:t>y</w:t>
      </w:r>
      <w:r w:rsidRPr="00FB0C5D">
        <w:t xml:space="preserve">’ </w:t>
      </w:r>
      <w:r w:rsidR="00D47069" w:rsidRPr="00FB0C5D">
        <w:t xml:space="preserve">describes just such a small group discussion activity and </w:t>
      </w:r>
      <w:r w:rsidRPr="00FB0C5D">
        <w:t>could be used in follow-up to this diagnostic question:</w:t>
      </w:r>
    </w:p>
    <w:p w:rsidR="00B24F62" w:rsidRPr="00FB0C5D" w:rsidRDefault="00B24F62" w:rsidP="00242827">
      <w:pPr>
        <w:pStyle w:val="ListParagraph"/>
        <w:numPr>
          <w:ilvl w:val="0"/>
          <w:numId w:val="1"/>
        </w:numPr>
        <w:spacing w:after="180"/>
      </w:pPr>
      <w:r w:rsidRPr="00FB0C5D">
        <w:t xml:space="preserve">Response </w:t>
      </w:r>
      <w:r w:rsidR="00641E99" w:rsidRPr="00FB0C5D">
        <w:t>activity</w:t>
      </w:r>
      <w:r w:rsidR="00D47069" w:rsidRPr="00FB0C5D">
        <w:t xml:space="preserve">: </w:t>
      </w:r>
      <w:r w:rsidR="00FB0C5D" w:rsidRPr="00FB0C5D">
        <w:t>Improving p</w:t>
      </w:r>
      <w:r w:rsidR="00D47069" w:rsidRPr="00FB0C5D">
        <w:t>hysical health</w:t>
      </w:r>
    </w:p>
    <w:p w:rsidR="003117F6" w:rsidRPr="005B372A" w:rsidRDefault="00CC78A5" w:rsidP="00242827">
      <w:pPr>
        <w:spacing w:after="180"/>
        <w:rPr>
          <w:b/>
          <w:color w:val="538135"/>
          <w:sz w:val="24"/>
        </w:rPr>
      </w:pPr>
      <w:r w:rsidRPr="005B372A">
        <w:rPr>
          <w:b/>
          <w:color w:val="538135"/>
          <w:sz w:val="24"/>
        </w:rPr>
        <w:t>Acknowledgments</w:t>
      </w:r>
    </w:p>
    <w:p w:rsidR="00D278E8" w:rsidRPr="00242827" w:rsidRDefault="00D278E8" w:rsidP="00242827">
      <w:pPr>
        <w:spacing w:after="180"/>
      </w:pPr>
      <w:r w:rsidRPr="00242827">
        <w:t xml:space="preserve">Developed </w:t>
      </w:r>
      <w:r w:rsidR="0015356E" w:rsidRPr="00242827">
        <w:t xml:space="preserve">by </w:t>
      </w:r>
      <w:r w:rsidR="00A2035F" w:rsidRPr="00242827">
        <w:t>Alistair Moore</w:t>
      </w:r>
      <w:r w:rsidR="0015356E" w:rsidRPr="00242827">
        <w:t xml:space="preserve"> (UYSEG), </w:t>
      </w:r>
      <w:r w:rsidRPr="00242827">
        <w:t xml:space="preserve">from </w:t>
      </w:r>
      <w:r w:rsidR="00DE2716" w:rsidRPr="00242827">
        <w:t xml:space="preserve">techniques described by </w:t>
      </w:r>
      <w:proofErr w:type="spellStart"/>
      <w:r w:rsidR="00171028" w:rsidRPr="00242827">
        <w:t>Wetton</w:t>
      </w:r>
      <w:proofErr w:type="spellEnd"/>
      <w:r w:rsidR="00171028" w:rsidRPr="00242827">
        <w:t xml:space="preserve"> and </w:t>
      </w:r>
      <w:proofErr w:type="spellStart"/>
      <w:r w:rsidR="00171028" w:rsidRPr="00242827">
        <w:t>McWhirter</w:t>
      </w:r>
      <w:proofErr w:type="spellEnd"/>
      <w:r w:rsidR="00171028" w:rsidRPr="00242827">
        <w:t xml:space="preserve"> (1998), Harrison (2002), Reeve and Bell (2009), and </w:t>
      </w:r>
      <w:proofErr w:type="spellStart"/>
      <w:r w:rsidR="00171028" w:rsidRPr="00242827">
        <w:t>Brindal</w:t>
      </w:r>
      <w:proofErr w:type="spellEnd"/>
      <w:r w:rsidR="00171028" w:rsidRPr="00242827">
        <w:t xml:space="preserve"> et al. (2012)</w:t>
      </w:r>
      <w:r w:rsidRPr="00242827">
        <w:t>.</w:t>
      </w:r>
    </w:p>
    <w:p w:rsidR="00CC78A5" w:rsidRPr="00242827" w:rsidRDefault="00D278E8" w:rsidP="00242827">
      <w:pPr>
        <w:spacing w:after="180"/>
      </w:pPr>
      <w:r w:rsidRPr="00242827">
        <w:t xml:space="preserve">Images: </w:t>
      </w:r>
      <w:r w:rsidR="00DF6651" w:rsidRPr="00242827">
        <w:t xml:space="preserve">hand holding pencil - </w:t>
      </w:r>
      <w:r w:rsidR="00D81365" w:rsidRPr="00242827">
        <w:t>pixabay.com/</w:t>
      </w:r>
      <w:proofErr w:type="spellStart"/>
      <w:r w:rsidR="00D81365" w:rsidRPr="00242827">
        <w:t>HeatherPaque</w:t>
      </w:r>
      <w:proofErr w:type="spellEnd"/>
      <w:r w:rsidR="00D81365" w:rsidRPr="00242827">
        <w:t xml:space="preserve"> (1515895)</w:t>
      </w:r>
      <w:bookmarkStart w:id="0" w:name="_GoBack"/>
      <w:bookmarkEnd w:id="0"/>
    </w:p>
    <w:p w:rsidR="00B46FF9" w:rsidRDefault="003117F6" w:rsidP="00242827">
      <w:pPr>
        <w:spacing w:after="180"/>
        <w:rPr>
          <w:b/>
          <w:color w:val="538135"/>
          <w:sz w:val="24"/>
        </w:rPr>
      </w:pPr>
      <w:r w:rsidRPr="005B372A">
        <w:rPr>
          <w:b/>
          <w:color w:val="538135"/>
          <w:sz w:val="24"/>
        </w:rPr>
        <w:t>References</w:t>
      </w:r>
    </w:p>
    <w:p w:rsidR="00242827" w:rsidRPr="00242827" w:rsidRDefault="0062304E" w:rsidP="00242827">
      <w:pPr>
        <w:pStyle w:val="EndNoteBibliography"/>
        <w:spacing w:after="120"/>
        <w:rPr>
          <w:sz w:val="20"/>
          <w:szCs w:val="20"/>
        </w:rPr>
      </w:pPr>
      <w:r w:rsidRPr="00242827">
        <w:rPr>
          <w:sz w:val="20"/>
          <w:szCs w:val="20"/>
        </w:rPr>
        <w:fldChar w:fldCharType="begin"/>
      </w:r>
      <w:r w:rsidRPr="00242827">
        <w:rPr>
          <w:sz w:val="20"/>
          <w:szCs w:val="20"/>
        </w:rPr>
        <w:instrText xml:space="preserve"> ADDIN EN.REFLIST </w:instrText>
      </w:r>
      <w:r w:rsidRPr="00242827">
        <w:rPr>
          <w:sz w:val="20"/>
          <w:szCs w:val="20"/>
        </w:rPr>
        <w:fldChar w:fldCharType="separate"/>
      </w:r>
      <w:r w:rsidR="00242827" w:rsidRPr="00242827">
        <w:rPr>
          <w:sz w:val="20"/>
          <w:szCs w:val="20"/>
        </w:rPr>
        <w:t xml:space="preserve">Backett-Milburn, K. and McKie, L. (1999). A critical appraisal of the draw and write technique. </w:t>
      </w:r>
      <w:r w:rsidR="00242827" w:rsidRPr="00242827">
        <w:rPr>
          <w:i/>
          <w:sz w:val="20"/>
          <w:szCs w:val="20"/>
        </w:rPr>
        <w:t>Health Education Research,</w:t>
      </w:r>
      <w:r w:rsidR="00242827" w:rsidRPr="00242827">
        <w:rPr>
          <w:sz w:val="20"/>
          <w:szCs w:val="20"/>
        </w:rPr>
        <w:t xml:space="preserve"> 14(3)</w:t>
      </w:r>
      <w:r w:rsidR="00242827" w:rsidRPr="00242827">
        <w:rPr>
          <w:b/>
          <w:sz w:val="20"/>
          <w:szCs w:val="20"/>
        </w:rPr>
        <w:t>,</w:t>
      </w:r>
      <w:r w:rsidR="00242827" w:rsidRPr="00242827">
        <w:rPr>
          <w:sz w:val="20"/>
          <w:szCs w:val="20"/>
        </w:rPr>
        <w:t xml:space="preserve"> 387-398.</w:t>
      </w:r>
    </w:p>
    <w:p w:rsidR="00242827" w:rsidRPr="00242827" w:rsidRDefault="00242827" w:rsidP="00242827">
      <w:pPr>
        <w:pStyle w:val="EndNoteBibliography"/>
        <w:spacing w:after="120"/>
        <w:rPr>
          <w:sz w:val="20"/>
          <w:szCs w:val="20"/>
        </w:rPr>
      </w:pPr>
      <w:r w:rsidRPr="00242827">
        <w:rPr>
          <w:sz w:val="20"/>
          <w:szCs w:val="20"/>
        </w:rPr>
        <w:t xml:space="preserve">Brindal, E., et al. (2012). How do Australian junior primary school children perceive the concepts of "healthy" and "unhealthy"? </w:t>
      </w:r>
      <w:r w:rsidRPr="00242827">
        <w:rPr>
          <w:i/>
          <w:sz w:val="20"/>
          <w:szCs w:val="20"/>
        </w:rPr>
        <w:t>Health Education,</w:t>
      </w:r>
      <w:r w:rsidRPr="00242827">
        <w:rPr>
          <w:sz w:val="20"/>
          <w:szCs w:val="20"/>
        </w:rPr>
        <w:t xml:space="preserve"> 112(5)</w:t>
      </w:r>
      <w:r w:rsidRPr="00242827">
        <w:rPr>
          <w:b/>
          <w:sz w:val="20"/>
          <w:szCs w:val="20"/>
        </w:rPr>
        <w:t>,</w:t>
      </w:r>
      <w:r w:rsidRPr="00242827">
        <w:rPr>
          <w:sz w:val="20"/>
          <w:szCs w:val="20"/>
        </w:rPr>
        <w:t xml:space="preserve"> 406-420.</w:t>
      </w:r>
    </w:p>
    <w:p w:rsidR="00242827" w:rsidRDefault="00242827" w:rsidP="00242827">
      <w:pPr>
        <w:pStyle w:val="EndNoteBibliography"/>
        <w:spacing w:after="120"/>
        <w:rPr>
          <w:sz w:val="20"/>
          <w:szCs w:val="20"/>
        </w:rPr>
      </w:pPr>
      <w:r w:rsidRPr="00242827">
        <w:rPr>
          <w:sz w:val="20"/>
          <w:szCs w:val="20"/>
        </w:rPr>
        <w:lastRenderedPageBreak/>
        <w:t xml:space="preserve">Çetin, G., et al. (2013). Students' views about health concept by drawing and writing technique. </w:t>
      </w:r>
      <w:r w:rsidRPr="00242827">
        <w:rPr>
          <w:i/>
          <w:sz w:val="20"/>
          <w:szCs w:val="20"/>
        </w:rPr>
        <w:t>Energy Education Science and Technology Part B: Social and Educational Studies,</w:t>
      </w:r>
      <w:r w:rsidRPr="00242827">
        <w:rPr>
          <w:sz w:val="20"/>
          <w:szCs w:val="20"/>
        </w:rPr>
        <w:t xml:space="preserve"> 5(1).</w:t>
      </w:r>
    </w:p>
    <w:p w:rsidR="00242827" w:rsidRPr="00242827" w:rsidRDefault="00242827" w:rsidP="00242827">
      <w:pPr>
        <w:pStyle w:val="EndNoteBibliography"/>
        <w:spacing w:after="120"/>
        <w:rPr>
          <w:sz w:val="20"/>
          <w:szCs w:val="20"/>
        </w:rPr>
      </w:pPr>
      <w:r w:rsidRPr="00242827">
        <w:rPr>
          <w:sz w:val="20"/>
          <w:szCs w:val="20"/>
        </w:rPr>
        <w:t xml:space="preserve">Harrison, B. (2002). Seeing health and illness worlds – using visual methodologies in a sociology of health and illness: a methodological review. </w:t>
      </w:r>
      <w:r w:rsidRPr="00242827">
        <w:rPr>
          <w:i/>
          <w:sz w:val="20"/>
          <w:szCs w:val="20"/>
        </w:rPr>
        <w:t>Sociology of Health Illness,</w:t>
      </w:r>
      <w:r w:rsidRPr="00242827">
        <w:rPr>
          <w:sz w:val="20"/>
          <w:szCs w:val="20"/>
        </w:rPr>
        <w:t xml:space="preserve"> 24(6)</w:t>
      </w:r>
      <w:r w:rsidRPr="00242827">
        <w:rPr>
          <w:b/>
          <w:sz w:val="20"/>
          <w:szCs w:val="20"/>
        </w:rPr>
        <w:t>,</w:t>
      </w:r>
      <w:r w:rsidRPr="00242827">
        <w:rPr>
          <w:sz w:val="20"/>
          <w:szCs w:val="20"/>
        </w:rPr>
        <w:t xml:space="preserve"> 856-872.</w:t>
      </w:r>
    </w:p>
    <w:p w:rsidR="00242827" w:rsidRPr="00242827" w:rsidRDefault="00242827" w:rsidP="00242827">
      <w:pPr>
        <w:pStyle w:val="EndNoteBibliography"/>
        <w:spacing w:after="120"/>
        <w:rPr>
          <w:sz w:val="20"/>
          <w:szCs w:val="20"/>
        </w:rPr>
      </w:pPr>
      <w:r w:rsidRPr="00242827">
        <w:rPr>
          <w:sz w:val="20"/>
          <w:szCs w:val="20"/>
        </w:rPr>
        <w:t xml:space="preserve">Hesketh, K., et al. (2005). Healthy eating, activity and obesity prevention: a qualitative study of parent and child perceptions in Australia. </w:t>
      </w:r>
      <w:r w:rsidRPr="00242827">
        <w:rPr>
          <w:i/>
          <w:sz w:val="20"/>
          <w:szCs w:val="20"/>
        </w:rPr>
        <w:t>Health Promotion International,</w:t>
      </w:r>
      <w:r w:rsidRPr="00242827">
        <w:rPr>
          <w:sz w:val="20"/>
          <w:szCs w:val="20"/>
        </w:rPr>
        <w:t xml:space="preserve"> 20(1)</w:t>
      </w:r>
      <w:r w:rsidRPr="00242827">
        <w:rPr>
          <w:b/>
          <w:sz w:val="20"/>
          <w:szCs w:val="20"/>
        </w:rPr>
        <w:t>,</w:t>
      </w:r>
      <w:r w:rsidRPr="00242827">
        <w:rPr>
          <w:sz w:val="20"/>
          <w:szCs w:val="20"/>
        </w:rPr>
        <w:t xml:space="preserve"> 19-26.</w:t>
      </w:r>
    </w:p>
    <w:p w:rsidR="00242827" w:rsidRPr="00242827" w:rsidRDefault="00242827" w:rsidP="00242827">
      <w:pPr>
        <w:pStyle w:val="EndNoteBibliography"/>
        <w:spacing w:after="120"/>
        <w:rPr>
          <w:sz w:val="20"/>
          <w:szCs w:val="20"/>
        </w:rPr>
      </w:pPr>
      <w:r w:rsidRPr="00242827">
        <w:rPr>
          <w:sz w:val="20"/>
          <w:szCs w:val="20"/>
        </w:rPr>
        <w:t xml:space="preserve">O’Higgins, S., Sixsmith, J. and Gabhainn, S. N. (2010). Adolescents’ perceptions of the words ‘health’ and ‘happy’. </w:t>
      </w:r>
      <w:r w:rsidRPr="00242827">
        <w:rPr>
          <w:i/>
          <w:sz w:val="20"/>
          <w:szCs w:val="20"/>
        </w:rPr>
        <w:t>Health Education,</w:t>
      </w:r>
      <w:r w:rsidRPr="00242827">
        <w:rPr>
          <w:sz w:val="20"/>
          <w:szCs w:val="20"/>
        </w:rPr>
        <w:t xml:space="preserve"> 110(5)</w:t>
      </w:r>
      <w:r w:rsidRPr="00242827">
        <w:rPr>
          <w:b/>
          <w:sz w:val="20"/>
          <w:szCs w:val="20"/>
        </w:rPr>
        <w:t>,</w:t>
      </w:r>
      <w:r w:rsidRPr="00242827">
        <w:rPr>
          <w:sz w:val="20"/>
          <w:szCs w:val="20"/>
        </w:rPr>
        <w:t xml:space="preserve"> 367-381.</w:t>
      </w:r>
    </w:p>
    <w:p w:rsidR="00242827" w:rsidRPr="00242827" w:rsidRDefault="00242827" w:rsidP="00242827">
      <w:pPr>
        <w:pStyle w:val="EndNoteBibliography"/>
        <w:spacing w:after="120"/>
        <w:rPr>
          <w:sz w:val="20"/>
          <w:szCs w:val="20"/>
        </w:rPr>
      </w:pPr>
      <w:r w:rsidRPr="00242827">
        <w:rPr>
          <w:sz w:val="20"/>
          <w:szCs w:val="20"/>
        </w:rPr>
        <w:t xml:space="preserve">Protudjer, J. L. P., et al. (2010). Children’s perceptions of healthful eating and physical activity. </w:t>
      </w:r>
      <w:r w:rsidRPr="00242827">
        <w:rPr>
          <w:i/>
          <w:sz w:val="20"/>
          <w:szCs w:val="20"/>
        </w:rPr>
        <w:t>Canadian Journal of Dietetic Practice and Research,</w:t>
      </w:r>
      <w:r w:rsidRPr="00242827">
        <w:rPr>
          <w:sz w:val="20"/>
          <w:szCs w:val="20"/>
        </w:rPr>
        <w:t xml:space="preserve"> 71(1)</w:t>
      </w:r>
      <w:r w:rsidRPr="00242827">
        <w:rPr>
          <w:b/>
          <w:sz w:val="20"/>
          <w:szCs w:val="20"/>
        </w:rPr>
        <w:t>,</w:t>
      </w:r>
      <w:r w:rsidRPr="00242827">
        <w:rPr>
          <w:sz w:val="20"/>
          <w:szCs w:val="20"/>
        </w:rPr>
        <w:t xml:space="preserve"> 19-23.</w:t>
      </w:r>
    </w:p>
    <w:p w:rsidR="00242827" w:rsidRPr="00242827" w:rsidRDefault="00242827" w:rsidP="00242827">
      <w:pPr>
        <w:pStyle w:val="EndNoteBibliography"/>
        <w:spacing w:after="120"/>
        <w:rPr>
          <w:sz w:val="20"/>
          <w:szCs w:val="20"/>
        </w:rPr>
      </w:pPr>
      <w:r w:rsidRPr="00242827">
        <w:rPr>
          <w:sz w:val="20"/>
          <w:szCs w:val="20"/>
        </w:rPr>
        <w:t xml:space="preserve">Reeve, S. and Bell, P. (2009). Children's self-documentation and understanding of the concepts 'healthy' and 'unhealthy'. </w:t>
      </w:r>
      <w:r w:rsidRPr="00242827">
        <w:rPr>
          <w:i/>
          <w:sz w:val="20"/>
          <w:szCs w:val="20"/>
        </w:rPr>
        <w:t>International Journal of Science Education,</w:t>
      </w:r>
      <w:r w:rsidRPr="00242827">
        <w:rPr>
          <w:sz w:val="20"/>
          <w:szCs w:val="20"/>
        </w:rPr>
        <w:t xml:space="preserve"> 31(14)</w:t>
      </w:r>
      <w:r w:rsidRPr="00242827">
        <w:rPr>
          <w:b/>
          <w:sz w:val="20"/>
          <w:szCs w:val="20"/>
        </w:rPr>
        <w:t>,</w:t>
      </w:r>
      <w:r w:rsidRPr="00242827">
        <w:rPr>
          <w:sz w:val="20"/>
          <w:szCs w:val="20"/>
        </w:rPr>
        <w:t xml:space="preserve"> 1953-1974.</w:t>
      </w:r>
    </w:p>
    <w:p w:rsidR="00242827" w:rsidRPr="00242827" w:rsidRDefault="00242827" w:rsidP="00242827">
      <w:pPr>
        <w:pStyle w:val="EndNoteBibliography"/>
        <w:spacing w:after="120"/>
        <w:rPr>
          <w:sz w:val="20"/>
          <w:szCs w:val="20"/>
        </w:rPr>
      </w:pPr>
      <w:r w:rsidRPr="00242827">
        <w:rPr>
          <w:sz w:val="20"/>
          <w:szCs w:val="20"/>
        </w:rPr>
        <w:t xml:space="preserve">Wetton, N. M. and McWhirter, J. (1998). </w:t>
      </w:r>
      <w:r w:rsidRPr="00242827">
        <w:rPr>
          <w:i/>
          <w:sz w:val="20"/>
          <w:szCs w:val="20"/>
        </w:rPr>
        <w:t xml:space="preserve">Images and Curriculum Development in Health Education, </w:t>
      </w:r>
      <w:r w:rsidRPr="00242827">
        <w:rPr>
          <w:sz w:val="20"/>
          <w:szCs w:val="20"/>
        </w:rPr>
        <w:t>London, UK: Falmer Press.</w:t>
      </w:r>
    </w:p>
    <w:p w:rsidR="00242827" w:rsidRPr="00242827" w:rsidRDefault="00242827" w:rsidP="00242827">
      <w:pPr>
        <w:pStyle w:val="EndNoteBibliography"/>
        <w:spacing w:after="120"/>
        <w:rPr>
          <w:sz w:val="20"/>
          <w:szCs w:val="20"/>
        </w:rPr>
      </w:pPr>
    </w:p>
    <w:p w:rsidR="005B372A" w:rsidRPr="005B372A" w:rsidRDefault="0062304E" w:rsidP="00242827">
      <w:pPr>
        <w:pStyle w:val="EndNoteBibliography"/>
        <w:spacing w:after="120"/>
      </w:pPr>
      <w:r w:rsidRPr="00242827">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55" w:rsidRDefault="00BF4A55" w:rsidP="000B473B">
      <w:r>
        <w:separator/>
      </w:r>
    </w:p>
  </w:endnote>
  <w:endnote w:type="continuationSeparator" w:id="0">
    <w:p w:rsidR="00BF4A55" w:rsidRDefault="00BF4A5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3ADC5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4282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55" w:rsidRDefault="00BF4A55" w:rsidP="000B473B">
      <w:r>
        <w:separator/>
      </w:r>
    </w:p>
  </w:footnote>
  <w:footnote w:type="continuationSeparator" w:id="0">
    <w:p w:rsidR="00BF4A55" w:rsidRDefault="00BF4A5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83B76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519E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F4A55"/>
    <w:rsid w:val="00015578"/>
    <w:rsid w:val="00024731"/>
    <w:rsid w:val="00026DEC"/>
    <w:rsid w:val="000505CA"/>
    <w:rsid w:val="0007651D"/>
    <w:rsid w:val="0009089A"/>
    <w:rsid w:val="000947E2"/>
    <w:rsid w:val="00095E04"/>
    <w:rsid w:val="00097D91"/>
    <w:rsid w:val="000B473B"/>
    <w:rsid w:val="000D0E89"/>
    <w:rsid w:val="000E2689"/>
    <w:rsid w:val="00110978"/>
    <w:rsid w:val="00142613"/>
    <w:rsid w:val="00144DA7"/>
    <w:rsid w:val="0015356E"/>
    <w:rsid w:val="00161D3F"/>
    <w:rsid w:val="00171028"/>
    <w:rsid w:val="001915D4"/>
    <w:rsid w:val="001969D0"/>
    <w:rsid w:val="001A1FED"/>
    <w:rsid w:val="001A40E2"/>
    <w:rsid w:val="001A6509"/>
    <w:rsid w:val="001C4805"/>
    <w:rsid w:val="00201AC2"/>
    <w:rsid w:val="00214608"/>
    <w:rsid w:val="0021607B"/>
    <w:rsid w:val="002178AC"/>
    <w:rsid w:val="0022547C"/>
    <w:rsid w:val="00242827"/>
    <w:rsid w:val="0025410A"/>
    <w:rsid w:val="002660CF"/>
    <w:rsid w:val="0027553E"/>
    <w:rsid w:val="0028012F"/>
    <w:rsid w:val="002828DF"/>
    <w:rsid w:val="00287876"/>
    <w:rsid w:val="00292C53"/>
    <w:rsid w:val="00294E22"/>
    <w:rsid w:val="002C22EA"/>
    <w:rsid w:val="002C59BA"/>
    <w:rsid w:val="00301AA9"/>
    <w:rsid w:val="003117F6"/>
    <w:rsid w:val="00320549"/>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34190"/>
    <w:rsid w:val="00555342"/>
    <w:rsid w:val="005560E2"/>
    <w:rsid w:val="00593786"/>
    <w:rsid w:val="005A452E"/>
    <w:rsid w:val="005A6EE7"/>
    <w:rsid w:val="005B372A"/>
    <w:rsid w:val="005F1A7B"/>
    <w:rsid w:val="0062304E"/>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C6D78"/>
    <w:rsid w:val="007D1D65"/>
    <w:rsid w:val="007D6BCF"/>
    <w:rsid w:val="007E0A9E"/>
    <w:rsid w:val="007E5309"/>
    <w:rsid w:val="00800DE1"/>
    <w:rsid w:val="00810ADD"/>
    <w:rsid w:val="00813F47"/>
    <w:rsid w:val="008450D6"/>
    <w:rsid w:val="00856FCA"/>
    <w:rsid w:val="00873B8C"/>
    <w:rsid w:val="00880E3B"/>
    <w:rsid w:val="00894606"/>
    <w:rsid w:val="008A405F"/>
    <w:rsid w:val="008C7F34"/>
    <w:rsid w:val="008D2146"/>
    <w:rsid w:val="008E580C"/>
    <w:rsid w:val="0090047A"/>
    <w:rsid w:val="00925026"/>
    <w:rsid w:val="00931264"/>
    <w:rsid w:val="00942A4B"/>
    <w:rsid w:val="009443F0"/>
    <w:rsid w:val="00961D59"/>
    <w:rsid w:val="0098200F"/>
    <w:rsid w:val="009B2D55"/>
    <w:rsid w:val="009C0343"/>
    <w:rsid w:val="009E0D11"/>
    <w:rsid w:val="009F356D"/>
    <w:rsid w:val="00A2035F"/>
    <w:rsid w:val="00A24A16"/>
    <w:rsid w:val="00A27080"/>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C25AE"/>
    <w:rsid w:val="00BD6BC9"/>
    <w:rsid w:val="00BF0BBF"/>
    <w:rsid w:val="00BF4A55"/>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069"/>
    <w:rsid w:val="00D479B3"/>
    <w:rsid w:val="00D52283"/>
    <w:rsid w:val="00D524E5"/>
    <w:rsid w:val="00D57C98"/>
    <w:rsid w:val="00D72FEF"/>
    <w:rsid w:val="00D755FA"/>
    <w:rsid w:val="00D81365"/>
    <w:rsid w:val="00DC4A4E"/>
    <w:rsid w:val="00DD1874"/>
    <w:rsid w:val="00DD63BD"/>
    <w:rsid w:val="00DE2716"/>
    <w:rsid w:val="00DF05DB"/>
    <w:rsid w:val="00DF6651"/>
    <w:rsid w:val="00DF7E20"/>
    <w:rsid w:val="00E172C6"/>
    <w:rsid w:val="00E24309"/>
    <w:rsid w:val="00E53D82"/>
    <w:rsid w:val="00E84F22"/>
    <w:rsid w:val="00E9330A"/>
    <w:rsid w:val="00EC79B3"/>
    <w:rsid w:val="00EE50BF"/>
    <w:rsid w:val="00EE6B97"/>
    <w:rsid w:val="00F12C3B"/>
    <w:rsid w:val="00F26884"/>
    <w:rsid w:val="00F72ECC"/>
    <w:rsid w:val="00F8355F"/>
    <w:rsid w:val="00FA3196"/>
    <w:rsid w:val="00FA591F"/>
    <w:rsid w:val="00FB0C5D"/>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6B1D5C"/>
  <w15:docId w15:val="{A4E40138-C7A5-4FE2-A3C3-FA35D6F4B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230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2304E"/>
    <w:rPr>
      <w:rFonts w:ascii="Calibri" w:hAnsi="Calibri" w:cs="Calibri"/>
      <w:noProof/>
      <w:lang w:val="en-US"/>
    </w:rPr>
  </w:style>
  <w:style w:type="paragraph" w:customStyle="1" w:styleId="EndNoteBibliography">
    <w:name w:val="EndNote Bibliography"/>
    <w:basedOn w:val="Normal"/>
    <w:link w:val="EndNoteBibliographyChar"/>
    <w:rsid w:val="0062304E"/>
    <w:rPr>
      <w:rFonts w:ascii="Calibri" w:hAnsi="Calibri" w:cs="Calibri"/>
      <w:noProof/>
      <w:lang w:val="en-US"/>
    </w:rPr>
  </w:style>
  <w:style w:type="character" w:customStyle="1" w:styleId="EndNoteBibliographyChar">
    <w:name w:val="EndNote Bibliography Char"/>
    <w:basedOn w:val="DefaultParagraphFont"/>
    <w:link w:val="EndNoteBibliography"/>
    <w:rsid w:val="0062304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195</TotalTime>
  <Pages>5</Pages>
  <Words>2255</Words>
  <Characters>12857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26</cp:revision>
  <cp:lastPrinted>2017-02-24T16:20:00Z</cp:lastPrinted>
  <dcterms:created xsi:type="dcterms:W3CDTF">2019-02-12T10:04:00Z</dcterms:created>
  <dcterms:modified xsi:type="dcterms:W3CDTF">2019-02-16T13:24:00Z</dcterms:modified>
</cp:coreProperties>
</file>