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633A7" w14:textId="4EF712F7" w:rsidR="00201AC2" w:rsidRPr="001A40E2" w:rsidRDefault="003F20CF" w:rsidP="00201AC2">
      <w:pPr>
        <w:spacing w:after="180"/>
        <w:rPr>
          <w:b/>
          <w:sz w:val="44"/>
          <w:szCs w:val="44"/>
        </w:rPr>
      </w:pPr>
      <w:r>
        <w:rPr>
          <w:b/>
          <w:sz w:val="44"/>
          <w:szCs w:val="44"/>
        </w:rPr>
        <w:t>Surface</w:t>
      </w:r>
      <w:r w:rsidR="00EF30CE">
        <w:rPr>
          <w:b/>
          <w:sz w:val="44"/>
          <w:szCs w:val="44"/>
        </w:rPr>
        <w:t xml:space="preserve"> area</w:t>
      </w:r>
    </w:p>
    <w:p w14:paraId="67487571" w14:textId="77777777" w:rsidR="00201AC2" w:rsidRDefault="00201AC2" w:rsidP="00201AC2">
      <w:pPr>
        <w:spacing w:after="180"/>
      </w:pPr>
    </w:p>
    <w:p w14:paraId="61CE5FD8" w14:textId="26BC89BC" w:rsidR="00201AC2" w:rsidRDefault="00EF30CE" w:rsidP="00201AC2">
      <w:pPr>
        <w:spacing w:after="180"/>
      </w:pPr>
      <w:r>
        <w:t>10cm</w:t>
      </w:r>
      <w:r>
        <w:rPr>
          <w:vertAlign w:val="superscript"/>
        </w:rPr>
        <w:t>3</w:t>
      </w:r>
      <w:r>
        <w:t xml:space="preserve"> of water is added to two different shapes of beaker.</w:t>
      </w:r>
    </w:p>
    <w:p w14:paraId="29FCB3E9" w14:textId="77777777" w:rsidR="00EF30CE" w:rsidRDefault="00EF30CE" w:rsidP="00201AC2">
      <w:pPr>
        <w:spacing w:after="180"/>
      </w:pPr>
    </w:p>
    <w:p w14:paraId="0335C145" w14:textId="409CFDE0" w:rsidR="00EF30CE" w:rsidRPr="00EF30CE" w:rsidRDefault="00EF30CE" w:rsidP="00201AC2">
      <w:pPr>
        <w:spacing w:after="180"/>
      </w:pPr>
      <w:r w:rsidRPr="00EF30CE">
        <w:rPr>
          <w:noProof/>
        </w:rPr>
        <w:drawing>
          <wp:inline distT="0" distB="0" distL="0" distR="0" wp14:anchorId="61C4496C" wp14:editId="2BBC3A58">
            <wp:extent cx="2371725" cy="968051"/>
            <wp:effectExtent l="0" t="0" r="0" b="0"/>
            <wp:docPr id="2" name="Picture 3">
              <a:extLst xmlns:a="http://schemas.openxmlformats.org/drawingml/2006/main">
                <a:ext uri="{FF2B5EF4-FFF2-40B4-BE49-F238E27FC236}">
                  <a16:creationId xmlns:a16="http://schemas.microsoft.com/office/drawing/2014/main" id="{CE093624-3A40-478A-BB0D-F4B0705566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CE093624-3A40-478A-BB0D-F4B0705566F7}"/>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75222" cy="969478"/>
                    </a:xfrm>
                    <a:prstGeom prst="rect">
                      <a:avLst/>
                    </a:prstGeom>
                  </pic:spPr>
                </pic:pic>
              </a:graphicData>
            </a:graphic>
          </wp:inline>
        </w:drawing>
      </w:r>
    </w:p>
    <w:p w14:paraId="453FBB9C" w14:textId="77777777" w:rsidR="00B23B31" w:rsidRDefault="00B23B31" w:rsidP="00201AC2">
      <w:pPr>
        <w:spacing w:after="180"/>
      </w:pPr>
    </w:p>
    <w:p w14:paraId="541284BE" w14:textId="77777777" w:rsidR="00EF30CE" w:rsidRPr="00E172C6" w:rsidRDefault="00EF30CE" w:rsidP="00EF30CE">
      <w:pPr>
        <w:spacing w:after="180"/>
        <w:rPr>
          <w:b/>
        </w:rPr>
      </w:pPr>
      <w:r>
        <w:rPr>
          <w:b/>
        </w:rPr>
        <w:t>Predict</w:t>
      </w:r>
    </w:p>
    <w:p w14:paraId="657B5625" w14:textId="4CA8BFCC" w:rsidR="00EF30CE" w:rsidRDefault="00EF30CE" w:rsidP="00EF30CE">
      <w:pPr>
        <w:spacing w:after="180"/>
        <w:ind w:right="1371"/>
      </w:pPr>
      <w:r>
        <w:t>From which beaker will the water completely evaporate first?</w:t>
      </w:r>
    </w:p>
    <w:p w14:paraId="47A4C393" w14:textId="77777777" w:rsidR="00EF30CE" w:rsidRDefault="00EF30CE" w:rsidP="00EF30CE">
      <w:pPr>
        <w:spacing w:after="180"/>
      </w:pPr>
      <w:r>
        <w:t xml:space="preserve">Write down your </w:t>
      </w:r>
      <w:r w:rsidRPr="00563C6F">
        <w:rPr>
          <w:b/>
        </w:rPr>
        <w:t>prediction</w:t>
      </w:r>
      <w:r>
        <w:t>.</w:t>
      </w:r>
    </w:p>
    <w:p w14:paraId="16EFBB17" w14:textId="77777777" w:rsidR="00EF30CE" w:rsidRDefault="00EF30CE" w:rsidP="00EF30CE">
      <w:pPr>
        <w:tabs>
          <w:tab w:val="right" w:leader="dot" w:pos="7655"/>
        </w:tabs>
        <w:spacing w:after="180"/>
      </w:pPr>
      <w:r>
        <w:tab/>
      </w:r>
    </w:p>
    <w:p w14:paraId="05E92F49" w14:textId="77777777" w:rsidR="00EF30CE" w:rsidRDefault="00EF30CE" w:rsidP="00EF30CE">
      <w:pPr>
        <w:tabs>
          <w:tab w:val="right" w:leader="dot" w:pos="7655"/>
        </w:tabs>
        <w:spacing w:after="180"/>
      </w:pPr>
      <w:r>
        <w:tab/>
      </w:r>
    </w:p>
    <w:p w14:paraId="5DC7B366" w14:textId="77777777" w:rsidR="00EF30CE" w:rsidRPr="00E172C6" w:rsidRDefault="00EF30CE" w:rsidP="00EF30CE">
      <w:pPr>
        <w:spacing w:after="180"/>
        <w:rPr>
          <w:b/>
        </w:rPr>
      </w:pPr>
      <w:r>
        <w:rPr>
          <w:b/>
        </w:rPr>
        <w:t>Explain</w:t>
      </w:r>
    </w:p>
    <w:p w14:paraId="513A2C84" w14:textId="77777777" w:rsidR="00EF30CE" w:rsidRDefault="00EF30CE" w:rsidP="00EF30CE">
      <w:pPr>
        <w:spacing w:after="180"/>
      </w:pPr>
      <w:r>
        <w:rPr>
          <w:lang w:eastAsia="en-GB"/>
        </w:rPr>
        <w:t>Write down the thinking behind your prediction.</w:t>
      </w:r>
    </w:p>
    <w:p w14:paraId="3FCAA356" w14:textId="77777777" w:rsidR="00EF30CE" w:rsidRDefault="00EF30CE" w:rsidP="00EF30CE">
      <w:pPr>
        <w:tabs>
          <w:tab w:val="right" w:leader="dot" w:pos="7655"/>
        </w:tabs>
        <w:spacing w:after="180"/>
      </w:pPr>
      <w:r>
        <w:tab/>
      </w:r>
    </w:p>
    <w:p w14:paraId="5BE8FCD9" w14:textId="77777777" w:rsidR="00EF30CE" w:rsidRDefault="00EF30CE" w:rsidP="00EF30CE">
      <w:pPr>
        <w:tabs>
          <w:tab w:val="right" w:leader="dot" w:pos="7655"/>
        </w:tabs>
        <w:spacing w:after="180"/>
      </w:pPr>
      <w:r>
        <w:tab/>
      </w:r>
    </w:p>
    <w:p w14:paraId="1438EC2C" w14:textId="77777777" w:rsidR="00EF30CE" w:rsidRDefault="00EF30CE" w:rsidP="00EF30CE">
      <w:pPr>
        <w:spacing w:after="180"/>
        <w:rPr>
          <w:b/>
        </w:rPr>
      </w:pPr>
      <w:r>
        <w:rPr>
          <w:b/>
        </w:rPr>
        <w:t>Observe</w:t>
      </w:r>
    </w:p>
    <w:p w14:paraId="66C91791" w14:textId="77777777" w:rsidR="00EF30CE" w:rsidRPr="000E3392" w:rsidRDefault="00EF30CE" w:rsidP="00EF30CE">
      <w:pPr>
        <w:spacing w:after="180"/>
        <w:rPr>
          <w:b/>
        </w:rPr>
      </w:pPr>
      <w:r w:rsidRPr="000E3392">
        <w:t>Describe what happens.</w:t>
      </w:r>
    </w:p>
    <w:p w14:paraId="4B9A0FBC" w14:textId="77777777" w:rsidR="00EF30CE" w:rsidRDefault="00EF30CE" w:rsidP="00EF30CE">
      <w:pPr>
        <w:tabs>
          <w:tab w:val="right" w:leader="dot" w:pos="7655"/>
        </w:tabs>
        <w:spacing w:after="180"/>
      </w:pPr>
      <w:r>
        <w:tab/>
      </w:r>
    </w:p>
    <w:p w14:paraId="705A7503" w14:textId="77777777" w:rsidR="00EF30CE" w:rsidRPr="000E3392" w:rsidRDefault="00EF30CE" w:rsidP="00EF30CE">
      <w:pPr>
        <w:tabs>
          <w:tab w:val="right" w:leader="dot" w:pos="7655"/>
        </w:tabs>
        <w:spacing w:after="180"/>
      </w:pPr>
      <w:r>
        <w:tab/>
      </w:r>
    </w:p>
    <w:p w14:paraId="5947EC80" w14:textId="77777777" w:rsidR="00EF30CE" w:rsidRPr="00E172C6" w:rsidRDefault="00EF30CE" w:rsidP="00EF30CE">
      <w:pPr>
        <w:spacing w:after="180"/>
        <w:rPr>
          <w:b/>
        </w:rPr>
      </w:pPr>
      <w:r>
        <w:rPr>
          <w:b/>
        </w:rPr>
        <w:t>Explain</w:t>
      </w:r>
    </w:p>
    <w:p w14:paraId="3748C072" w14:textId="77777777" w:rsidR="00EF30CE" w:rsidRDefault="00EF30CE" w:rsidP="00EF30CE">
      <w:pPr>
        <w:spacing w:after="180"/>
        <w:ind w:right="1371"/>
      </w:pPr>
      <w:r>
        <w:t>Were</w:t>
      </w:r>
      <w:r w:rsidRPr="001D7FBB">
        <w:t xml:space="preserve"> your prediction and explanation </w:t>
      </w:r>
      <w:r>
        <w:t>correct?</w:t>
      </w:r>
    </w:p>
    <w:p w14:paraId="7D0B9600" w14:textId="77777777" w:rsidR="00EF30CE" w:rsidRDefault="00EF30CE" w:rsidP="00EF30CE">
      <w:pPr>
        <w:spacing w:after="180"/>
        <w:ind w:right="1371"/>
      </w:pPr>
      <w:r>
        <w:t>If not, can you explain what you observed?</w:t>
      </w:r>
    </w:p>
    <w:p w14:paraId="40866DDE" w14:textId="77777777" w:rsidR="00EF30CE" w:rsidRDefault="00EF30CE" w:rsidP="00EF30CE">
      <w:pPr>
        <w:tabs>
          <w:tab w:val="right" w:leader="dot" w:pos="7655"/>
        </w:tabs>
        <w:spacing w:after="180"/>
      </w:pPr>
      <w:r>
        <w:tab/>
      </w:r>
    </w:p>
    <w:p w14:paraId="0031BED6" w14:textId="77777777" w:rsidR="00EF30CE" w:rsidRDefault="00EF30CE" w:rsidP="00EF30CE">
      <w:pPr>
        <w:tabs>
          <w:tab w:val="right" w:leader="dot" w:pos="7655"/>
        </w:tabs>
        <w:spacing w:after="180"/>
      </w:pPr>
      <w:r>
        <w:tab/>
      </w:r>
    </w:p>
    <w:p w14:paraId="0387E428" w14:textId="77777777" w:rsidR="00201AC2" w:rsidRPr="00201AC2" w:rsidRDefault="00201AC2" w:rsidP="006F3279">
      <w:pPr>
        <w:spacing w:after="240"/>
        <w:rPr>
          <w:szCs w:val="18"/>
        </w:rPr>
      </w:pPr>
    </w:p>
    <w:p w14:paraId="0F487F44" w14:textId="77777777" w:rsidR="00201AC2" w:rsidRPr="00201AC2" w:rsidRDefault="00201AC2" w:rsidP="006F3279">
      <w:pPr>
        <w:spacing w:after="240"/>
        <w:rPr>
          <w:szCs w:val="18"/>
        </w:rPr>
      </w:pPr>
    </w:p>
    <w:p w14:paraId="6B471809"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21720449" w14:textId="5AD3ED6D"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135AB8">
        <w:rPr>
          <w:i/>
          <w:sz w:val="18"/>
          <w:szCs w:val="18"/>
        </w:rPr>
        <w:t>CPS: Particles and structure</w:t>
      </w:r>
      <w:r>
        <w:rPr>
          <w:i/>
          <w:sz w:val="18"/>
          <w:szCs w:val="18"/>
        </w:rPr>
        <w:t xml:space="preserve"> Topic </w:t>
      </w:r>
      <w:r w:rsidR="00135AB8">
        <w:rPr>
          <w:i/>
          <w:sz w:val="18"/>
          <w:szCs w:val="18"/>
        </w:rPr>
        <w:t>CPS5: Evaporation</w:t>
      </w:r>
      <w:r w:rsidRPr="00CA4B46">
        <w:rPr>
          <w:i/>
          <w:sz w:val="18"/>
          <w:szCs w:val="18"/>
        </w:rPr>
        <w:t xml:space="preserve"> &gt; </w:t>
      </w:r>
      <w:r>
        <w:rPr>
          <w:i/>
          <w:sz w:val="18"/>
          <w:szCs w:val="18"/>
        </w:rPr>
        <w:t>Key concept</w:t>
      </w:r>
      <w:r w:rsidRPr="00CA4B46">
        <w:rPr>
          <w:i/>
          <w:sz w:val="18"/>
          <w:szCs w:val="18"/>
        </w:rPr>
        <w:t xml:space="preserve"> </w:t>
      </w:r>
      <w:r w:rsidR="00135AB8">
        <w:rPr>
          <w:i/>
          <w:sz w:val="18"/>
          <w:szCs w:val="18"/>
        </w:rPr>
        <w:t>CPS5.1: Explaining evaporation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52BACFD" w14:textId="77777777" w:rsidTr="001C2E59">
        <w:tc>
          <w:tcPr>
            <w:tcW w:w="12021" w:type="dxa"/>
            <w:shd w:val="clear" w:color="auto" w:fill="FABF8F" w:themeFill="accent6" w:themeFillTint="99"/>
          </w:tcPr>
          <w:p w14:paraId="2E1B3777"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0BD480BF" w14:textId="77777777" w:rsidTr="001C2E59">
        <w:tc>
          <w:tcPr>
            <w:tcW w:w="12021" w:type="dxa"/>
            <w:shd w:val="clear" w:color="auto" w:fill="FBD4B4" w:themeFill="accent6" w:themeFillTint="66"/>
          </w:tcPr>
          <w:p w14:paraId="5798612B" w14:textId="2AEB7A7E" w:rsidR="006F3279" w:rsidRPr="00CA4B46" w:rsidRDefault="00135AB8" w:rsidP="006F3279">
            <w:pPr>
              <w:spacing w:after="60"/>
              <w:ind w:left="1304"/>
              <w:rPr>
                <w:b/>
                <w:sz w:val="40"/>
                <w:szCs w:val="40"/>
              </w:rPr>
            </w:pPr>
            <w:r>
              <w:rPr>
                <w:b/>
                <w:sz w:val="40"/>
                <w:szCs w:val="40"/>
              </w:rPr>
              <w:t>Surface area</w:t>
            </w:r>
          </w:p>
        </w:tc>
      </w:tr>
    </w:tbl>
    <w:p w14:paraId="725BD5DB" w14:textId="77777777" w:rsidR="006F3279" w:rsidRDefault="006F3279" w:rsidP="00E172C6">
      <w:pPr>
        <w:spacing w:after="180"/>
        <w:rPr>
          <w:b/>
        </w:rPr>
      </w:pPr>
    </w:p>
    <w:p w14:paraId="482834C9"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56F0DAAA" w14:textId="77777777" w:rsidTr="003F16F9">
        <w:trPr>
          <w:trHeight w:val="340"/>
        </w:trPr>
        <w:tc>
          <w:tcPr>
            <w:tcW w:w="2196" w:type="dxa"/>
          </w:tcPr>
          <w:p w14:paraId="497DD12B" w14:textId="77777777" w:rsidR="006A320F" w:rsidRDefault="006A320F" w:rsidP="006A320F">
            <w:pPr>
              <w:spacing w:before="60" w:after="60"/>
            </w:pPr>
            <w:r>
              <w:t>Learning objective:</w:t>
            </w:r>
          </w:p>
        </w:tc>
        <w:tc>
          <w:tcPr>
            <w:tcW w:w="6820" w:type="dxa"/>
          </w:tcPr>
          <w:p w14:paraId="7ACE49C4" w14:textId="0DD1E65F" w:rsidR="006A320F" w:rsidRDefault="00135AB8" w:rsidP="006A320F">
            <w:pPr>
              <w:spacing w:before="60" w:after="60"/>
            </w:pPr>
            <w:r>
              <w:t>Evaporation takes place at any temperature between melting and boiling point.</w:t>
            </w:r>
          </w:p>
        </w:tc>
      </w:tr>
      <w:tr w:rsidR="006A320F" w14:paraId="1E90A12A" w14:textId="77777777" w:rsidTr="003F16F9">
        <w:trPr>
          <w:trHeight w:val="340"/>
        </w:trPr>
        <w:tc>
          <w:tcPr>
            <w:tcW w:w="2196" w:type="dxa"/>
          </w:tcPr>
          <w:p w14:paraId="71018C56" w14:textId="77777777" w:rsidR="006A320F" w:rsidRDefault="006A320F" w:rsidP="006A320F">
            <w:pPr>
              <w:spacing w:before="60" w:after="60"/>
            </w:pPr>
            <w:r>
              <w:t>Observable learning outcome:</w:t>
            </w:r>
          </w:p>
        </w:tc>
        <w:tc>
          <w:tcPr>
            <w:tcW w:w="6820" w:type="dxa"/>
          </w:tcPr>
          <w:p w14:paraId="6371C49D" w14:textId="78252888" w:rsidR="006A320F" w:rsidRPr="00A50C9C" w:rsidRDefault="00135AB8" w:rsidP="006A320F">
            <w:pPr>
              <w:spacing w:before="60" w:after="60"/>
              <w:rPr>
                <w:b/>
              </w:rPr>
            </w:pPr>
            <w:r>
              <w:t>Describe where in a liquid evaporation takes place.</w:t>
            </w:r>
          </w:p>
        </w:tc>
      </w:tr>
      <w:tr w:rsidR="006A320F" w14:paraId="34D2853B" w14:textId="77777777" w:rsidTr="003F16F9">
        <w:trPr>
          <w:trHeight w:val="340"/>
        </w:trPr>
        <w:tc>
          <w:tcPr>
            <w:tcW w:w="2196" w:type="dxa"/>
          </w:tcPr>
          <w:p w14:paraId="2D8391D7" w14:textId="77777777" w:rsidR="006A320F" w:rsidRDefault="00E03772" w:rsidP="006A320F">
            <w:pPr>
              <w:spacing w:before="60" w:after="60"/>
            </w:pPr>
            <w:r>
              <w:t>Activity</w:t>
            </w:r>
            <w:r w:rsidR="006A320F">
              <w:t xml:space="preserve"> type:</w:t>
            </w:r>
          </w:p>
        </w:tc>
        <w:tc>
          <w:tcPr>
            <w:tcW w:w="6820" w:type="dxa"/>
          </w:tcPr>
          <w:p w14:paraId="2B7EA6D2" w14:textId="4DE68792" w:rsidR="006A320F" w:rsidRPr="00135AB8" w:rsidRDefault="00135AB8" w:rsidP="00135AB8">
            <w:pPr>
              <w:spacing w:before="60" w:after="60"/>
              <w:jc w:val="both"/>
            </w:pPr>
            <w:r>
              <w:t>Response, p</w:t>
            </w:r>
            <w:r w:rsidRPr="00135AB8">
              <w:t>redict, explain, observe</w:t>
            </w:r>
            <w:r w:rsidR="00253046">
              <w:t>,</w:t>
            </w:r>
            <w:r w:rsidRPr="00135AB8">
              <w:t xml:space="preserve"> explain</w:t>
            </w:r>
          </w:p>
        </w:tc>
      </w:tr>
      <w:tr w:rsidR="006A320F" w14:paraId="5292AB73" w14:textId="77777777" w:rsidTr="003F16F9">
        <w:trPr>
          <w:trHeight w:val="340"/>
        </w:trPr>
        <w:tc>
          <w:tcPr>
            <w:tcW w:w="2196" w:type="dxa"/>
          </w:tcPr>
          <w:p w14:paraId="0B4DF217" w14:textId="77777777" w:rsidR="006A320F" w:rsidRDefault="006A320F" w:rsidP="006A320F">
            <w:pPr>
              <w:spacing w:before="60" w:after="60"/>
            </w:pPr>
            <w:r>
              <w:t>Key words:</w:t>
            </w:r>
          </w:p>
        </w:tc>
        <w:tc>
          <w:tcPr>
            <w:tcW w:w="6820" w:type="dxa"/>
            <w:tcBorders>
              <w:bottom w:val="dotted" w:sz="4" w:space="0" w:color="auto"/>
            </w:tcBorders>
          </w:tcPr>
          <w:p w14:paraId="484D2509" w14:textId="021F952A" w:rsidR="006A320F" w:rsidRDefault="00135AB8" w:rsidP="006A320F">
            <w:pPr>
              <w:spacing w:before="60" w:after="60"/>
            </w:pPr>
            <w:r>
              <w:t>evaporation, surface area</w:t>
            </w:r>
          </w:p>
        </w:tc>
      </w:tr>
    </w:tbl>
    <w:p w14:paraId="5FC84B2B" w14:textId="77777777" w:rsidR="00E172C6" w:rsidRDefault="00E172C6" w:rsidP="00E172C6">
      <w:pPr>
        <w:spacing w:after="180"/>
      </w:pPr>
    </w:p>
    <w:p w14:paraId="21F89C25" w14:textId="2307CE0E" w:rsidR="006A320F" w:rsidRDefault="006A320F" w:rsidP="006A320F">
      <w:pPr>
        <w:spacing w:after="180"/>
      </w:pPr>
      <w:r>
        <w:t xml:space="preserve">This activity can help develop students’ understanding by addressing the </w:t>
      </w:r>
      <w:r w:rsidR="00135AB8">
        <w:t>misunderstandings</w:t>
      </w:r>
      <w:r>
        <w:t xml:space="preserve"> revealed by the following diagnostic question</w:t>
      </w:r>
      <w:r w:rsidRPr="006E0400">
        <w:t>:</w:t>
      </w:r>
    </w:p>
    <w:p w14:paraId="10A99179" w14:textId="6C255E23" w:rsidR="00F72ECC" w:rsidRDefault="00135AB8" w:rsidP="00F72ECC">
      <w:pPr>
        <w:pStyle w:val="ListParagraph"/>
        <w:numPr>
          <w:ilvl w:val="0"/>
          <w:numId w:val="1"/>
        </w:numPr>
        <w:spacing w:after="180"/>
      </w:pPr>
      <w:r>
        <w:t>Location of evaporation</w:t>
      </w:r>
    </w:p>
    <w:p w14:paraId="543E9983"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5ED3B5DA" w14:textId="77777777" w:rsidR="00135AB8" w:rsidRDefault="00135AB8" w:rsidP="00135AB8">
      <w:pPr>
        <w:spacing w:after="180"/>
      </w:pPr>
      <w:r>
        <w:t xml:space="preserve">As part of their research </w:t>
      </w:r>
      <w:r w:rsidRPr="00546750">
        <w:t>Co</w:t>
      </w:r>
      <w:r w:rsidRPr="00546750">
        <w:rPr>
          <w:rFonts w:cstheme="minorHAnsi"/>
        </w:rPr>
        <w:t>ş</w:t>
      </w:r>
      <w:r w:rsidRPr="00546750">
        <w:t>tu and Ayas</w:t>
      </w:r>
      <w:r>
        <w:t xml:space="preserve"> </w:t>
      </w:r>
      <w:r>
        <w:fldChar w:fldCharType="begin"/>
      </w:r>
      <w:r>
        <w:instrText xml:space="preserve"> ADDIN EN.CITE &lt;EndNote&gt;&lt;Cite ExcludeAuth="1"&gt;&lt;Author&gt;Co  ş  tu&lt;/Author&gt;&lt;Year&gt;2005&lt;/Year&gt;&lt;IDText&gt;Evaporation in different liquids, secondary students&amp;apos; conceptions&lt;/IDText&gt;&lt;DisplayText&gt;(2005)&lt;/DisplayText&gt;&lt;record&gt;&lt;titles&gt;&lt;title&gt;Evaporation in different liquids, secondary students&amp;apos; conceptions&lt;/title&gt;&lt;secondary-title&gt;Research in Science and Technological Education&lt;/secondary-title&gt;&lt;/titles&gt;&lt;pages&gt;75-97&lt;/pages&gt;&lt;number&gt;1&lt;/number&gt;&lt;contributors&gt;&lt;authors&gt;&lt;author&gt;Co  ş  tu, Bayram&lt;/author&gt;&lt;author&gt;Ayas,  Alipa ş a&lt;/author&gt;&lt;/authors&gt;&lt;/contributors&gt;&lt;added-date format="utc"&gt;1553504976&lt;/added-date&gt;&lt;ref-type name="Journal Article"&gt;17&lt;/ref-type&gt;&lt;dates&gt;&lt;year&gt;2005&lt;/year&gt;&lt;/dates&gt;&lt;rec-number&gt;49&lt;/rec-number&gt;&lt;last-updated-date format="utc"&gt;1553505093&lt;/last-updated-date&gt;&lt;volume&gt;23&lt;/volume&gt;&lt;/record&gt;&lt;/Cite&gt;&lt;/EndNote&gt;</w:instrText>
      </w:r>
      <w:r>
        <w:fldChar w:fldCharType="separate"/>
      </w:r>
      <w:r>
        <w:rPr>
          <w:noProof/>
        </w:rPr>
        <w:t>(2005)</w:t>
      </w:r>
      <w:r>
        <w:fldChar w:fldCharType="end"/>
      </w:r>
      <w:r>
        <w:t xml:space="preserve"> presented situations to students through a series of short experiments. They then used questioning to discover more about students’ understanding.</w:t>
      </w:r>
    </w:p>
    <w:p w14:paraId="7AF45DEF" w14:textId="77777777" w:rsidR="00135AB8" w:rsidRDefault="00135AB8" w:rsidP="00135AB8">
      <w:pPr>
        <w:spacing w:after="180"/>
      </w:pPr>
      <w:r>
        <w:t>One question used was “Does evaporation take place on the surface of the alcohol or in all parts of it? Why?”</w:t>
      </w:r>
    </w:p>
    <w:p w14:paraId="0BC48FB1" w14:textId="77777777" w:rsidR="00135AB8" w:rsidRDefault="00135AB8" w:rsidP="00135AB8">
      <w:pPr>
        <w:spacing w:after="180"/>
      </w:pPr>
      <w:r>
        <w:t>A few students correctly explained that particles left from the surface of the liquid. All those that were identified to hold a “specific misconception” were found to think that evaporation occurs in all parts of a liquid.</w:t>
      </w:r>
    </w:p>
    <w:p w14:paraId="49BD4F5A"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55B0D120" w14:textId="77777777" w:rsidR="003F20CF" w:rsidRDefault="003F20CF" w:rsidP="003F20CF">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14:paraId="7B5390D0" w14:textId="77777777" w:rsidR="003F20CF" w:rsidRDefault="003F20CF" w:rsidP="003F20CF">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14:paraId="257EB008" w14:textId="13CC8FF0" w:rsidR="00253046" w:rsidRDefault="003F20CF" w:rsidP="003F20CF">
      <w:pPr>
        <w:spacing w:after="180"/>
      </w:pPr>
      <w:r>
        <w:t xml:space="preserve">Usually students would now carry out the </w:t>
      </w:r>
      <w:r w:rsidR="00253046">
        <w:t>practical or</w:t>
      </w:r>
      <w:r>
        <w:t xml:space="preserve"> watch a demonstration.  However, as this experiment takes times, images of the results have been provided on the </w:t>
      </w:r>
      <w:r w:rsidR="00253046">
        <w:t>PowerPoint</w:t>
      </w:r>
      <w:r>
        <w:t>.</w:t>
      </w:r>
      <w:bookmarkStart w:id="0" w:name="_GoBack"/>
      <w:bookmarkEnd w:id="0"/>
      <w:r>
        <w:t xml:space="preserve"> </w:t>
      </w:r>
    </w:p>
    <w:p w14:paraId="7D504DB6" w14:textId="0E272D00" w:rsidR="003F20CF" w:rsidRDefault="003F20CF" w:rsidP="003F20CF">
      <w:pPr>
        <w:spacing w:after="180"/>
      </w:pPr>
      <w:r>
        <w:t xml:space="preserve">After the practical each group should be given the opportunity to </w:t>
      </w:r>
      <w:r w:rsidR="00253046">
        <w:t>change or</w:t>
      </w:r>
      <w:r>
        <w:t xml:space="preserve">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14:paraId="0CC22B78" w14:textId="77777777" w:rsidR="003F20CF" w:rsidRDefault="003F20CF" w:rsidP="003F20CF">
      <w:pPr>
        <w:spacing w:after="180"/>
      </w:pPr>
      <w:r>
        <w:t>A useful follow up is for individual students to then write down explanations in their own words – without reference to the class explanation on the board (i.e. cover it up).</w:t>
      </w:r>
    </w:p>
    <w:p w14:paraId="100A40E3" w14:textId="77777777" w:rsidR="003F20CF" w:rsidRPr="00C86659" w:rsidRDefault="003F20CF" w:rsidP="003F20CF">
      <w:pPr>
        <w:rPr>
          <w:i/>
        </w:rPr>
      </w:pPr>
      <w:r w:rsidRPr="00C86659">
        <w:rPr>
          <w:i/>
        </w:rPr>
        <w:t>Differentiation</w:t>
      </w:r>
    </w:p>
    <w:p w14:paraId="7467F0F8" w14:textId="6B5B0C3C" w:rsidR="003F20CF" w:rsidRDefault="003F20CF" w:rsidP="003F20CF">
      <w:r>
        <w:t xml:space="preserve">The quality of the discussions can be improved with a careful selection of groups; or by allocating specific roles to students in </w:t>
      </w:r>
      <w:r w:rsidR="00253046">
        <w:t>each</w:t>
      </w:r>
      <w:r>
        <w:t xml:space="preserve"> group.  For example, you may choose to select a student with strong prior knowledge as a scribe. They may question the others and only write down what they have been told.  This strategy encourages contributions from more members of each group. </w:t>
      </w:r>
    </w:p>
    <w:p w14:paraId="52945640" w14:textId="77777777" w:rsidR="003F20CF" w:rsidRDefault="003F20CF" w:rsidP="003F20CF">
      <w:pPr>
        <w:rPr>
          <w:b/>
        </w:rPr>
      </w:pPr>
    </w:p>
    <w:p w14:paraId="7FF73C30"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4ACCEC42" w14:textId="75D22BB8" w:rsidR="00BF6C8A" w:rsidRDefault="003F20CF" w:rsidP="00BF6C8A">
      <w:pPr>
        <w:spacing w:after="180"/>
      </w:pPr>
      <w:r>
        <w:t>The water in beaker B will evaporate first. Evaporation occurs at the surface. The water in beaker B is more spread out and has a greater surface area. This means that more of the water is able to evaporate at any one time resulting in a faster rate of evaporation.</w:t>
      </w:r>
    </w:p>
    <w:p w14:paraId="32906C54"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6998AFE0" w14:textId="2FCC7A06" w:rsidR="00D278E8" w:rsidRDefault="00D278E8" w:rsidP="00E172C6">
      <w:pPr>
        <w:spacing w:after="180"/>
      </w:pPr>
      <w:r>
        <w:t xml:space="preserve">Developed </w:t>
      </w:r>
      <w:r w:rsidR="0015356E">
        <w:t xml:space="preserve">by </w:t>
      </w:r>
      <w:r w:rsidR="00135AB8">
        <w:t>Helen Harden</w:t>
      </w:r>
      <w:r w:rsidR="0015356E">
        <w:t xml:space="preserve"> (UYSEG)</w:t>
      </w:r>
      <w:r w:rsidR="00135AB8">
        <w:t>.</w:t>
      </w:r>
    </w:p>
    <w:p w14:paraId="21A00AA7" w14:textId="00F6AD94" w:rsidR="00CC78A5" w:rsidRDefault="00D278E8" w:rsidP="00E172C6">
      <w:pPr>
        <w:spacing w:after="180"/>
      </w:pPr>
      <w:r w:rsidRPr="0045323E">
        <w:t xml:space="preserve">Images: </w:t>
      </w:r>
      <w:r w:rsidR="00135AB8">
        <w:t>Helen Harden and Alistair Moore (UYSEG)</w:t>
      </w:r>
    </w:p>
    <w:p w14:paraId="13C58030"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56FE5EDF" w14:textId="220E6997" w:rsidR="003F20CF" w:rsidRPr="003F20CF" w:rsidRDefault="003F20CF" w:rsidP="003F20CF">
      <w:pPr>
        <w:pStyle w:val="EndNoteBibliography"/>
      </w:pPr>
      <w:r>
        <w:fldChar w:fldCharType="begin"/>
      </w:r>
      <w:r>
        <w:instrText xml:space="preserve"> ADDIN EN.REFLIST </w:instrText>
      </w:r>
      <w:r>
        <w:fldChar w:fldCharType="separate"/>
      </w:r>
      <w:r w:rsidRPr="003F20CF">
        <w:t xml:space="preserve">Coştu, B. and Ayas, A. ş. a. (2005). Evaporation in different liquids, secondary students' conceptions. </w:t>
      </w:r>
      <w:r w:rsidRPr="003F20CF">
        <w:rPr>
          <w:i/>
        </w:rPr>
        <w:t>Research in Science and Technological Education,</w:t>
      </w:r>
      <w:r w:rsidRPr="003F20CF">
        <w:t xml:space="preserve"> 23(1)</w:t>
      </w:r>
      <w:r w:rsidRPr="003F20CF">
        <w:rPr>
          <w:b/>
        </w:rPr>
        <w:t>,</w:t>
      </w:r>
      <w:r w:rsidRPr="003F20CF">
        <w:t xml:space="preserve"> 75-97.</w:t>
      </w:r>
    </w:p>
    <w:p w14:paraId="1AD36AE9" w14:textId="186E3545" w:rsidR="005E1205" w:rsidRPr="005E1205" w:rsidRDefault="003F20CF" w:rsidP="00026DEC">
      <w:pPr>
        <w:spacing w:after="180"/>
      </w:pPr>
      <w:r>
        <w:fldChar w:fldCharType="end"/>
      </w:r>
    </w:p>
    <w:sectPr w:rsidR="005E1205" w:rsidRPr="005E1205"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9D7DA" w14:textId="77777777" w:rsidR="0009632F" w:rsidRDefault="0009632F" w:rsidP="000B473B">
      <w:r>
        <w:separator/>
      </w:r>
    </w:p>
  </w:endnote>
  <w:endnote w:type="continuationSeparator" w:id="0">
    <w:p w14:paraId="652FD084" w14:textId="77777777" w:rsidR="0009632F" w:rsidRDefault="0009632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8908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9206EAC" wp14:editId="6C42A44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72ECC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1D3E5B8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7C4ADA07"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6CDFD" w14:textId="77777777" w:rsidR="0009632F" w:rsidRDefault="0009632F" w:rsidP="000B473B">
      <w:r>
        <w:separator/>
      </w:r>
    </w:p>
  </w:footnote>
  <w:footnote w:type="continuationSeparator" w:id="0">
    <w:p w14:paraId="6A324445" w14:textId="77777777" w:rsidR="0009632F" w:rsidRDefault="0009632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F70F8"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C56CEFE" wp14:editId="194FB82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25937EB" wp14:editId="53C2F43B">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E7BDD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E1F9A"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3A467D8" wp14:editId="6530AAA6">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70F92B3" wp14:editId="4B7BA230">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EC24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E1F"/>
    <w:rsid w:val="00015578"/>
    <w:rsid w:val="00024731"/>
    <w:rsid w:val="00026DEC"/>
    <w:rsid w:val="000505CA"/>
    <w:rsid w:val="0007651D"/>
    <w:rsid w:val="0009089A"/>
    <w:rsid w:val="000947E2"/>
    <w:rsid w:val="00095E04"/>
    <w:rsid w:val="0009632F"/>
    <w:rsid w:val="000B473B"/>
    <w:rsid w:val="000D0E89"/>
    <w:rsid w:val="000E2689"/>
    <w:rsid w:val="00135AB8"/>
    <w:rsid w:val="00142613"/>
    <w:rsid w:val="00144DA7"/>
    <w:rsid w:val="0015356E"/>
    <w:rsid w:val="00161D3F"/>
    <w:rsid w:val="00181E1F"/>
    <w:rsid w:val="001915D4"/>
    <w:rsid w:val="00194675"/>
    <w:rsid w:val="001A1FED"/>
    <w:rsid w:val="001A40E2"/>
    <w:rsid w:val="001A410F"/>
    <w:rsid w:val="001C2E59"/>
    <w:rsid w:val="001C4805"/>
    <w:rsid w:val="00201AC2"/>
    <w:rsid w:val="00214608"/>
    <w:rsid w:val="002178AC"/>
    <w:rsid w:val="0022547C"/>
    <w:rsid w:val="00253046"/>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3F20CF"/>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2D1A"/>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EF30CE"/>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0DD5B"/>
  <w15:docId w15:val="{958354B1-7350-462B-9C18-3EBE4870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F20C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F20CF"/>
    <w:rPr>
      <w:rFonts w:ascii="Calibri" w:hAnsi="Calibri" w:cs="Calibri"/>
      <w:noProof/>
      <w:lang w:val="en-US"/>
    </w:rPr>
  </w:style>
  <w:style w:type="paragraph" w:customStyle="1" w:styleId="EndNoteBibliography">
    <w:name w:val="EndNote Bibliography"/>
    <w:basedOn w:val="Normal"/>
    <w:link w:val="EndNoteBibliographyChar"/>
    <w:rsid w:val="003F20CF"/>
    <w:rPr>
      <w:rFonts w:ascii="Calibri" w:hAnsi="Calibri" w:cs="Calibri"/>
      <w:noProof/>
      <w:lang w:val="en-US"/>
    </w:rPr>
  </w:style>
  <w:style w:type="character" w:customStyle="1" w:styleId="EndNoteBibliographyChar">
    <w:name w:val="EndNote Bibliography Char"/>
    <w:basedOn w:val="DefaultParagraphFont"/>
    <w:link w:val="EndNoteBibliography"/>
    <w:rsid w:val="003F20C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32</TotalTime>
  <Pages>3</Pages>
  <Words>750</Words>
  <Characters>3946</Characters>
  <Application>Microsoft Office Word</Application>
  <DocSecurity>0</DocSecurity>
  <Lines>136</Lines>
  <Paragraphs>75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2017-02-24T16:20:00Z</cp:lastPrinted>
  <dcterms:created xsi:type="dcterms:W3CDTF">2019-03-26T11:34:00Z</dcterms:created>
  <dcterms:modified xsi:type="dcterms:W3CDTF">2019-03-29T11:40:00Z</dcterms:modified>
</cp:coreProperties>
</file>