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D936F" w14:textId="77777777" w:rsidR="00B36BF2" w:rsidRDefault="00B36BF2" w:rsidP="00B36BF2">
      <w:pPr>
        <w:spacing w:after="180"/>
        <w:rPr>
          <w:b/>
          <w:sz w:val="44"/>
          <w:szCs w:val="44"/>
        </w:rPr>
      </w:pPr>
      <w:r w:rsidRPr="00B36BF2">
        <w:rPr>
          <w:b/>
          <w:sz w:val="44"/>
          <w:szCs w:val="44"/>
        </w:rPr>
        <w:t>Stirring</w:t>
      </w:r>
    </w:p>
    <w:p w14:paraId="2C2D60B2" w14:textId="4EBA3EA7" w:rsidR="00B36BF2" w:rsidRDefault="00B36BF2" w:rsidP="00B36BF2">
      <w:pPr>
        <w:spacing w:after="180"/>
      </w:pPr>
      <w:r>
        <w:t>Some sugar is added to water.</w:t>
      </w:r>
    </w:p>
    <w:p w14:paraId="56DAFFB2" w14:textId="2D0388E9" w:rsidR="00B36BF2" w:rsidRDefault="00B36BF2" w:rsidP="00B36BF2">
      <w:pPr>
        <w:spacing w:after="180"/>
        <w:ind w:firstLine="720"/>
      </w:pPr>
      <w:r w:rsidRPr="00B36BF2">
        <w:rPr>
          <w:noProof/>
        </w:rPr>
        <w:drawing>
          <wp:inline distT="0" distB="0" distL="0" distR="0" wp14:anchorId="33E99A35" wp14:editId="23CDBC45">
            <wp:extent cx="454382" cy="1047750"/>
            <wp:effectExtent l="0" t="0" r="3175" b="0"/>
            <wp:docPr id="7" name="Picture 4">
              <a:extLst xmlns:a="http://schemas.openxmlformats.org/drawingml/2006/main">
                <a:ext uri="{FF2B5EF4-FFF2-40B4-BE49-F238E27FC236}">
                  <a16:creationId xmlns:a16="http://schemas.microsoft.com/office/drawing/2014/main" id="{66BB1CC1-9718-4762-8EA9-AF2257A00D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66BB1CC1-9718-4762-8EA9-AF2257A00D99}"/>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4538" cy="1071168"/>
                    </a:xfrm>
                    <a:prstGeom prst="rect">
                      <a:avLst/>
                    </a:prstGeom>
                  </pic:spPr>
                </pic:pic>
              </a:graphicData>
            </a:graphic>
          </wp:inline>
        </w:drawing>
      </w:r>
      <w:r>
        <w:tab/>
      </w:r>
      <w:r>
        <w:tab/>
      </w:r>
      <w:r>
        <w:tab/>
      </w:r>
      <w:r>
        <w:tab/>
      </w:r>
      <w:r w:rsidRPr="00B36BF2">
        <w:rPr>
          <w:noProof/>
        </w:rPr>
        <w:drawing>
          <wp:inline distT="0" distB="0" distL="0" distR="0" wp14:anchorId="6A064A9D" wp14:editId="124CC0D8">
            <wp:extent cx="448759" cy="1283660"/>
            <wp:effectExtent l="0" t="0" r="8890" b="0"/>
            <wp:docPr id="8" name="Picture 2">
              <a:extLst xmlns:a="http://schemas.openxmlformats.org/drawingml/2006/main">
                <a:ext uri="{FF2B5EF4-FFF2-40B4-BE49-F238E27FC236}">
                  <a16:creationId xmlns:a16="http://schemas.microsoft.com/office/drawing/2014/main" id="{4CBAF7CC-17F2-47A9-B48C-4F77667F0B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CBAF7CC-17F2-47A9-B48C-4F77667F0B3C}"/>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9963" cy="1315709"/>
                    </a:xfrm>
                    <a:prstGeom prst="rect">
                      <a:avLst/>
                    </a:prstGeom>
                  </pic:spPr>
                </pic:pic>
              </a:graphicData>
            </a:graphic>
          </wp:inline>
        </w:drawing>
      </w:r>
      <w:r>
        <w:tab/>
      </w:r>
      <w:r>
        <w:tab/>
      </w:r>
      <w:r>
        <w:tab/>
      </w:r>
      <w:r w:rsidR="00F93336">
        <w:rPr>
          <w:noProof/>
        </w:rPr>
        <w:drawing>
          <wp:inline distT="0" distB="0" distL="0" distR="0" wp14:anchorId="7BA8230A" wp14:editId="39EF4A94">
            <wp:extent cx="392923" cy="906033"/>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st tube with solution shallow.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9662" cy="944631"/>
                    </a:xfrm>
                    <a:prstGeom prst="rect">
                      <a:avLst/>
                    </a:prstGeom>
                  </pic:spPr>
                </pic:pic>
              </a:graphicData>
            </a:graphic>
          </wp:inline>
        </w:drawing>
      </w:r>
    </w:p>
    <w:p w14:paraId="2E22684E" w14:textId="190D7071" w:rsidR="00B36BF2" w:rsidRDefault="00B36BF2" w:rsidP="00B36BF2">
      <w:pPr>
        <w:pStyle w:val="NoSpacing"/>
      </w:pPr>
      <w:r w:rsidRPr="00B36BF2">
        <w:t>A small amount of sugar does not</w:t>
      </w:r>
      <w:r>
        <w:tab/>
      </w:r>
      <w:r w:rsidRPr="00B36BF2">
        <w:t xml:space="preserve"> </w:t>
      </w:r>
      <w:r>
        <w:t>T</w:t>
      </w:r>
      <w:r w:rsidRPr="00B36BF2">
        <w:t>he mixture is stirred.</w:t>
      </w:r>
      <w:r>
        <w:tab/>
      </w:r>
      <w:r>
        <w:tab/>
      </w:r>
      <w:r w:rsidRPr="00B36BF2">
        <w:t>All the sugar dissolves.</w:t>
      </w:r>
    </w:p>
    <w:p w14:paraId="1EAC07FA" w14:textId="0394CAAA" w:rsidR="00304A9C" w:rsidRPr="00B36BF2" w:rsidRDefault="00B36BF2" w:rsidP="00B36BF2">
      <w:pPr>
        <w:pStyle w:val="NoSpacing"/>
        <w:rPr>
          <w:b/>
          <w:sz w:val="44"/>
          <w:szCs w:val="44"/>
        </w:rPr>
      </w:pPr>
      <w:r w:rsidRPr="00B36BF2">
        <w:t xml:space="preserve">dissolve straight away. </w:t>
      </w:r>
    </w:p>
    <w:p w14:paraId="563865A9" w14:textId="464D58D5" w:rsidR="00B36BF2" w:rsidRPr="00B36BF2" w:rsidRDefault="00B36BF2" w:rsidP="00B36BF2">
      <w:pPr>
        <w:spacing w:after="180"/>
        <w:ind w:firstLine="720"/>
      </w:pPr>
    </w:p>
    <w:p w14:paraId="30E85980" w14:textId="791274A8" w:rsidR="00DD6E17" w:rsidRPr="00DD6E17" w:rsidRDefault="00B36BF2" w:rsidP="00DD6E17">
      <w:pPr>
        <w:pStyle w:val="ListParagraph"/>
        <w:numPr>
          <w:ilvl w:val="0"/>
          <w:numId w:val="4"/>
        </w:numPr>
        <w:spacing w:after="240"/>
        <w:rPr>
          <w:szCs w:val="18"/>
          <w:lang w:val="en-US"/>
        </w:rPr>
      </w:pPr>
      <w:r w:rsidRPr="00DD6E17">
        <w:rPr>
          <w:szCs w:val="18"/>
          <w:lang w:val="en-US"/>
        </w:rPr>
        <w:t>What has happened to the solubility of the sugar?</w:t>
      </w:r>
    </w:p>
    <w:p w14:paraId="2FB98A14" w14:textId="77777777" w:rsidR="00DD6E17" w:rsidRDefault="00DD6E17" w:rsidP="00DD6E17">
      <w:pPr>
        <w:ind w:firstLine="720"/>
      </w:pPr>
      <w:r>
        <w:t>Put a tick (</w:t>
      </w:r>
      <w:r>
        <w:sym w:font="Wingdings" w:char="F0FC"/>
      </w:r>
      <w:r>
        <w:t>) in the box next to the best answer.</w:t>
      </w:r>
      <w:r>
        <w:tab/>
      </w:r>
    </w:p>
    <w:p w14:paraId="7BF2EE5D" w14:textId="77777777" w:rsidR="00DD6E17" w:rsidRDefault="00DD6E17" w:rsidP="00DD6E17">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DD6E17" w:rsidRPr="00AE07E9" w14:paraId="26CC2803" w14:textId="77777777" w:rsidTr="005B3DBD">
        <w:trPr>
          <w:cantSplit/>
          <w:trHeight w:hRule="exact" w:val="567"/>
        </w:trPr>
        <w:tc>
          <w:tcPr>
            <w:tcW w:w="567" w:type="dxa"/>
            <w:vAlign w:val="center"/>
          </w:tcPr>
          <w:p w14:paraId="31AF6278" w14:textId="77777777" w:rsidR="00DD6E17" w:rsidRPr="00AE07E9" w:rsidRDefault="00DD6E17" w:rsidP="005B3D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306152A9" w14:textId="77777777" w:rsidR="00DD6E17" w:rsidRPr="009F3146" w:rsidRDefault="00DD6E17" w:rsidP="005B3DBD">
            <w:pPr>
              <w:tabs>
                <w:tab w:val="right" w:leader="dot" w:pos="8680"/>
              </w:tabs>
            </w:pPr>
            <w:r>
              <w:t xml:space="preserve">The solubility of the sugar has </w:t>
            </w:r>
            <w:r w:rsidRPr="00B36BF2">
              <w:rPr>
                <w:b/>
              </w:rPr>
              <w:t>increased</w:t>
            </w:r>
            <w:r>
              <w:t>.</w:t>
            </w:r>
          </w:p>
        </w:tc>
        <w:tc>
          <w:tcPr>
            <w:tcW w:w="567" w:type="dxa"/>
            <w:tcBorders>
              <w:top w:val="single" w:sz="4" w:space="0" w:color="auto"/>
              <w:left w:val="single" w:sz="4" w:space="0" w:color="auto"/>
              <w:bottom w:val="single" w:sz="4" w:space="0" w:color="auto"/>
              <w:right w:val="single" w:sz="4" w:space="0" w:color="auto"/>
            </w:tcBorders>
          </w:tcPr>
          <w:p w14:paraId="20ACF8A9" w14:textId="77777777" w:rsidR="00DD6E17" w:rsidRPr="00AE07E9" w:rsidRDefault="00DD6E17" w:rsidP="005B3DBD">
            <w:pPr>
              <w:tabs>
                <w:tab w:val="right" w:leader="dot" w:pos="8680"/>
              </w:tabs>
              <w:rPr>
                <w:rFonts w:eastAsia="Times New Roman" w:cs="Times New Roman"/>
                <w:lang w:eastAsia="en-GB"/>
              </w:rPr>
            </w:pPr>
          </w:p>
        </w:tc>
      </w:tr>
      <w:tr w:rsidR="00DD6E17" w:rsidRPr="00AE07E9" w14:paraId="496BEA50" w14:textId="77777777" w:rsidTr="00897CC4">
        <w:trPr>
          <w:cantSplit/>
          <w:trHeight w:hRule="exact" w:val="170"/>
        </w:trPr>
        <w:tc>
          <w:tcPr>
            <w:tcW w:w="567" w:type="dxa"/>
            <w:vAlign w:val="center"/>
          </w:tcPr>
          <w:p w14:paraId="0127D2E9" w14:textId="77777777" w:rsidR="00DD6E17" w:rsidRPr="00AE07E9" w:rsidRDefault="00DD6E17" w:rsidP="005B3DB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6FD2E39F" w14:textId="77777777" w:rsidR="00DD6E17" w:rsidRPr="00AE07E9" w:rsidRDefault="00DD6E17" w:rsidP="005B3DB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87346B3" w14:textId="77777777" w:rsidR="00DD6E17" w:rsidRPr="00AE07E9" w:rsidRDefault="00DD6E17" w:rsidP="005B3DBD">
            <w:pPr>
              <w:tabs>
                <w:tab w:val="right" w:leader="dot" w:pos="8680"/>
              </w:tabs>
              <w:rPr>
                <w:rFonts w:eastAsia="Times New Roman" w:cs="Times New Roman"/>
                <w:lang w:eastAsia="en-GB"/>
              </w:rPr>
            </w:pPr>
          </w:p>
        </w:tc>
      </w:tr>
      <w:tr w:rsidR="00DD6E17" w:rsidRPr="00AE07E9" w14:paraId="640468D4" w14:textId="77777777" w:rsidTr="00897CC4">
        <w:trPr>
          <w:cantSplit/>
          <w:trHeight w:hRule="exact" w:val="567"/>
        </w:trPr>
        <w:tc>
          <w:tcPr>
            <w:tcW w:w="567" w:type="dxa"/>
            <w:vAlign w:val="center"/>
          </w:tcPr>
          <w:p w14:paraId="4C08DC1F" w14:textId="77777777" w:rsidR="00DD6E17" w:rsidRPr="00AE07E9" w:rsidRDefault="00DD6E17" w:rsidP="005B3D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AF18208" w14:textId="77777777" w:rsidR="00DD6E17" w:rsidRPr="00B36BF2" w:rsidRDefault="00DD6E17" w:rsidP="005B3DBD">
            <w:pPr>
              <w:tabs>
                <w:tab w:val="right" w:leader="dot" w:pos="8680"/>
              </w:tabs>
            </w:pPr>
            <w:r w:rsidRPr="00B36BF2">
              <w:t xml:space="preserve">The solubility of the sugar has </w:t>
            </w:r>
            <w:r w:rsidRPr="00B36BF2">
              <w:rPr>
                <w:b/>
              </w:rPr>
              <w:t>stayed the same</w:t>
            </w:r>
            <w:r w:rsidRPr="00B36BF2">
              <w:t>.</w:t>
            </w:r>
          </w:p>
        </w:tc>
        <w:tc>
          <w:tcPr>
            <w:tcW w:w="567" w:type="dxa"/>
            <w:tcBorders>
              <w:top w:val="single" w:sz="4" w:space="0" w:color="auto"/>
              <w:left w:val="single" w:sz="4" w:space="0" w:color="auto"/>
              <w:bottom w:val="single" w:sz="4" w:space="0" w:color="auto"/>
              <w:right w:val="single" w:sz="4" w:space="0" w:color="auto"/>
            </w:tcBorders>
          </w:tcPr>
          <w:p w14:paraId="6E162E8A" w14:textId="77777777" w:rsidR="00DD6E17" w:rsidRPr="00AE07E9" w:rsidRDefault="00DD6E17" w:rsidP="005B3DBD">
            <w:pPr>
              <w:tabs>
                <w:tab w:val="right" w:leader="dot" w:pos="8680"/>
              </w:tabs>
              <w:rPr>
                <w:rFonts w:eastAsia="Times New Roman" w:cs="Times New Roman"/>
                <w:lang w:eastAsia="en-GB"/>
              </w:rPr>
            </w:pPr>
          </w:p>
        </w:tc>
      </w:tr>
      <w:tr w:rsidR="00DD6E17" w:rsidRPr="00AE07E9" w14:paraId="63079D53" w14:textId="77777777" w:rsidTr="00897CC4">
        <w:trPr>
          <w:cantSplit/>
          <w:trHeight w:hRule="exact" w:val="170"/>
        </w:trPr>
        <w:tc>
          <w:tcPr>
            <w:tcW w:w="567" w:type="dxa"/>
            <w:vAlign w:val="center"/>
          </w:tcPr>
          <w:p w14:paraId="1836813B" w14:textId="77777777" w:rsidR="00DD6E17" w:rsidRPr="00AE07E9" w:rsidRDefault="00DD6E17" w:rsidP="005B3DBD">
            <w:pPr>
              <w:tabs>
                <w:tab w:val="right" w:leader="dot" w:pos="8680"/>
              </w:tabs>
              <w:jc w:val="center"/>
              <w:rPr>
                <w:rFonts w:eastAsia="Times New Roman" w:cs="Times New Roman"/>
                <w:b/>
                <w:lang w:eastAsia="en-GB"/>
              </w:rPr>
            </w:pPr>
          </w:p>
        </w:tc>
        <w:tc>
          <w:tcPr>
            <w:tcW w:w="7655" w:type="dxa"/>
          </w:tcPr>
          <w:p w14:paraId="7E0883B4" w14:textId="77777777" w:rsidR="00DD6E17" w:rsidRPr="00B36BF2" w:rsidRDefault="00DD6E17" w:rsidP="005B3DBD">
            <w:pPr>
              <w:tabs>
                <w:tab w:val="right" w:leader="dot" w:pos="8680"/>
              </w:tabs>
              <w:rPr>
                <w:rFonts w:eastAsia="Times New Roman" w:cs="Times New Roman"/>
                <w:lang w:eastAsia="en-GB"/>
              </w:rPr>
            </w:pPr>
          </w:p>
        </w:tc>
        <w:tc>
          <w:tcPr>
            <w:tcW w:w="567" w:type="dxa"/>
            <w:tcBorders>
              <w:top w:val="single" w:sz="4" w:space="0" w:color="auto"/>
            </w:tcBorders>
          </w:tcPr>
          <w:p w14:paraId="27B19757" w14:textId="77777777" w:rsidR="00DD6E17" w:rsidRPr="00AE07E9" w:rsidRDefault="00DD6E17" w:rsidP="005B3DBD">
            <w:pPr>
              <w:tabs>
                <w:tab w:val="right" w:leader="dot" w:pos="8680"/>
              </w:tabs>
              <w:rPr>
                <w:rFonts w:eastAsia="Times New Roman" w:cs="Times New Roman"/>
                <w:lang w:eastAsia="en-GB"/>
              </w:rPr>
            </w:pPr>
          </w:p>
        </w:tc>
      </w:tr>
    </w:tbl>
    <w:p w14:paraId="5570EA64" w14:textId="77777777" w:rsidR="00DD6E17" w:rsidRPr="00DD6E17" w:rsidRDefault="00DD6E17" w:rsidP="00DD6E17">
      <w:pPr>
        <w:spacing w:after="240"/>
        <w:rPr>
          <w:szCs w:val="18"/>
          <w:lang w:val="en-US"/>
        </w:rPr>
      </w:pPr>
    </w:p>
    <w:p w14:paraId="2C2811DC" w14:textId="20E30D95" w:rsidR="00DD6E17" w:rsidRPr="00DD6E17" w:rsidRDefault="00DD6E17" w:rsidP="00DD6E17">
      <w:pPr>
        <w:pStyle w:val="ListParagraph"/>
        <w:numPr>
          <w:ilvl w:val="0"/>
          <w:numId w:val="4"/>
        </w:numPr>
        <w:spacing w:after="240"/>
        <w:rPr>
          <w:szCs w:val="18"/>
          <w:lang w:val="en-US"/>
        </w:rPr>
      </w:pPr>
      <w:r>
        <w:rPr>
          <w:szCs w:val="18"/>
          <w:lang w:val="en-US"/>
        </w:rPr>
        <w:t>Why is this?</w:t>
      </w:r>
    </w:p>
    <w:p w14:paraId="35846A20" w14:textId="17C58227" w:rsidR="00201AC2" w:rsidRPr="00201AC2" w:rsidRDefault="00DD6E17" w:rsidP="00DD6E17">
      <w:pPr>
        <w:spacing w:after="240"/>
        <w:ind w:left="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DD6E17" w:rsidRPr="00AE07E9" w14:paraId="180AF162" w14:textId="77777777" w:rsidTr="008C513A">
        <w:trPr>
          <w:cantSplit/>
          <w:trHeight w:hRule="exact" w:val="567"/>
        </w:trPr>
        <w:tc>
          <w:tcPr>
            <w:tcW w:w="567" w:type="dxa"/>
            <w:vAlign w:val="center"/>
          </w:tcPr>
          <w:p w14:paraId="72C53102" w14:textId="77777777" w:rsidR="00DD6E17" w:rsidRPr="00AE07E9" w:rsidRDefault="00DD6E17" w:rsidP="008C513A">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1F61403" w14:textId="3C471DFD" w:rsidR="00DD6E17" w:rsidRPr="009F3146" w:rsidRDefault="00DD6E17" w:rsidP="008C513A">
            <w:pPr>
              <w:tabs>
                <w:tab w:val="right" w:leader="dot" w:pos="8680"/>
              </w:tabs>
            </w:pPr>
            <w:r>
              <w:t>All the sugar would have dissolved if left.</w:t>
            </w:r>
          </w:p>
        </w:tc>
        <w:tc>
          <w:tcPr>
            <w:tcW w:w="567" w:type="dxa"/>
            <w:tcBorders>
              <w:top w:val="single" w:sz="4" w:space="0" w:color="auto"/>
              <w:left w:val="single" w:sz="4" w:space="0" w:color="auto"/>
              <w:bottom w:val="single" w:sz="4" w:space="0" w:color="auto"/>
              <w:right w:val="single" w:sz="4" w:space="0" w:color="auto"/>
            </w:tcBorders>
          </w:tcPr>
          <w:p w14:paraId="286A7B5A" w14:textId="77777777" w:rsidR="00DD6E17" w:rsidRPr="00AE07E9" w:rsidRDefault="00DD6E17" w:rsidP="008C513A">
            <w:pPr>
              <w:tabs>
                <w:tab w:val="right" w:leader="dot" w:pos="8680"/>
              </w:tabs>
              <w:rPr>
                <w:rFonts w:eastAsia="Times New Roman" w:cs="Times New Roman"/>
                <w:lang w:eastAsia="en-GB"/>
              </w:rPr>
            </w:pPr>
          </w:p>
        </w:tc>
      </w:tr>
      <w:tr w:rsidR="00DD6E17" w:rsidRPr="00AE07E9" w14:paraId="072BA44A" w14:textId="77777777" w:rsidTr="008C513A">
        <w:trPr>
          <w:cantSplit/>
          <w:trHeight w:hRule="exact" w:val="170"/>
        </w:trPr>
        <w:tc>
          <w:tcPr>
            <w:tcW w:w="567" w:type="dxa"/>
            <w:vAlign w:val="center"/>
          </w:tcPr>
          <w:p w14:paraId="76DAED3A" w14:textId="77777777" w:rsidR="00DD6E17" w:rsidRPr="00AE07E9" w:rsidRDefault="00DD6E17" w:rsidP="008C513A">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47CBC5DA" w14:textId="77777777" w:rsidR="00DD6E17" w:rsidRPr="00AE07E9" w:rsidRDefault="00DD6E17" w:rsidP="008C513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F7218BB" w14:textId="77777777" w:rsidR="00DD6E17" w:rsidRPr="00AE07E9" w:rsidRDefault="00DD6E17" w:rsidP="008C513A">
            <w:pPr>
              <w:tabs>
                <w:tab w:val="right" w:leader="dot" w:pos="8680"/>
              </w:tabs>
              <w:rPr>
                <w:rFonts w:eastAsia="Times New Roman" w:cs="Times New Roman"/>
                <w:lang w:eastAsia="en-GB"/>
              </w:rPr>
            </w:pPr>
          </w:p>
        </w:tc>
      </w:tr>
      <w:tr w:rsidR="00DD6E17" w:rsidRPr="00AE07E9" w14:paraId="4A410060" w14:textId="77777777" w:rsidTr="008C513A">
        <w:trPr>
          <w:cantSplit/>
          <w:trHeight w:hRule="exact" w:val="567"/>
        </w:trPr>
        <w:tc>
          <w:tcPr>
            <w:tcW w:w="567" w:type="dxa"/>
            <w:vAlign w:val="center"/>
          </w:tcPr>
          <w:p w14:paraId="304A6328" w14:textId="77777777" w:rsidR="00DD6E17" w:rsidRPr="00AE07E9" w:rsidRDefault="00DD6E17" w:rsidP="008C513A">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30CAB8D1" w14:textId="1C7425D4" w:rsidR="00DD6E17" w:rsidRPr="009F3146" w:rsidRDefault="00DD6E17" w:rsidP="008C513A">
            <w:pPr>
              <w:tabs>
                <w:tab w:val="right" w:leader="dot" w:pos="8680"/>
              </w:tabs>
            </w:pPr>
            <w:r>
              <w:t>The stirring is what makes dissolving happen.</w:t>
            </w:r>
          </w:p>
        </w:tc>
        <w:tc>
          <w:tcPr>
            <w:tcW w:w="567" w:type="dxa"/>
            <w:tcBorders>
              <w:top w:val="single" w:sz="4" w:space="0" w:color="auto"/>
              <w:left w:val="single" w:sz="4" w:space="0" w:color="auto"/>
              <w:bottom w:val="single" w:sz="4" w:space="0" w:color="auto"/>
              <w:right w:val="single" w:sz="4" w:space="0" w:color="auto"/>
            </w:tcBorders>
          </w:tcPr>
          <w:p w14:paraId="6C21081C" w14:textId="77777777" w:rsidR="00DD6E17" w:rsidRPr="00AE07E9" w:rsidRDefault="00DD6E17" w:rsidP="008C513A">
            <w:pPr>
              <w:tabs>
                <w:tab w:val="right" w:leader="dot" w:pos="8680"/>
              </w:tabs>
              <w:rPr>
                <w:rFonts w:eastAsia="Times New Roman" w:cs="Times New Roman"/>
                <w:lang w:eastAsia="en-GB"/>
              </w:rPr>
            </w:pPr>
          </w:p>
        </w:tc>
        <w:bookmarkStart w:id="0" w:name="_GoBack"/>
        <w:bookmarkEnd w:id="0"/>
      </w:tr>
      <w:tr w:rsidR="00DD6E17" w:rsidRPr="00AE07E9" w14:paraId="71138A07" w14:textId="77777777" w:rsidTr="008C513A">
        <w:trPr>
          <w:cantSplit/>
          <w:trHeight w:hRule="exact" w:val="170"/>
        </w:trPr>
        <w:tc>
          <w:tcPr>
            <w:tcW w:w="567" w:type="dxa"/>
            <w:vAlign w:val="center"/>
          </w:tcPr>
          <w:p w14:paraId="3AB8336C" w14:textId="77777777" w:rsidR="00DD6E17" w:rsidRPr="00AE07E9" w:rsidRDefault="00DD6E17" w:rsidP="008C513A">
            <w:pPr>
              <w:tabs>
                <w:tab w:val="right" w:leader="dot" w:pos="8680"/>
              </w:tabs>
              <w:jc w:val="center"/>
              <w:rPr>
                <w:rFonts w:eastAsia="Times New Roman" w:cs="Times New Roman"/>
                <w:b/>
                <w:lang w:eastAsia="en-GB"/>
              </w:rPr>
            </w:pPr>
          </w:p>
        </w:tc>
        <w:tc>
          <w:tcPr>
            <w:tcW w:w="7655" w:type="dxa"/>
          </w:tcPr>
          <w:p w14:paraId="47999A30" w14:textId="77777777" w:rsidR="00DD6E17" w:rsidRPr="00AE07E9" w:rsidRDefault="00DD6E17" w:rsidP="008C513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ABD091D" w14:textId="77777777" w:rsidR="00DD6E17" w:rsidRPr="00AE07E9" w:rsidRDefault="00DD6E17" w:rsidP="008C513A">
            <w:pPr>
              <w:tabs>
                <w:tab w:val="right" w:leader="dot" w:pos="8680"/>
              </w:tabs>
              <w:rPr>
                <w:rFonts w:eastAsia="Times New Roman" w:cs="Times New Roman"/>
                <w:lang w:eastAsia="en-GB"/>
              </w:rPr>
            </w:pPr>
          </w:p>
        </w:tc>
      </w:tr>
      <w:tr w:rsidR="00DD6E17" w:rsidRPr="00AE07E9" w14:paraId="42F848D8" w14:textId="77777777" w:rsidTr="00897CC4">
        <w:trPr>
          <w:cantSplit/>
          <w:trHeight w:hRule="exact" w:val="567"/>
        </w:trPr>
        <w:tc>
          <w:tcPr>
            <w:tcW w:w="567" w:type="dxa"/>
            <w:vAlign w:val="center"/>
          </w:tcPr>
          <w:p w14:paraId="15A32F59" w14:textId="77777777" w:rsidR="00DD6E17" w:rsidRPr="00AE07E9" w:rsidRDefault="00DD6E17" w:rsidP="008C513A">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05C261A" w14:textId="71BD7F13" w:rsidR="00DD6E17" w:rsidRPr="009F3146" w:rsidRDefault="00DD6E17" w:rsidP="008C513A">
            <w:pPr>
              <w:tabs>
                <w:tab w:val="right" w:leader="dot" w:pos="8680"/>
              </w:tabs>
            </w:pPr>
            <w:r>
              <w:t>Stirring increases the amount of sugar that dissolves.</w:t>
            </w:r>
          </w:p>
        </w:tc>
        <w:tc>
          <w:tcPr>
            <w:tcW w:w="567" w:type="dxa"/>
            <w:tcBorders>
              <w:top w:val="single" w:sz="4" w:space="0" w:color="auto"/>
              <w:left w:val="single" w:sz="4" w:space="0" w:color="auto"/>
              <w:bottom w:val="single" w:sz="4" w:space="0" w:color="auto"/>
              <w:right w:val="single" w:sz="4" w:space="0" w:color="auto"/>
            </w:tcBorders>
          </w:tcPr>
          <w:p w14:paraId="5A2E72D5" w14:textId="77777777" w:rsidR="00DD6E17" w:rsidRPr="00AE07E9" w:rsidRDefault="00DD6E17" w:rsidP="008C513A">
            <w:pPr>
              <w:tabs>
                <w:tab w:val="right" w:leader="dot" w:pos="8680"/>
              </w:tabs>
              <w:rPr>
                <w:rFonts w:eastAsia="Times New Roman" w:cs="Times New Roman"/>
                <w:lang w:eastAsia="en-GB"/>
              </w:rPr>
            </w:pPr>
          </w:p>
        </w:tc>
      </w:tr>
      <w:tr w:rsidR="00DD6E17" w:rsidRPr="00AE07E9" w14:paraId="45D21B9D" w14:textId="77777777" w:rsidTr="00897CC4">
        <w:trPr>
          <w:cantSplit/>
          <w:trHeight w:hRule="exact" w:val="170"/>
        </w:trPr>
        <w:tc>
          <w:tcPr>
            <w:tcW w:w="567" w:type="dxa"/>
            <w:vAlign w:val="center"/>
          </w:tcPr>
          <w:p w14:paraId="4A0F5CC9" w14:textId="77777777" w:rsidR="00DD6E17" w:rsidRPr="00AE07E9" w:rsidRDefault="00DD6E17" w:rsidP="008C513A">
            <w:pPr>
              <w:tabs>
                <w:tab w:val="right" w:leader="dot" w:pos="8680"/>
              </w:tabs>
              <w:jc w:val="center"/>
              <w:rPr>
                <w:rFonts w:eastAsia="Times New Roman" w:cs="Times New Roman"/>
                <w:b/>
                <w:lang w:eastAsia="en-GB"/>
              </w:rPr>
            </w:pPr>
          </w:p>
        </w:tc>
        <w:tc>
          <w:tcPr>
            <w:tcW w:w="7655" w:type="dxa"/>
          </w:tcPr>
          <w:p w14:paraId="4A676E73" w14:textId="77777777" w:rsidR="00DD6E17" w:rsidRPr="00AE07E9" w:rsidRDefault="00DD6E17" w:rsidP="008C513A">
            <w:pPr>
              <w:tabs>
                <w:tab w:val="right" w:leader="dot" w:pos="8680"/>
              </w:tabs>
              <w:rPr>
                <w:rFonts w:eastAsia="Times New Roman" w:cs="Times New Roman"/>
                <w:lang w:eastAsia="en-GB"/>
              </w:rPr>
            </w:pPr>
          </w:p>
        </w:tc>
        <w:tc>
          <w:tcPr>
            <w:tcW w:w="567" w:type="dxa"/>
            <w:tcBorders>
              <w:top w:val="single" w:sz="4" w:space="0" w:color="auto"/>
            </w:tcBorders>
          </w:tcPr>
          <w:p w14:paraId="7D050D09" w14:textId="77777777" w:rsidR="00DD6E17" w:rsidRPr="00AE07E9" w:rsidRDefault="00DD6E17" w:rsidP="008C513A">
            <w:pPr>
              <w:tabs>
                <w:tab w:val="right" w:leader="dot" w:pos="8680"/>
              </w:tabs>
              <w:rPr>
                <w:rFonts w:eastAsia="Times New Roman" w:cs="Times New Roman"/>
                <w:lang w:eastAsia="en-GB"/>
              </w:rPr>
            </w:pPr>
          </w:p>
        </w:tc>
      </w:tr>
    </w:tbl>
    <w:p w14:paraId="33E812EF"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692B3556" w14:textId="0C314EB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B36BF2">
        <w:rPr>
          <w:i/>
          <w:sz w:val="18"/>
          <w:szCs w:val="18"/>
        </w:rPr>
        <w:t>CSU:</w:t>
      </w:r>
      <w:r w:rsidR="00D22E3E">
        <w:rPr>
          <w:i/>
          <w:sz w:val="18"/>
          <w:szCs w:val="18"/>
        </w:rPr>
        <w:t xml:space="preserve"> </w:t>
      </w:r>
      <w:r w:rsidR="00B36BF2">
        <w:rPr>
          <w:i/>
          <w:sz w:val="18"/>
          <w:szCs w:val="18"/>
        </w:rPr>
        <w:t>Substance</w:t>
      </w:r>
      <w:r w:rsidR="0007651D">
        <w:rPr>
          <w:i/>
          <w:sz w:val="18"/>
          <w:szCs w:val="18"/>
        </w:rPr>
        <w:t xml:space="preserve"> &gt; Topic </w:t>
      </w:r>
      <w:r w:rsidR="00B36BF2">
        <w:rPr>
          <w:i/>
          <w:sz w:val="18"/>
          <w:szCs w:val="18"/>
        </w:rPr>
        <w:t>CSU</w:t>
      </w:r>
      <w:r w:rsidR="00D22E3E">
        <w:rPr>
          <w:i/>
          <w:sz w:val="18"/>
          <w:szCs w:val="18"/>
        </w:rPr>
        <w:t>2</w:t>
      </w:r>
      <w:r w:rsidR="00B36BF2">
        <w:rPr>
          <w:i/>
          <w:sz w:val="18"/>
          <w:szCs w:val="18"/>
        </w:rPr>
        <w:t>: Solubility</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B36BF2">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BF2215E" w14:textId="77777777" w:rsidTr="00323334">
        <w:tc>
          <w:tcPr>
            <w:tcW w:w="12021" w:type="dxa"/>
            <w:shd w:val="clear" w:color="auto" w:fill="FABF8F" w:themeFill="accent6" w:themeFillTint="99"/>
          </w:tcPr>
          <w:p w14:paraId="39AA0E44"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4B245CE" w14:textId="77777777" w:rsidTr="00323334">
        <w:tc>
          <w:tcPr>
            <w:tcW w:w="12021" w:type="dxa"/>
            <w:shd w:val="clear" w:color="auto" w:fill="FBD4B4" w:themeFill="accent6" w:themeFillTint="66"/>
          </w:tcPr>
          <w:p w14:paraId="22F6E4BF" w14:textId="758372EB" w:rsidR="006F3279" w:rsidRPr="00CA4B46" w:rsidRDefault="00B36BF2" w:rsidP="006F3279">
            <w:pPr>
              <w:spacing w:after="60"/>
              <w:ind w:left="1304"/>
              <w:rPr>
                <w:b/>
                <w:sz w:val="40"/>
                <w:szCs w:val="40"/>
              </w:rPr>
            </w:pPr>
            <w:r w:rsidRPr="00B36BF2">
              <w:rPr>
                <w:b/>
                <w:sz w:val="40"/>
                <w:szCs w:val="40"/>
              </w:rPr>
              <w:t>Stirring</w:t>
            </w:r>
          </w:p>
        </w:tc>
      </w:tr>
    </w:tbl>
    <w:p w14:paraId="762CE88B" w14:textId="77777777" w:rsidR="006F3279" w:rsidRDefault="006F3279" w:rsidP="00E172C6">
      <w:pPr>
        <w:spacing w:after="180"/>
        <w:rPr>
          <w:b/>
        </w:rPr>
      </w:pPr>
    </w:p>
    <w:p w14:paraId="33E20E50"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096E610" w14:textId="77777777" w:rsidTr="003F16F9">
        <w:trPr>
          <w:trHeight w:val="340"/>
        </w:trPr>
        <w:tc>
          <w:tcPr>
            <w:tcW w:w="2196" w:type="dxa"/>
          </w:tcPr>
          <w:p w14:paraId="024BE99C" w14:textId="77777777" w:rsidR="00FA5B3A" w:rsidRDefault="00FA5B3A" w:rsidP="00FA5B3A">
            <w:pPr>
              <w:spacing w:before="60" w:after="60"/>
            </w:pPr>
            <w:r>
              <w:t>Learning focus:</w:t>
            </w:r>
          </w:p>
        </w:tc>
        <w:tc>
          <w:tcPr>
            <w:tcW w:w="6820" w:type="dxa"/>
          </w:tcPr>
          <w:p w14:paraId="354DB148" w14:textId="798DF316" w:rsidR="00FA5B3A" w:rsidRPr="008C5558" w:rsidRDefault="00B36BF2" w:rsidP="00FA5B3A">
            <w:pPr>
              <w:spacing w:before="60" w:after="60"/>
            </w:pPr>
            <w:r w:rsidRPr="008C5558">
              <w:rPr>
                <w:rFonts w:cstheme="minorHAnsi"/>
                <w:szCs w:val="20"/>
              </w:rPr>
              <w:t>Solubility is a property of a substance that varies with temperature.</w:t>
            </w:r>
          </w:p>
        </w:tc>
      </w:tr>
      <w:tr w:rsidR="00FA5B3A" w14:paraId="387F72E0" w14:textId="77777777" w:rsidTr="003F16F9">
        <w:trPr>
          <w:trHeight w:val="340"/>
        </w:trPr>
        <w:tc>
          <w:tcPr>
            <w:tcW w:w="2196" w:type="dxa"/>
          </w:tcPr>
          <w:p w14:paraId="3804A232" w14:textId="77777777" w:rsidR="00FA5B3A" w:rsidRDefault="00FA5B3A" w:rsidP="00FA5B3A">
            <w:pPr>
              <w:spacing w:before="60" w:after="60"/>
            </w:pPr>
            <w:r>
              <w:t>Observable learning outcome:</w:t>
            </w:r>
          </w:p>
        </w:tc>
        <w:tc>
          <w:tcPr>
            <w:tcW w:w="6820" w:type="dxa"/>
          </w:tcPr>
          <w:p w14:paraId="55BCAD59" w14:textId="67630656" w:rsidR="0065611A" w:rsidRPr="008C5558" w:rsidRDefault="0065611A" w:rsidP="0065611A">
            <w:pPr>
              <w:rPr>
                <w:rFonts w:cstheme="minorHAnsi"/>
                <w:szCs w:val="20"/>
              </w:rPr>
            </w:pPr>
            <w:r w:rsidRPr="008C5558">
              <w:rPr>
                <w:rFonts w:cstheme="minorHAnsi"/>
                <w:szCs w:val="20"/>
              </w:rPr>
              <w:t xml:space="preserve">Recognise that stirring does not affect </w:t>
            </w:r>
            <w:r w:rsidR="00D22E3E">
              <w:rPr>
                <w:rFonts w:cstheme="minorHAnsi"/>
                <w:szCs w:val="20"/>
              </w:rPr>
              <w:t xml:space="preserve">the </w:t>
            </w:r>
            <w:r w:rsidR="000D1D38">
              <w:rPr>
                <w:rFonts w:cstheme="minorHAnsi"/>
                <w:szCs w:val="20"/>
              </w:rPr>
              <w:t>solubility of a substance.</w:t>
            </w:r>
          </w:p>
          <w:p w14:paraId="24CF1C5A" w14:textId="6CC4D217" w:rsidR="00FA5B3A" w:rsidRPr="008C5558" w:rsidRDefault="00FA5B3A" w:rsidP="00FA5B3A">
            <w:pPr>
              <w:spacing w:before="60" w:after="60"/>
              <w:rPr>
                <w:b/>
              </w:rPr>
            </w:pPr>
          </w:p>
        </w:tc>
      </w:tr>
      <w:tr w:rsidR="00FA5B3A" w14:paraId="604355E5" w14:textId="77777777" w:rsidTr="003F16F9">
        <w:trPr>
          <w:trHeight w:val="340"/>
        </w:trPr>
        <w:tc>
          <w:tcPr>
            <w:tcW w:w="2196" w:type="dxa"/>
          </w:tcPr>
          <w:p w14:paraId="0C66CE79" w14:textId="77777777" w:rsidR="00FA5B3A" w:rsidRDefault="007F5D5D" w:rsidP="00FA5B3A">
            <w:pPr>
              <w:spacing w:before="60" w:after="60"/>
            </w:pPr>
            <w:r>
              <w:t>Question</w:t>
            </w:r>
            <w:r w:rsidR="00FA5B3A">
              <w:t xml:space="preserve"> type:</w:t>
            </w:r>
          </w:p>
        </w:tc>
        <w:tc>
          <w:tcPr>
            <w:tcW w:w="6820" w:type="dxa"/>
          </w:tcPr>
          <w:p w14:paraId="5F0BBC4A" w14:textId="57BAF276" w:rsidR="00FA5B3A" w:rsidRPr="008C5558" w:rsidRDefault="00E252BE" w:rsidP="00304A9C">
            <w:pPr>
              <w:spacing w:before="60" w:after="60"/>
              <w:rPr>
                <w:rFonts w:cstheme="minorHAnsi"/>
                <w:szCs w:val="20"/>
              </w:rPr>
            </w:pPr>
            <w:r w:rsidRPr="008C5558">
              <w:rPr>
                <w:rFonts w:cstheme="minorHAnsi"/>
                <w:szCs w:val="20"/>
              </w:rPr>
              <w:t xml:space="preserve">Diagnostic, </w:t>
            </w:r>
            <w:r w:rsidR="00DD6E17">
              <w:rPr>
                <w:rFonts w:cstheme="minorHAnsi"/>
                <w:szCs w:val="20"/>
              </w:rPr>
              <w:t>two-tier multiple choice</w:t>
            </w:r>
          </w:p>
        </w:tc>
      </w:tr>
      <w:tr w:rsidR="00FA5B3A" w14:paraId="4B923758" w14:textId="77777777" w:rsidTr="003F16F9">
        <w:trPr>
          <w:trHeight w:val="340"/>
        </w:trPr>
        <w:tc>
          <w:tcPr>
            <w:tcW w:w="2196" w:type="dxa"/>
          </w:tcPr>
          <w:p w14:paraId="12432B6E" w14:textId="77777777" w:rsidR="00FA5B3A" w:rsidRDefault="00FA5B3A" w:rsidP="00FA5B3A">
            <w:pPr>
              <w:spacing w:before="60" w:after="60"/>
            </w:pPr>
            <w:r>
              <w:t>Key words:</w:t>
            </w:r>
          </w:p>
        </w:tc>
        <w:tc>
          <w:tcPr>
            <w:tcW w:w="6820" w:type="dxa"/>
            <w:tcBorders>
              <w:bottom w:val="dotted" w:sz="4" w:space="0" w:color="auto"/>
            </w:tcBorders>
          </w:tcPr>
          <w:p w14:paraId="35E5CA64" w14:textId="1A97854F" w:rsidR="00FA5B3A" w:rsidRPr="008C5558" w:rsidRDefault="0065611A" w:rsidP="00FA5B3A">
            <w:pPr>
              <w:spacing w:before="60" w:after="60"/>
              <w:rPr>
                <w:rFonts w:cstheme="minorHAnsi"/>
                <w:szCs w:val="20"/>
              </w:rPr>
            </w:pPr>
            <w:r w:rsidRPr="008C5558">
              <w:rPr>
                <w:rFonts w:cstheme="minorHAnsi"/>
                <w:szCs w:val="20"/>
              </w:rPr>
              <w:t>dissolve, solubility</w:t>
            </w:r>
          </w:p>
        </w:tc>
      </w:tr>
    </w:tbl>
    <w:p w14:paraId="29F068B3" w14:textId="77777777" w:rsidR="00F72ECC" w:rsidRDefault="00F72ECC"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7929A3" w14:paraId="32D35BD7" w14:textId="77777777" w:rsidTr="003E547C">
        <w:tc>
          <w:tcPr>
            <w:tcW w:w="709" w:type="dxa"/>
            <w:shd w:val="clear" w:color="auto" w:fill="FABF8F" w:themeFill="accent6" w:themeFillTint="99"/>
            <w:tcMar>
              <w:left w:w="28" w:type="dxa"/>
              <w:bottom w:w="57" w:type="dxa"/>
              <w:right w:w="28" w:type="dxa"/>
            </w:tcMar>
            <w:vAlign w:val="center"/>
          </w:tcPr>
          <w:p w14:paraId="2698F329" w14:textId="77777777" w:rsidR="007929A3" w:rsidRPr="00F72ECC" w:rsidRDefault="007929A3" w:rsidP="003E547C">
            <w:pPr>
              <w:jc w:val="center"/>
              <w:rPr>
                <w:b/>
                <w:color w:val="FFFFFF" w:themeColor="background1"/>
                <w:sz w:val="40"/>
              </w:rPr>
            </w:pPr>
            <w:r>
              <w:rPr>
                <w:b/>
                <w:color w:val="FFFFFF" w:themeColor="background1"/>
                <w:sz w:val="56"/>
              </w:rPr>
              <w:t>P</w:t>
            </w:r>
          </w:p>
        </w:tc>
        <w:tc>
          <w:tcPr>
            <w:tcW w:w="8307" w:type="dxa"/>
            <w:tcMar>
              <w:left w:w="170" w:type="dxa"/>
            </w:tcMar>
            <w:vAlign w:val="center"/>
          </w:tcPr>
          <w:p w14:paraId="54B53D44" w14:textId="77777777" w:rsidR="007929A3" w:rsidRPr="00323334" w:rsidRDefault="007929A3" w:rsidP="003E547C">
            <w:pPr>
              <w:spacing w:after="60"/>
              <w:rPr>
                <w:color w:val="E36C0A" w:themeColor="accent6" w:themeShade="BF"/>
                <w:sz w:val="20"/>
              </w:rPr>
            </w:pPr>
            <w:r w:rsidRPr="00323334">
              <w:rPr>
                <w:b/>
                <w:color w:val="E36C0A" w:themeColor="accent6" w:themeShade="BF"/>
              </w:rPr>
              <w:t>PRIOR UNDERSTANDING</w:t>
            </w:r>
            <w:r>
              <w:rPr>
                <w:b/>
                <w:color w:val="E36C0A" w:themeColor="accent6" w:themeShade="BF"/>
              </w:rPr>
              <w:t xml:space="preserve"> </w:t>
            </w:r>
          </w:p>
          <w:p w14:paraId="47FC3D95" w14:textId="61A1278B" w:rsidR="007929A3" w:rsidRDefault="007929A3" w:rsidP="003E547C">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sidR="005F511B">
              <w:rPr>
                <w:sz w:val="20"/>
              </w:rPr>
              <w:t>from an earlier key concept</w:t>
            </w:r>
            <w:r w:rsidRPr="00F72ECC">
              <w:rPr>
                <w:sz w:val="20"/>
              </w:rPr>
              <w:t>, to aid transition</w:t>
            </w:r>
            <w:r>
              <w:rPr>
                <w:sz w:val="20"/>
              </w:rPr>
              <w:t xml:space="preserve"> from </w:t>
            </w:r>
            <w:r w:rsidR="000B2B19">
              <w:rPr>
                <w:sz w:val="20"/>
              </w:rPr>
              <w:t>previous</w:t>
            </w:r>
            <w:r>
              <w:rPr>
                <w:sz w:val="20"/>
              </w:rPr>
              <w:t xml:space="preserve"> stages of learning</w:t>
            </w:r>
            <w:r w:rsidRPr="00F72ECC">
              <w:rPr>
                <w:sz w:val="20"/>
              </w:rPr>
              <w:t xml:space="preserve">. </w:t>
            </w:r>
          </w:p>
        </w:tc>
      </w:tr>
    </w:tbl>
    <w:p w14:paraId="70B885F7" w14:textId="77777777" w:rsidR="007929A3" w:rsidRDefault="007929A3" w:rsidP="00026DEC">
      <w:pPr>
        <w:spacing w:after="180"/>
        <w:rPr>
          <w:b/>
          <w:color w:val="E36C0A" w:themeColor="accent6" w:themeShade="BF"/>
          <w:sz w:val="24"/>
        </w:rPr>
      </w:pPr>
    </w:p>
    <w:p w14:paraId="06ED52DA" w14:textId="15080BC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9903508" w14:textId="015EED23" w:rsidR="00C05571" w:rsidRDefault="00042795" w:rsidP="0050055B">
      <w:pPr>
        <w:spacing w:after="180"/>
      </w:pPr>
      <w:r>
        <w:t xml:space="preserve">A review of solution chemistry studies </w:t>
      </w:r>
      <w:r>
        <w:fldChar w:fldCharType="begin"/>
      </w:r>
      <w:r>
        <w:instrText xml:space="preserve"> ADDIN EN.CITE &lt;EndNote&gt;&lt;Cite&gt;&lt;Author&gt;Ç al ý k&lt;/Author&gt;&lt;Year&gt;2005&lt;/Year&gt;&lt;IDText&gt;A review of solution chemistry studies: Insights into students&amp;apos; conceptions&lt;/IDText&gt;&lt;DisplayText&gt;(Ç al ý k, Ayas and Ebenezer, 2005)&lt;/DisplayText&gt;&lt;record&gt;&lt;titles&gt;&lt;title&gt;A review of solution chemistry studies: Insights into students&amp;apos; conceptions&lt;/title&gt;&lt;secondary-title&gt;Journal of Science Education and Technology&lt;/secondary-title&gt;&lt;/titles&gt;&lt;pages&gt;29-50&lt;/pages&gt;&lt;number&gt;1&lt;/number&gt;&lt;contributors&gt;&lt;authors&gt;&lt;author&gt;Ç al ý k, Muammer&lt;/author&gt;&lt;author&gt;Ayas, Alipa ş a&lt;/author&gt;&lt;author&gt;Ebenezer, Jazlin V.&lt;/author&gt;&lt;/authors&gt;&lt;/contributors&gt;&lt;added-date format="utc"&gt;1547813973&lt;/added-date&gt;&lt;ref-type name="Journal Article"&gt;17&lt;/ref-type&gt;&lt;dates&gt;&lt;year&gt;2005&lt;/year&gt;&lt;/dates&gt;&lt;rec-number&gt;37&lt;/rec-number&gt;&lt;last-updated-date format="utc"&gt;1547814234&lt;/last-updated-date&gt;&lt;volume&gt;14&lt;/volume&gt;&lt;/record&gt;&lt;/Cite&gt;&lt;/EndNote&gt;</w:instrText>
      </w:r>
      <w:r>
        <w:fldChar w:fldCharType="separate"/>
      </w:r>
      <w:r>
        <w:rPr>
          <w:noProof/>
        </w:rPr>
        <w:t>(Çalýk, Ayas and Ebenezer, 2005)</w:t>
      </w:r>
      <w:r>
        <w:fldChar w:fldCharType="end"/>
      </w:r>
      <w:r>
        <w:t xml:space="preserve"> </w:t>
      </w:r>
      <w:r w:rsidR="00BA3880">
        <w:t xml:space="preserve">gives an example of how an everyday experience can lead to a misunderstanding. When a spoonful of sugar is added to tea, stirring the tea decreases the time taken for dissolving to occur. However, what is experienced by the maker of the cup of tea is a decrease in the </w:t>
      </w:r>
      <w:r w:rsidR="00D22E3E">
        <w:t xml:space="preserve">amount of </w:t>
      </w:r>
      <w:r w:rsidR="00BA3880">
        <w:t>sugar left at the bottom of the cup. Therefore, students may conclude that stirring increases the amount of solute that dissolves</w:t>
      </w:r>
      <w:r w:rsidR="001B62B5">
        <w:t xml:space="preserve"> in the cup of tea. They may then incorrectly infer that stirring increases the solubility of a substance.</w:t>
      </w:r>
    </w:p>
    <w:p w14:paraId="216B108D" w14:textId="218791AC" w:rsidR="00BA3880" w:rsidRDefault="00BA3880" w:rsidP="0050055B">
      <w:pPr>
        <w:spacing w:after="180"/>
      </w:pPr>
      <w:r>
        <w:t>The review also cited research that found that students paid attention to the mechanical processes such as stirring or shaking apparently used to dissolve a substance. These observations led some students to believe that dissolving could not take place without mechanical intervention.</w:t>
      </w:r>
    </w:p>
    <w:p w14:paraId="0C4F6AD2"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DC1B7E1"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108D8702"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0810BCE" w14:textId="77777777" w:rsidR="00304A9C" w:rsidRDefault="00304A9C" w:rsidP="00304A9C">
      <w:pPr>
        <w:spacing w:after="180"/>
        <w:rPr>
          <w:rFonts w:cstheme="minorHAnsi"/>
          <w:i/>
        </w:rPr>
      </w:pPr>
      <w:r w:rsidRPr="00AE7928">
        <w:rPr>
          <w:rFonts w:cstheme="minorHAnsi"/>
          <w:i/>
        </w:rPr>
        <w:t>Differentiation</w:t>
      </w:r>
    </w:p>
    <w:p w14:paraId="11AE9A88" w14:textId="60A9442C" w:rsidR="00304A9C" w:rsidRPr="00AE7928" w:rsidRDefault="00304A9C" w:rsidP="00304A9C">
      <w:pPr>
        <w:spacing w:after="180"/>
        <w:rPr>
          <w:rFonts w:cstheme="minorHAnsi"/>
        </w:rPr>
      </w:pPr>
      <w:bookmarkStart w:id="1" w:name="_Hlk532295768"/>
      <w:r w:rsidRPr="00AE7928">
        <w:rPr>
          <w:rFonts w:cstheme="minorHAnsi"/>
        </w:rPr>
        <w:t xml:space="preserve">You may choose to </w:t>
      </w:r>
      <w:r w:rsidR="0065611A">
        <w:rPr>
          <w:rFonts w:cstheme="minorHAnsi"/>
        </w:rPr>
        <w:t>demonstrate and talk through the experiment to ensure that all students understand the descriptio</w:t>
      </w:r>
      <w:r w:rsidR="001B62B5">
        <w:rPr>
          <w:rFonts w:cstheme="minorHAnsi"/>
        </w:rPr>
        <w:t>n in the question.</w:t>
      </w:r>
    </w:p>
    <w:bookmarkEnd w:id="1"/>
    <w:p w14:paraId="1D788C0F"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4A1DE83" w14:textId="24405E5F" w:rsidR="00BF6C8A" w:rsidRPr="0065611A" w:rsidRDefault="004D246B" w:rsidP="00BF6C8A">
      <w:pPr>
        <w:spacing w:after="180"/>
      </w:pPr>
      <w:r>
        <w:t>1B, 2</w:t>
      </w:r>
      <w:r w:rsidR="003632E0">
        <w:t xml:space="preserve">A </w:t>
      </w:r>
    </w:p>
    <w:p w14:paraId="40E210DF" w14:textId="77777777" w:rsidR="006A4440" w:rsidRPr="0065611A" w:rsidRDefault="004C5D20" w:rsidP="00BF6C8A">
      <w:pPr>
        <w:spacing w:after="180"/>
        <w:rPr>
          <w:b/>
          <w:color w:val="E36C0A" w:themeColor="accent6" w:themeShade="BF"/>
          <w:sz w:val="24"/>
        </w:rPr>
      </w:pPr>
      <w:r w:rsidRPr="0065611A">
        <w:rPr>
          <w:b/>
          <w:color w:val="E36C0A" w:themeColor="accent6" w:themeShade="BF"/>
          <w:sz w:val="24"/>
        </w:rPr>
        <w:t>How to respond - w</w:t>
      </w:r>
      <w:r w:rsidR="006A4440" w:rsidRPr="0065611A">
        <w:rPr>
          <w:b/>
          <w:color w:val="E36C0A" w:themeColor="accent6" w:themeShade="BF"/>
          <w:sz w:val="24"/>
        </w:rPr>
        <w:t>h</w:t>
      </w:r>
      <w:r w:rsidRPr="0065611A">
        <w:rPr>
          <w:b/>
          <w:color w:val="E36C0A" w:themeColor="accent6" w:themeShade="BF"/>
          <w:sz w:val="24"/>
        </w:rPr>
        <w:t>at</w:t>
      </w:r>
      <w:r w:rsidR="006A4440" w:rsidRPr="0065611A">
        <w:rPr>
          <w:b/>
          <w:color w:val="E36C0A" w:themeColor="accent6" w:themeShade="BF"/>
          <w:sz w:val="24"/>
        </w:rPr>
        <w:t xml:space="preserve"> next?</w:t>
      </w:r>
    </w:p>
    <w:p w14:paraId="3BAE0737" w14:textId="5A5B450E" w:rsidR="004F039C" w:rsidRPr="0065611A" w:rsidRDefault="0065611A" w:rsidP="006A4440">
      <w:pPr>
        <w:spacing w:after="180"/>
      </w:pPr>
      <w:r w:rsidRPr="0065611A">
        <w:t>A student who opts for answer A may have misunderstandings about the role of stirring in dissolving</w:t>
      </w:r>
      <w:r w:rsidR="003632E0">
        <w:t xml:space="preserve"> and therefore select reason C (that stirring increases the amount of sugar that dissolves). </w:t>
      </w:r>
    </w:p>
    <w:p w14:paraId="387B3D32" w14:textId="5B2D0636" w:rsidR="0065611A" w:rsidRPr="0065611A" w:rsidRDefault="003632E0" w:rsidP="006A4440">
      <w:pPr>
        <w:spacing w:after="180"/>
      </w:pPr>
      <w:r>
        <w:t>A student who selects the correct answer</w:t>
      </w:r>
      <w:r w:rsidR="00644631">
        <w:t xml:space="preserve"> to question 1 (B)</w:t>
      </w:r>
      <w:r>
        <w:t>, may not necessarily do so for the correct reason. For example</w:t>
      </w:r>
      <w:r w:rsidR="00BA3880">
        <w:t>,</w:t>
      </w:r>
      <w:r>
        <w:t xml:space="preserve"> reason B</w:t>
      </w:r>
      <w:r w:rsidR="00DC04E5">
        <w:t xml:space="preserve"> in question 2</w:t>
      </w:r>
      <w:r>
        <w:t xml:space="preserve"> indicates the misunderstanding that stirring is necessary for dissolving.</w:t>
      </w:r>
      <w:r w:rsidR="00DD6E17">
        <w:t xml:space="preserve"> The correct reason is A. The sugar would have dissolved eventually if left. Stirring increases how fast sugar dissolves but not how much dissolves.</w:t>
      </w:r>
    </w:p>
    <w:p w14:paraId="7AB57686" w14:textId="4F5F5DE8" w:rsidR="00DD6A0E" w:rsidRDefault="004F039C" w:rsidP="006A4440">
      <w:pPr>
        <w:spacing w:after="180"/>
      </w:pPr>
      <w:r w:rsidRPr="004F039C">
        <w:t xml:space="preserve">If students have </w:t>
      </w:r>
      <w:r w:rsidR="001E4950">
        <w:t>misunderstanding</w:t>
      </w:r>
      <w:r w:rsidRPr="004F039C">
        <w:t xml:space="preserve">s </w:t>
      </w:r>
      <w:r w:rsidRPr="00CC7856">
        <w:t xml:space="preserve">about </w:t>
      </w:r>
      <w:r w:rsidR="0065611A" w:rsidRPr="00CC7856">
        <w:t>the role of stirring in dissolving it may help to revisit ideas fro</w:t>
      </w:r>
      <w:r w:rsidR="00CC7856" w:rsidRPr="00CC7856">
        <w:t>m</w:t>
      </w:r>
      <w:r w:rsidR="0065611A" w:rsidRPr="00CC7856">
        <w:t xml:space="preserve"> key concept CPS1.2: Particles in solution.</w:t>
      </w:r>
      <w:r w:rsidR="00CC7856" w:rsidRPr="00CC7856">
        <w:t xml:space="preserve"> In particular, you may wish to reinforce the idea that stirring is not required for dissolving. Dissolving takes place without stirring, albeit very slowly in some cases. Stirring therefore does not increase </w:t>
      </w:r>
      <w:r w:rsidR="00CC7856">
        <w:t>the amount of solute that dissolves</w:t>
      </w:r>
      <w:r w:rsidR="00DD6A0E">
        <w:t>, just how fast this happens</w:t>
      </w:r>
      <w:r w:rsidR="00CC7856" w:rsidRPr="00CC7856">
        <w:t>.</w:t>
      </w:r>
      <w:r w:rsidR="003632E0">
        <w:t xml:space="preserve"> This could be demonstrated by adding an appropriate mass of sugar to a beaker of water and leaving for a length of time without stirring.</w:t>
      </w:r>
    </w:p>
    <w:p w14:paraId="1E579868" w14:textId="555988E8" w:rsidR="005F1A7B" w:rsidRPr="00DD6A0E" w:rsidRDefault="004F039C" w:rsidP="006A4440">
      <w:pPr>
        <w:spacing w:after="180"/>
      </w:pPr>
      <w:r w:rsidRPr="00DD6A0E">
        <w:t xml:space="preserve">The following </w:t>
      </w:r>
      <w:r w:rsidR="005F1A7B" w:rsidRPr="00DD6A0E">
        <w:t xml:space="preserve">BEST </w:t>
      </w:r>
      <w:r w:rsidR="004C5D20" w:rsidRPr="00DD6A0E">
        <w:t xml:space="preserve">‘response </w:t>
      </w:r>
      <w:r w:rsidR="00C1460B" w:rsidRPr="00DD6A0E">
        <w:t>activit</w:t>
      </w:r>
      <w:r w:rsidR="001B62B5">
        <w:t>y</w:t>
      </w:r>
      <w:r w:rsidR="004C5D20" w:rsidRPr="00DD6A0E">
        <w:t>’</w:t>
      </w:r>
      <w:r w:rsidR="005F1A7B" w:rsidRPr="00DD6A0E">
        <w:t xml:space="preserve"> </w:t>
      </w:r>
      <w:r w:rsidR="004C5D20" w:rsidRPr="00DD6A0E">
        <w:t>c</w:t>
      </w:r>
      <w:r w:rsidR="005F1A7B" w:rsidRPr="00DD6A0E">
        <w:t xml:space="preserve">ould </w:t>
      </w:r>
      <w:r w:rsidR="004C5D20" w:rsidRPr="00DD6A0E">
        <w:t>be used in follow-up to this diagnostic question</w:t>
      </w:r>
      <w:r w:rsidRPr="00DD6A0E">
        <w:t>:</w:t>
      </w:r>
    </w:p>
    <w:p w14:paraId="217E95F0" w14:textId="30E73181" w:rsidR="00A6111E" w:rsidRPr="00DD6A0E" w:rsidRDefault="00DD6A0E" w:rsidP="00402E34">
      <w:pPr>
        <w:pStyle w:val="ListParagraph"/>
        <w:numPr>
          <w:ilvl w:val="0"/>
          <w:numId w:val="1"/>
        </w:numPr>
        <w:spacing w:after="180"/>
      </w:pPr>
      <w:r w:rsidRPr="00DD6A0E">
        <w:t>Blue crystals (CPS2.1)</w:t>
      </w:r>
    </w:p>
    <w:p w14:paraId="104AEEF5"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25BDED85" w14:textId="3AE21EB5" w:rsidR="00D278E8" w:rsidRDefault="00D278E8" w:rsidP="00E172C6">
      <w:pPr>
        <w:spacing w:after="180"/>
      </w:pPr>
      <w:r>
        <w:t xml:space="preserve">Developed </w:t>
      </w:r>
      <w:r w:rsidR="0015356E">
        <w:t xml:space="preserve">by </w:t>
      </w:r>
      <w:r w:rsidR="00E252BE">
        <w:t>Helen Harden</w:t>
      </w:r>
      <w:r w:rsidR="0015356E">
        <w:t xml:space="preserve"> (UYSEG)</w:t>
      </w:r>
      <w:r w:rsidR="00F93336">
        <w:t>.</w:t>
      </w:r>
    </w:p>
    <w:p w14:paraId="024DC9DB" w14:textId="1632ADA8" w:rsidR="00CC78A5" w:rsidRDefault="00D278E8" w:rsidP="00E172C6">
      <w:pPr>
        <w:spacing w:after="180"/>
      </w:pPr>
      <w:r w:rsidRPr="0045323E">
        <w:t xml:space="preserve">Images: </w:t>
      </w:r>
      <w:r w:rsidR="00E252BE">
        <w:t>Helen Harden</w:t>
      </w:r>
      <w:r w:rsidR="00917D41">
        <w:t xml:space="preserve"> and Alistair Moore</w:t>
      </w:r>
      <w:r w:rsidR="00E252BE">
        <w:t xml:space="preserve"> (UYSEG</w:t>
      </w:r>
      <w:r w:rsidR="0065611A">
        <w:t>)</w:t>
      </w:r>
    </w:p>
    <w:p w14:paraId="7D45956C"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46AE87AD" w14:textId="468CD7D2" w:rsidR="00042795" w:rsidRPr="00042795" w:rsidRDefault="00042795" w:rsidP="00042795">
      <w:pPr>
        <w:pStyle w:val="EndNoteBibliography"/>
      </w:pPr>
      <w:r>
        <w:fldChar w:fldCharType="begin"/>
      </w:r>
      <w:r>
        <w:instrText xml:space="preserve"> ADDIN EN.REFLIST </w:instrText>
      </w:r>
      <w:r>
        <w:fldChar w:fldCharType="separate"/>
      </w:r>
      <w:r w:rsidRPr="00042795">
        <w:t>Çalýk, M., Ayas, A.</w:t>
      </w:r>
      <w:r w:rsidR="00BA3880">
        <w:t>,</w:t>
      </w:r>
      <w:r w:rsidRPr="00042795">
        <w:t xml:space="preserve"> and Ebenezer, J. V. (2005). A review of solution chemistry studies: Insights into students' conceptions. </w:t>
      </w:r>
      <w:r w:rsidRPr="00042795">
        <w:rPr>
          <w:i/>
        </w:rPr>
        <w:t>Journal of Science Education and Technology,</w:t>
      </w:r>
      <w:r w:rsidRPr="00042795">
        <w:t xml:space="preserve"> 14(1)</w:t>
      </w:r>
      <w:r w:rsidRPr="00042795">
        <w:rPr>
          <w:b/>
        </w:rPr>
        <w:t>,</w:t>
      </w:r>
      <w:r w:rsidRPr="00042795">
        <w:t xml:space="preserve"> 29-50.</w:t>
      </w:r>
    </w:p>
    <w:p w14:paraId="71823949" w14:textId="4BA2FC1B" w:rsidR="0067031A" w:rsidRPr="0067031A" w:rsidRDefault="00042795" w:rsidP="00E24309">
      <w:pPr>
        <w:spacing w:after="180"/>
      </w:pPr>
      <w:r>
        <w:fldChar w:fldCharType="end"/>
      </w:r>
    </w:p>
    <w:sectPr w:rsidR="0067031A" w:rsidRPr="0067031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D2135" w14:textId="77777777" w:rsidR="00CD1320" w:rsidRDefault="00CD1320" w:rsidP="000B473B">
      <w:r>
        <w:separator/>
      </w:r>
    </w:p>
  </w:endnote>
  <w:endnote w:type="continuationSeparator" w:id="0">
    <w:p w14:paraId="10EAA7A9" w14:textId="77777777" w:rsidR="00CD1320" w:rsidRDefault="00CD132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CB92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057935A" wp14:editId="1ABCC34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E0AE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4E587D6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33CF25D8"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w:t>
    </w:r>
    <w:proofErr w:type="spellStart"/>
    <w:r w:rsidRPr="001E4950">
      <w:rPr>
        <w:sz w:val="16"/>
        <w:szCs w:val="16"/>
      </w:rPr>
      <w:t>NonCommercial</w:t>
    </w:r>
    <w:proofErr w:type="spellEnd"/>
    <w:r w:rsidRPr="001E4950">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92961" w14:textId="77777777" w:rsidR="00CD1320" w:rsidRDefault="00CD1320" w:rsidP="000B473B">
      <w:r>
        <w:separator/>
      </w:r>
    </w:p>
  </w:footnote>
  <w:footnote w:type="continuationSeparator" w:id="0">
    <w:p w14:paraId="363BFC19" w14:textId="77777777" w:rsidR="00CD1320" w:rsidRDefault="00CD132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5121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9D2AD83" wp14:editId="32574F1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A82BAD0" wp14:editId="6445AF0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37D9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D1597"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69D587B" wp14:editId="6D585C0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1CF16E3" wp14:editId="30ADF20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1B8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BB77E1"/>
    <w:multiLevelType w:val="hybridMultilevel"/>
    <w:tmpl w:val="E6F4D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3672E"/>
    <w:rsid w:val="00015578"/>
    <w:rsid w:val="00024731"/>
    <w:rsid w:val="00026DEC"/>
    <w:rsid w:val="00042795"/>
    <w:rsid w:val="000505CA"/>
    <w:rsid w:val="0007651D"/>
    <w:rsid w:val="0009089A"/>
    <w:rsid w:val="000947E2"/>
    <w:rsid w:val="00095E04"/>
    <w:rsid w:val="000B2B19"/>
    <w:rsid w:val="000B45C3"/>
    <w:rsid w:val="000B473B"/>
    <w:rsid w:val="000D0E89"/>
    <w:rsid w:val="000D1D38"/>
    <w:rsid w:val="000E03CC"/>
    <w:rsid w:val="000E2689"/>
    <w:rsid w:val="0013672E"/>
    <w:rsid w:val="00142613"/>
    <w:rsid w:val="00144DA7"/>
    <w:rsid w:val="0015356E"/>
    <w:rsid w:val="00161D3F"/>
    <w:rsid w:val="001848ED"/>
    <w:rsid w:val="001915D4"/>
    <w:rsid w:val="001A1FED"/>
    <w:rsid w:val="001A40E2"/>
    <w:rsid w:val="001B62B5"/>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632E0"/>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D246B"/>
    <w:rsid w:val="004E1DF1"/>
    <w:rsid w:val="004E5592"/>
    <w:rsid w:val="004F039C"/>
    <w:rsid w:val="00500438"/>
    <w:rsid w:val="0050055B"/>
    <w:rsid w:val="00524710"/>
    <w:rsid w:val="0055469E"/>
    <w:rsid w:val="00555342"/>
    <w:rsid w:val="005560E2"/>
    <w:rsid w:val="005A452E"/>
    <w:rsid w:val="005A6EE7"/>
    <w:rsid w:val="005F1A7B"/>
    <w:rsid w:val="005F511B"/>
    <w:rsid w:val="006355D8"/>
    <w:rsid w:val="00642ECD"/>
    <w:rsid w:val="00644631"/>
    <w:rsid w:val="006502A0"/>
    <w:rsid w:val="00651B8D"/>
    <w:rsid w:val="0065611A"/>
    <w:rsid w:val="0067031A"/>
    <w:rsid w:val="006772F5"/>
    <w:rsid w:val="00695159"/>
    <w:rsid w:val="006A4440"/>
    <w:rsid w:val="006B0615"/>
    <w:rsid w:val="006D166B"/>
    <w:rsid w:val="006F3279"/>
    <w:rsid w:val="006F6C6B"/>
    <w:rsid w:val="00704AEE"/>
    <w:rsid w:val="00722F9A"/>
    <w:rsid w:val="00754539"/>
    <w:rsid w:val="00781BC6"/>
    <w:rsid w:val="007929A3"/>
    <w:rsid w:val="007A3C86"/>
    <w:rsid w:val="007A683E"/>
    <w:rsid w:val="007A748B"/>
    <w:rsid w:val="007C26E1"/>
    <w:rsid w:val="007D1D65"/>
    <w:rsid w:val="007E0A9E"/>
    <w:rsid w:val="007E5309"/>
    <w:rsid w:val="007E70B7"/>
    <w:rsid w:val="007F5D5D"/>
    <w:rsid w:val="00800DE1"/>
    <w:rsid w:val="00813F47"/>
    <w:rsid w:val="008450D6"/>
    <w:rsid w:val="00856FCA"/>
    <w:rsid w:val="00873B8C"/>
    <w:rsid w:val="00880E3B"/>
    <w:rsid w:val="00897CC4"/>
    <w:rsid w:val="008A405F"/>
    <w:rsid w:val="008C5558"/>
    <w:rsid w:val="008C7F34"/>
    <w:rsid w:val="008E580C"/>
    <w:rsid w:val="0090047A"/>
    <w:rsid w:val="00901C1B"/>
    <w:rsid w:val="00917D41"/>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36BF2"/>
    <w:rsid w:val="00B46FF9"/>
    <w:rsid w:val="00B47E1D"/>
    <w:rsid w:val="00B75483"/>
    <w:rsid w:val="00BA3880"/>
    <w:rsid w:val="00BA7952"/>
    <w:rsid w:val="00BB44B4"/>
    <w:rsid w:val="00BF0BBF"/>
    <w:rsid w:val="00BF6C8A"/>
    <w:rsid w:val="00C05571"/>
    <w:rsid w:val="00C1460B"/>
    <w:rsid w:val="00C246CE"/>
    <w:rsid w:val="00C54711"/>
    <w:rsid w:val="00C57FA2"/>
    <w:rsid w:val="00CC2E4D"/>
    <w:rsid w:val="00CC7856"/>
    <w:rsid w:val="00CC78A5"/>
    <w:rsid w:val="00CC7B16"/>
    <w:rsid w:val="00CD1320"/>
    <w:rsid w:val="00CE15FE"/>
    <w:rsid w:val="00CE71E5"/>
    <w:rsid w:val="00D02E15"/>
    <w:rsid w:val="00D14F44"/>
    <w:rsid w:val="00D22E3E"/>
    <w:rsid w:val="00D278E8"/>
    <w:rsid w:val="00D421E8"/>
    <w:rsid w:val="00D44604"/>
    <w:rsid w:val="00D479B3"/>
    <w:rsid w:val="00D52283"/>
    <w:rsid w:val="00D524E5"/>
    <w:rsid w:val="00D72FEF"/>
    <w:rsid w:val="00D751EA"/>
    <w:rsid w:val="00D755FA"/>
    <w:rsid w:val="00DC04E5"/>
    <w:rsid w:val="00DC4A4E"/>
    <w:rsid w:val="00DD1874"/>
    <w:rsid w:val="00DD63BD"/>
    <w:rsid w:val="00DD6A0E"/>
    <w:rsid w:val="00DD6E17"/>
    <w:rsid w:val="00DF05DB"/>
    <w:rsid w:val="00DF7E20"/>
    <w:rsid w:val="00E172C6"/>
    <w:rsid w:val="00E24309"/>
    <w:rsid w:val="00E252BE"/>
    <w:rsid w:val="00E53D82"/>
    <w:rsid w:val="00E9330A"/>
    <w:rsid w:val="00EE6B97"/>
    <w:rsid w:val="00F12C3B"/>
    <w:rsid w:val="00F219AA"/>
    <w:rsid w:val="00F26884"/>
    <w:rsid w:val="00F72ECC"/>
    <w:rsid w:val="00F8355F"/>
    <w:rsid w:val="00F93336"/>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4F048"/>
  <w15:docId w15:val="{06C9328E-9803-419E-A770-8E8206B9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6BF2"/>
    <w:pPr>
      <w:spacing w:after="0" w:line="240" w:lineRule="auto"/>
    </w:pPr>
    <w:rPr>
      <w:rFonts w:cs="Arial"/>
    </w:rPr>
  </w:style>
  <w:style w:type="paragraph" w:customStyle="1" w:styleId="EndNoteBibliographyTitle">
    <w:name w:val="EndNote Bibliography Title"/>
    <w:basedOn w:val="Normal"/>
    <w:link w:val="EndNoteBibliographyTitleChar"/>
    <w:rsid w:val="0004279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2795"/>
    <w:rPr>
      <w:rFonts w:ascii="Calibri" w:hAnsi="Calibri" w:cs="Calibri"/>
      <w:noProof/>
      <w:lang w:val="en-US"/>
    </w:rPr>
  </w:style>
  <w:style w:type="paragraph" w:customStyle="1" w:styleId="EndNoteBibliography">
    <w:name w:val="EndNote Bibliography"/>
    <w:basedOn w:val="Normal"/>
    <w:link w:val="EndNoteBibliographyChar"/>
    <w:rsid w:val="00042795"/>
    <w:rPr>
      <w:rFonts w:ascii="Calibri" w:hAnsi="Calibri" w:cs="Calibri"/>
      <w:noProof/>
      <w:lang w:val="en-US"/>
    </w:rPr>
  </w:style>
  <w:style w:type="character" w:customStyle="1" w:styleId="EndNoteBibliographyChar">
    <w:name w:val="EndNote Bibliography Char"/>
    <w:basedOn w:val="DefaultParagraphFont"/>
    <w:link w:val="EndNoteBibliography"/>
    <w:rsid w:val="0004279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25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157</TotalTime>
  <Pages>3</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13</cp:revision>
  <cp:lastPrinted>2017-02-24T16:20:00Z</cp:lastPrinted>
  <dcterms:created xsi:type="dcterms:W3CDTF">2018-12-11T10:36:00Z</dcterms:created>
  <dcterms:modified xsi:type="dcterms:W3CDTF">2019-01-28T12:25:00Z</dcterms:modified>
</cp:coreProperties>
</file>