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FE633" w14:textId="0A39F337" w:rsidR="00201AC2" w:rsidRPr="001B755E" w:rsidRDefault="001B755E" w:rsidP="00201AC2">
      <w:pPr>
        <w:spacing w:after="180"/>
        <w:rPr>
          <w:b/>
          <w:sz w:val="44"/>
          <w:szCs w:val="44"/>
        </w:rPr>
      </w:pPr>
      <w:r w:rsidRPr="001B755E">
        <w:rPr>
          <w:b/>
          <w:sz w:val="44"/>
          <w:szCs w:val="44"/>
        </w:rPr>
        <w:t>Reaction type</w:t>
      </w:r>
    </w:p>
    <w:p w14:paraId="148EBC96" w14:textId="77777777" w:rsidR="007C26E1" w:rsidRPr="001B755E" w:rsidRDefault="007C26E1" w:rsidP="00201AC2">
      <w:pPr>
        <w:spacing w:after="180"/>
      </w:pPr>
    </w:p>
    <w:p w14:paraId="7F3DBF72" w14:textId="77777777" w:rsidR="00F847FD" w:rsidRDefault="00F847FD" w:rsidP="00201AC2">
      <w:pPr>
        <w:pStyle w:val="ListParagraph"/>
        <w:numPr>
          <w:ilvl w:val="0"/>
          <w:numId w:val="3"/>
        </w:numPr>
        <w:spacing w:after="180"/>
        <w:ind w:left="567" w:hanging="567"/>
        <w:contextualSpacing w:val="0"/>
      </w:pPr>
    </w:p>
    <w:p w14:paraId="42E57579" w14:textId="2D8FC322" w:rsidR="00201AC2" w:rsidRDefault="001B755E" w:rsidP="00F847FD">
      <w:pPr>
        <w:pStyle w:val="ListParagraph"/>
        <w:numPr>
          <w:ilvl w:val="1"/>
          <w:numId w:val="3"/>
        </w:numPr>
        <w:spacing w:after="180"/>
        <w:contextualSpacing w:val="0"/>
      </w:pPr>
      <w:r w:rsidRPr="001B755E">
        <w:t>Look at the following chemical equation.</w:t>
      </w:r>
    </w:p>
    <w:p w14:paraId="6BF60EEE" w14:textId="77777777" w:rsidR="00F847FD" w:rsidRPr="001B755E" w:rsidRDefault="00F847FD" w:rsidP="00F847FD">
      <w:pPr>
        <w:spacing w:after="180"/>
        <w:ind w:left="927" w:firstLine="513"/>
      </w:pPr>
      <w:r w:rsidRPr="00F847FD">
        <w:rPr>
          <w:lang w:val="en-US"/>
        </w:rPr>
        <w:t>2H</w:t>
      </w:r>
      <w:r w:rsidRPr="00F847FD">
        <w:rPr>
          <w:vertAlign w:val="subscript"/>
          <w:lang w:val="en-US"/>
        </w:rPr>
        <w:t>2</w:t>
      </w:r>
      <w:r w:rsidRPr="00F847FD">
        <w:rPr>
          <w:lang w:val="en-US"/>
        </w:rPr>
        <w:t>O</w:t>
      </w:r>
      <w:r w:rsidRPr="00F847FD">
        <w:rPr>
          <w:vertAlign w:val="subscript"/>
          <w:lang w:val="en-US"/>
        </w:rPr>
        <w:t>2</w:t>
      </w:r>
      <w:r w:rsidRPr="00F847FD">
        <w:rPr>
          <w:vertAlign w:val="superscript"/>
          <w:lang w:val="en-US"/>
        </w:rPr>
        <w:t xml:space="preserve"> </w:t>
      </w:r>
      <w:r w:rsidRPr="00F847FD">
        <w:rPr>
          <w:lang w:val="en-US"/>
        </w:rPr>
        <w:t>(aq) → 2H</w:t>
      </w:r>
      <w:r w:rsidRPr="00F847FD">
        <w:rPr>
          <w:vertAlign w:val="subscript"/>
          <w:lang w:val="en-US"/>
        </w:rPr>
        <w:t>2</w:t>
      </w:r>
      <w:r w:rsidRPr="00F847FD">
        <w:rPr>
          <w:lang w:val="en-US"/>
        </w:rPr>
        <w:t>O(l) + O</w:t>
      </w:r>
      <w:r w:rsidRPr="00F847FD">
        <w:rPr>
          <w:vertAlign w:val="subscript"/>
          <w:lang w:val="en-US"/>
        </w:rPr>
        <w:t>2</w:t>
      </w:r>
      <w:r w:rsidRPr="00F847FD">
        <w:rPr>
          <w:lang w:val="en-US"/>
        </w:rPr>
        <w:t xml:space="preserve"> (g)</w:t>
      </w:r>
    </w:p>
    <w:p w14:paraId="59A7AEE7" w14:textId="77777777" w:rsidR="00F847FD" w:rsidRDefault="00F847FD" w:rsidP="00F847FD">
      <w:pPr>
        <w:spacing w:after="180"/>
        <w:ind w:left="774" w:firstLine="666"/>
      </w:pPr>
      <w:r w:rsidRPr="001B755E">
        <w:t>Which type of chemical reaction does it represent?</w:t>
      </w:r>
    </w:p>
    <w:p w14:paraId="10EDCA3C" w14:textId="77777777" w:rsidR="00F847FD" w:rsidRDefault="00F847FD" w:rsidP="00F847FD">
      <w:pPr>
        <w:spacing w:after="180"/>
        <w:ind w:left="567"/>
      </w:pPr>
    </w:p>
    <w:p w14:paraId="0D740C02" w14:textId="77777777" w:rsidR="00F847FD" w:rsidRDefault="00F847FD" w:rsidP="00F847FD">
      <w:pPr>
        <w:spacing w:after="180"/>
        <w:ind w:left="1287" w:firstLine="153"/>
      </w:pPr>
      <w:r>
        <w:t>A</w:t>
      </w:r>
      <w:r>
        <w:tab/>
      </w:r>
      <w:r>
        <w:tab/>
        <w:t>precipitation</w:t>
      </w:r>
    </w:p>
    <w:p w14:paraId="37FD62A6" w14:textId="77777777" w:rsidR="00F847FD" w:rsidRDefault="00F847FD" w:rsidP="00F847FD">
      <w:pPr>
        <w:spacing w:after="180"/>
        <w:ind w:left="1134" w:firstLine="306"/>
      </w:pPr>
      <w:r>
        <w:t>B</w:t>
      </w:r>
      <w:r>
        <w:tab/>
      </w:r>
      <w:r>
        <w:tab/>
        <w:t>decomposition</w:t>
      </w:r>
    </w:p>
    <w:p w14:paraId="283F7B41" w14:textId="70D951BA" w:rsidR="00F847FD" w:rsidRDefault="00F847FD" w:rsidP="00F847FD">
      <w:pPr>
        <w:spacing w:after="180"/>
        <w:ind w:left="927" w:firstLine="513"/>
      </w:pPr>
      <w:r>
        <w:t>C</w:t>
      </w:r>
      <w:r>
        <w:tab/>
      </w:r>
      <w:r>
        <w:tab/>
        <w:t>oxidation</w:t>
      </w:r>
    </w:p>
    <w:p w14:paraId="5C213398" w14:textId="77777777" w:rsidR="00F847FD" w:rsidRDefault="00F847FD" w:rsidP="00F847FD">
      <w:pPr>
        <w:spacing w:after="180"/>
        <w:ind w:left="567"/>
      </w:pPr>
    </w:p>
    <w:p w14:paraId="391C1055" w14:textId="0EF0B774" w:rsidR="00F847FD" w:rsidRDefault="00F847FD" w:rsidP="00F847FD">
      <w:pPr>
        <w:pStyle w:val="ListParagraph"/>
        <w:numPr>
          <w:ilvl w:val="1"/>
          <w:numId w:val="3"/>
        </w:numPr>
        <w:spacing w:after="180"/>
        <w:contextualSpacing w:val="0"/>
      </w:pPr>
      <w:r>
        <w:t>How did you work out your answer?</w:t>
      </w:r>
    </w:p>
    <w:p w14:paraId="43BAA5E5" w14:textId="3429402D" w:rsidR="00F847FD" w:rsidRDefault="00F847FD" w:rsidP="00F847FD">
      <w:pPr>
        <w:pStyle w:val="ListParagraph"/>
        <w:spacing w:after="180"/>
        <w:ind w:left="927" w:firstLine="513"/>
        <w:contextualSpacing w:val="0"/>
      </w:pPr>
      <w:r>
        <w:t>You may choose one or more options.</w:t>
      </w:r>
    </w:p>
    <w:p w14:paraId="1FC78B0E" w14:textId="0EEB66FA" w:rsidR="00F847FD" w:rsidRDefault="00F847FD" w:rsidP="00F847FD">
      <w:pPr>
        <w:pStyle w:val="ListParagraph"/>
        <w:spacing w:after="180"/>
        <w:ind w:left="774" w:firstLine="666"/>
        <w:contextualSpacing w:val="0"/>
      </w:pPr>
      <w:r>
        <w:t>A</w:t>
      </w:r>
      <w:r>
        <w:tab/>
      </w:r>
      <w:r>
        <w:tab/>
        <w:t>I thought about what I would see during the reaction.</w:t>
      </w:r>
    </w:p>
    <w:p w14:paraId="77DA4A47" w14:textId="78EA5697" w:rsidR="00F847FD" w:rsidRDefault="00F847FD" w:rsidP="00F847FD">
      <w:pPr>
        <w:pStyle w:val="ListParagraph"/>
        <w:spacing w:after="180"/>
        <w:ind w:left="1287" w:firstLine="153"/>
        <w:contextualSpacing w:val="0"/>
      </w:pPr>
      <w:r>
        <w:t>B</w:t>
      </w:r>
      <w:r>
        <w:tab/>
      </w:r>
      <w:r>
        <w:tab/>
        <w:t>I worked out what the chemical formulae and state symbols meant.</w:t>
      </w:r>
    </w:p>
    <w:p w14:paraId="5108CCC6" w14:textId="33D83DBC" w:rsidR="00F847FD" w:rsidRDefault="00F847FD" w:rsidP="00F847FD">
      <w:pPr>
        <w:pStyle w:val="ListParagraph"/>
        <w:spacing w:after="180"/>
        <w:ind w:left="1134" w:firstLine="306"/>
        <w:contextualSpacing w:val="0"/>
      </w:pPr>
      <w:r>
        <w:t>C</w:t>
      </w:r>
      <w:r>
        <w:tab/>
      </w:r>
      <w:r>
        <w:tab/>
        <w:t>I imagined the particles.</w:t>
      </w:r>
    </w:p>
    <w:p w14:paraId="09C51224" w14:textId="3D61ED4C" w:rsidR="00F847FD" w:rsidRPr="001B755E" w:rsidRDefault="00F847FD" w:rsidP="00F847FD">
      <w:pPr>
        <w:pStyle w:val="ListParagraph"/>
        <w:spacing w:after="180"/>
        <w:ind w:left="981" w:firstLine="459"/>
        <w:contextualSpacing w:val="0"/>
      </w:pPr>
      <w:r>
        <w:t>D</w:t>
      </w:r>
      <w:r>
        <w:tab/>
      </w:r>
      <w:r>
        <w:tab/>
        <w:t>Other, please describe</w:t>
      </w:r>
    </w:p>
    <w:p w14:paraId="7F37BB00" w14:textId="0500F04B" w:rsidR="001B755E" w:rsidRPr="001B755E" w:rsidRDefault="001B755E" w:rsidP="001B755E">
      <w:pPr>
        <w:pStyle w:val="ListParagraph"/>
        <w:spacing w:after="180"/>
        <w:ind w:left="567"/>
        <w:contextualSpacing w:val="0"/>
      </w:pPr>
      <w:r>
        <w:tab/>
      </w:r>
    </w:p>
    <w:p w14:paraId="263EBB1B" w14:textId="1523BE06" w:rsidR="00133B39" w:rsidRPr="00201AC2" w:rsidRDefault="00133B39" w:rsidP="006F3279">
      <w:pPr>
        <w:spacing w:after="240"/>
        <w:rPr>
          <w:szCs w:val="18"/>
        </w:rPr>
        <w:sectPr w:rsidR="00133B39"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4F9CB879" w14:textId="5E8C91C8"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1B755E">
        <w:rPr>
          <w:i/>
          <w:sz w:val="18"/>
          <w:szCs w:val="18"/>
        </w:rPr>
        <w:t>CPS: Particles and structure</w:t>
      </w:r>
      <w:r w:rsidR="0007651D">
        <w:rPr>
          <w:i/>
          <w:sz w:val="18"/>
          <w:szCs w:val="18"/>
        </w:rPr>
        <w:t xml:space="preserve"> &gt; Topic </w:t>
      </w:r>
      <w:r w:rsidR="001B755E">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1B755E">
        <w:rPr>
          <w:i/>
          <w:sz w:val="18"/>
          <w:szCs w:val="18"/>
        </w:rPr>
        <w:t>CPS4.1: Representing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F648A53" w14:textId="77777777" w:rsidTr="00323334">
        <w:tc>
          <w:tcPr>
            <w:tcW w:w="12021" w:type="dxa"/>
            <w:shd w:val="clear" w:color="auto" w:fill="FABF8F" w:themeFill="accent6" w:themeFillTint="99"/>
          </w:tcPr>
          <w:p w14:paraId="4A5DE69A"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470617A" w14:textId="77777777" w:rsidTr="00323334">
        <w:tc>
          <w:tcPr>
            <w:tcW w:w="12021" w:type="dxa"/>
            <w:shd w:val="clear" w:color="auto" w:fill="FBD4B4" w:themeFill="accent6" w:themeFillTint="66"/>
          </w:tcPr>
          <w:p w14:paraId="1F1B469B" w14:textId="3D973989" w:rsidR="006F3279" w:rsidRPr="00CA4B46" w:rsidRDefault="001B755E" w:rsidP="006F3279">
            <w:pPr>
              <w:spacing w:after="60"/>
              <w:ind w:left="1304"/>
              <w:rPr>
                <w:b/>
                <w:sz w:val="40"/>
                <w:szCs w:val="40"/>
              </w:rPr>
            </w:pPr>
            <w:r w:rsidRPr="001B755E">
              <w:rPr>
                <w:b/>
                <w:sz w:val="40"/>
                <w:szCs w:val="40"/>
              </w:rPr>
              <w:t>Reaction type</w:t>
            </w:r>
          </w:p>
        </w:tc>
      </w:tr>
    </w:tbl>
    <w:p w14:paraId="165875DE" w14:textId="77777777" w:rsidR="006F3279" w:rsidRDefault="006F3279" w:rsidP="00E172C6">
      <w:pPr>
        <w:spacing w:after="180"/>
        <w:rPr>
          <w:b/>
        </w:rPr>
      </w:pPr>
    </w:p>
    <w:p w14:paraId="5AAE7287"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1D5B0776" w14:textId="77777777" w:rsidTr="003F16F9">
        <w:trPr>
          <w:trHeight w:val="340"/>
        </w:trPr>
        <w:tc>
          <w:tcPr>
            <w:tcW w:w="2196" w:type="dxa"/>
          </w:tcPr>
          <w:p w14:paraId="716C9DAD" w14:textId="77777777" w:rsidR="00FA5B3A" w:rsidRDefault="00FA5B3A" w:rsidP="00FA5B3A">
            <w:pPr>
              <w:spacing w:before="60" w:after="60"/>
            </w:pPr>
            <w:r>
              <w:t>Learning focus:</w:t>
            </w:r>
          </w:p>
        </w:tc>
        <w:tc>
          <w:tcPr>
            <w:tcW w:w="6820" w:type="dxa"/>
          </w:tcPr>
          <w:p w14:paraId="6EE9E09E" w14:textId="66CB0783" w:rsidR="00FA5B3A" w:rsidRPr="001B755E" w:rsidRDefault="001B755E" w:rsidP="00FA5B3A">
            <w:pPr>
              <w:spacing w:before="60" w:after="60"/>
            </w:pPr>
            <w:r w:rsidRPr="001B755E">
              <w:t>A chemical reaction can be summarised by a chemical equation.</w:t>
            </w:r>
          </w:p>
        </w:tc>
      </w:tr>
      <w:tr w:rsidR="00FA5B3A" w14:paraId="595788DF" w14:textId="77777777" w:rsidTr="003F16F9">
        <w:trPr>
          <w:trHeight w:val="340"/>
        </w:trPr>
        <w:tc>
          <w:tcPr>
            <w:tcW w:w="2196" w:type="dxa"/>
          </w:tcPr>
          <w:p w14:paraId="4839E94C" w14:textId="77777777" w:rsidR="00FA5B3A" w:rsidRDefault="00FA5B3A" w:rsidP="00FA5B3A">
            <w:pPr>
              <w:spacing w:before="60" w:after="60"/>
            </w:pPr>
            <w:r>
              <w:t>Observable learning outcome:</w:t>
            </w:r>
          </w:p>
        </w:tc>
        <w:tc>
          <w:tcPr>
            <w:tcW w:w="6820" w:type="dxa"/>
          </w:tcPr>
          <w:p w14:paraId="70B7E19F" w14:textId="6C3B7B82" w:rsidR="00FA5B3A" w:rsidRPr="001B755E" w:rsidRDefault="001B755E" w:rsidP="00FA5B3A">
            <w:pPr>
              <w:spacing w:before="60" w:after="60"/>
            </w:pPr>
            <w:r w:rsidRPr="001B755E">
              <w:t>Use a symbolic chemical equation to categorise a reaction as oxidation, decomposition or precipitation.</w:t>
            </w:r>
          </w:p>
        </w:tc>
      </w:tr>
      <w:tr w:rsidR="00FA5B3A" w14:paraId="17CD9C6B" w14:textId="77777777" w:rsidTr="003F16F9">
        <w:trPr>
          <w:trHeight w:val="340"/>
        </w:trPr>
        <w:tc>
          <w:tcPr>
            <w:tcW w:w="2196" w:type="dxa"/>
          </w:tcPr>
          <w:p w14:paraId="0E2AB373" w14:textId="77777777" w:rsidR="00FA5B3A" w:rsidRDefault="007F5D5D" w:rsidP="00FA5B3A">
            <w:pPr>
              <w:spacing w:before="60" w:after="60"/>
            </w:pPr>
            <w:r>
              <w:t>Question</w:t>
            </w:r>
            <w:r w:rsidR="00FA5B3A">
              <w:t xml:space="preserve"> type:</w:t>
            </w:r>
          </w:p>
        </w:tc>
        <w:tc>
          <w:tcPr>
            <w:tcW w:w="6820" w:type="dxa"/>
          </w:tcPr>
          <w:p w14:paraId="1732ED7D" w14:textId="6FA9C8A4" w:rsidR="00FA5B3A" w:rsidRDefault="00394FFE" w:rsidP="00FA5B3A">
            <w:pPr>
              <w:spacing w:before="60" w:after="60"/>
            </w:pPr>
            <w:r>
              <w:t>t</w:t>
            </w:r>
            <w:r w:rsidR="00F847FD">
              <w:t xml:space="preserve">wo- step </w:t>
            </w:r>
            <w:r w:rsidR="001B755E" w:rsidRPr="001B755E">
              <w:t>multiple choice</w:t>
            </w:r>
          </w:p>
        </w:tc>
      </w:tr>
      <w:tr w:rsidR="00FA5B3A" w14:paraId="0B211298" w14:textId="77777777" w:rsidTr="003F16F9">
        <w:trPr>
          <w:trHeight w:val="340"/>
        </w:trPr>
        <w:tc>
          <w:tcPr>
            <w:tcW w:w="2196" w:type="dxa"/>
          </w:tcPr>
          <w:p w14:paraId="45F67DB4" w14:textId="77777777" w:rsidR="00FA5B3A" w:rsidRDefault="00FA5B3A" w:rsidP="00FA5B3A">
            <w:pPr>
              <w:spacing w:before="60" w:after="60"/>
            </w:pPr>
            <w:r>
              <w:t>Key words:</w:t>
            </w:r>
          </w:p>
        </w:tc>
        <w:tc>
          <w:tcPr>
            <w:tcW w:w="6820" w:type="dxa"/>
            <w:tcBorders>
              <w:bottom w:val="dotted" w:sz="4" w:space="0" w:color="auto"/>
            </w:tcBorders>
          </w:tcPr>
          <w:p w14:paraId="1C412B26" w14:textId="1D494CA9" w:rsidR="00FA5B3A" w:rsidRDefault="001B755E" w:rsidP="00FA5B3A">
            <w:pPr>
              <w:spacing w:before="60" w:after="60"/>
            </w:pPr>
            <w:r w:rsidRPr="001B755E">
              <w:t>precipitation, oxidation, decomposition</w:t>
            </w:r>
          </w:p>
        </w:tc>
      </w:tr>
    </w:tbl>
    <w:p w14:paraId="0ED31721" w14:textId="77777777" w:rsidR="00E172C6" w:rsidRDefault="00E172C6" w:rsidP="00E172C6">
      <w:pPr>
        <w:spacing w:after="180"/>
      </w:pPr>
    </w:p>
    <w:p w14:paraId="09B63B21" w14:textId="77777777" w:rsidR="00F72ECC" w:rsidRDefault="00F72ECC" w:rsidP="00F72ECC"/>
    <w:p w14:paraId="2F07172A"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88F24FF" w14:textId="3627BD85" w:rsidR="00F847FD" w:rsidRPr="00205F5D" w:rsidRDefault="00F847FD" w:rsidP="00F847FD">
      <w:pPr>
        <w:spacing w:after="180"/>
      </w:pPr>
      <w:r w:rsidRPr="00205F5D">
        <w:t xml:space="preserve">Johnstone </w:t>
      </w:r>
      <w:r w:rsidRPr="00205F5D">
        <w:fldChar w:fldCharType="begin"/>
      </w:r>
      <w:r>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Pr="00205F5D">
        <w:fldChar w:fldCharType="separate"/>
      </w:r>
      <w:r>
        <w:rPr>
          <w:noProof/>
        </w:rPr>
        <w:t>(1991)</w:t>
      </w:r>
      <w:r w:rsidRPr="00205F5D">
        <w:fldChar w:fldCharType="end"/>
      </w:r>
      <w:r w:rsidRPr="00205F5D">
        <w:t xml:space="preserve"> used a triangle to summarise three levels of representation that he proposed are needed in order to understand chemistry. </w:t>
      </w:r>
    </w:p>
    <w:p w14:paraId="668B0CCC" w14:textId="77777777" w:rsidR="00F847FD" w:rsidRDefault="00F847FD" w:rsidP="00F847FD">
      <w:pPr>
        <w:spacing w:after="180"/>
        <w:rPr>
          <w:highlight w:val="yellow"/>
        </w:rPr>
      </w:pPr>
      <w:r>
        <w:rPr>
          <w:noProof/>
        </w:rPr>
        <w:drawing>
          <wp:inline distT="0" distB="0" distL="0" distR="0" wp14:anchorId="41BF41FC" wp14:editId="61533391">
            <wp:extent cx="1880728" cy="13049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Ohnstone's traing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6259" cy="1308763"/>
                    </a:xfrm>
                    <a:prstGeom prst="rect">
                      <a:avLst/>
                    </a:prstGeom>
                  </pic:spPr>
                </pic:pic>
              </a:graphicData>
            </a:graphic>
          </wp:inline>
        </w:drawing>
      </w:r>
    </w:p>
    <w:p w14:paraId="7F76D6DB" w14:textId="77777777" w:rsidR="00F847FD" w:rsidRPr="00205F5D" w:rsidRDefault="00F847FD" w:rsidP="00F847FD">
      <w:pPr>
        <w:spacing w:after="180"/>
        <w:rPr>
          <w:i/>
        </w:rPr>
      </w:pPr>
      <w:r w:rsidRPr="00205F5D">
        <w:rPr>
          <w:i/>
        </w:rPr>
        <w:t>Figure 1 Johnstone’s triangle</w:t>
      </w:r>
    </w:p>
    <w:p w14:paraId="0D1D8D37" w14:textId="33B54E34" w:rsidR="00F847FD" w:rsidRDefault="00162283" w:rsidP="00F847FD">
      <w:pPr>
        <w:spacing w:after="180"/>
      </w:pPr>
      <w:r w:rsidRPr="00205F5D">
        <w:t xml:space="preserve">Johnstone </w:t>
      </w:r>
      <w:r w:rsidRPr="00205F5D">
        <w:fldChar w:fldCharType="begin"/>
      </w:r>
      <w:r w:rsidRPr="00205F5D">
        <w:instrText xml:space="preserve"> ADDIN EN.CITE &lt;EndNote&gt;&lt;Cite ExcludeAuth="1"&gt;&lt;Author&gt;Johnstone&lt;/Author&gt;&lt;Year&gt;2000&lt;/Year&gt;&lt;IDText&gt;Teaching of chemistry- Logical or Psychological?&lt;/IDText&gt;&lt;DisplayText&gt;(2000)&lt;/DisplayText&gt;&lt;record&gt;&lt;titles&gt;&lt;title&gt;Teaching of chemistry- Logical or Psychological?&lt;/title&gt;&lt;secondary-title&gt;Chemistry Education:Research and practice in Europe&lt;/secondary-title&gt;&lt;/titles&gt;&lt;pages&gt;9-15&lt;/pages&gt;&lt;number&gt;1&lt;/number&gt;&lt;contributors&gt;&lt;authors&gt;&lt;author&gt;Johnstone, Alex H.&lt;/author&gt;&lt;/authors&gt;&lt;/contributors&gt;&lt;added-date format="utc"&gt;1541677839&lt;/added-date&gt;&lt;ref-type name="Journal Article"&gt;17&lt;/ref-type&gt;&lt;dates&gt;&lt;year&gt;2000&lt;/year&gt;&lt;/dates&gt;&lt;rec-number&gt;32&lt;/rec-number&gt;&lt;last-updated-date format="utc"&gt;1541677957&lt;/last-updated-date&gt;&lt;volume&gt;1&lt;/volume&gt;&lt;/record&gt;&lt;/Cite&gt;&lt;/EndNote&gt;</w:instrText>
      </w:r>
      <w:r w:rsidRPr="00205F5D">
        <w:fldChar w:fldCharType="separate"/>
      </w:r>
      <w:r w:rsidRPr="00205F5D">
        <w:rPr>
          <w:noProof/>
        </w:rPr>
        <w:t>(2000)</w:t>
      </w:r>
      <w:r w:rsidRPr="00205F5D">
        <w:fldChar w:fldCharType="end"/>
      </w:r>
      <w:r w:rsidRPr="00205F5D">
        <w:t xml:space="preserve"> highlights how in chemistry teaching students are often</w:t>
      </w:r>
      <w:r>
        <w:t xml:space="preserve"> </w:t>
      </w:r>
      <w:r w:rsidRPr="00205F5D">
        <w:t xml:space="preserve">introduced to </w:t>
      </w:r>
      <w:r>
        <w:t xml:space="preserve">all </w:t>
      </w:r>
      <w:r w:rsidRPr="00205F5D">
        <w:t>three levels of representation</w:t>
      </w:r>
      <w:r>
        <w:t xml:space="preserve"> simultaneously</w:t>
      </w:r>
      <w:r w:rsidRPr="00205F5D">
        <w:t>.</w:t>
      </w:r>
      <w:r w:rsidR="00F847FD" w:rsidRPr="00205F5D">
        <w:t xml:space="preserve"> Whilst an experienced chemist may be able to manipulate all three, he suggests that this may overload the “working space” (working memory) of school students.</w:t>
      </w:r>
    </w:p>
    <w:p w14:paraId="7C784004" w14:textId="0C307D4E" w:rsidR="00F847FD" w:rsidRPr="00205F5D" w:rsidRDefault="00F847FD" w:rsidP="00F847FD">
      <w:pPr>
        <w:spacing w:after="180"/>
      </w:pPr>
      <w:r>
        <w:t>This diagnostic question explores whether students choose to use one, two or three levels of representation to categorise the type of reaction.</w:t>
      </w:r>
    </w:p>
    <w:p w14:paraId="162F5D60"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F098C7B" w14:textId="277660C9" w:rsidR="00F847FD" w:rsidRDefault="00F847FD" w:rsidP="00F847FD">
      <w:pPr>
        <w:spacing w:after="180"/>
      </w:pPr>
      <w:r>
        <w:t>This question aims to diagnose how students categorise a chemical reaction based on a symbolic chemical equation.  It is important that they can recall what happens in each type of reaction as this is not the focus of this question. This could be recapped before answering the question.</w:t>
      </w:r>
    </w:p>
    <w:p w14:paraId="54349901" w14:textId="18FEE56D" w:rsidR="003A31FE" w:rsidRDefault="00F847FD" w:rsidP="003A31FE">
      <w:pPr>
        <w:spacing w:after="180"/>
      </w:pPr>
      <w:r>
        <w:t xml:space="preserve">The answers to the second part of the question may provide you with information on which representation or representations students used in solving the problem. </w:t>
      </w:r>
    </w:p>
    <w:p w14:paraId="05B455E0" w14:textId="724F2C97" w:rsidR="00F847FD" w:rsidRDefault="00F847FD" w:rsidP="003A31FE">
      <w:pPr>
        <w:spacing w:after="180"/>
      </w:pPr>
    </w:p>
    <w:p w14:paraId="626EA23A" w14:textId="77777777" w:rsidR="00F847FD" w:rsidRDefault="00F847FD" w:rsidP="003A31FE">
      <w:pPr>
        <w:spacing w:after="180"/>
      </w:pPr>
    </w:p>
    <w:p w14:paraId="236F67FB" w14:textId="6C60BAAC" w:rsidR="003A31FE" w:rsidRPr="003A31FE" w:rsidRDefault="003A31FE" w:rsidP="003A31FE">
      <w:pPr>
        <w:spacing w:after="180"/>
        <w:rPr>
          <w:i/>
        </w:rPr>
      </w:pPr>
      <w:r w:rsidRPr="003A31FE">
        <w:rPr>
          <w:i/>
        </w:rPr>
        <w:t>Differentiation</w:t>
      </w:r>
    </w:p>
    <w:p w14:paraId="29F10C1B" w14:textId="1C757B30" w:rsidR="003A31FE" w:rsidRPr="00B36B69" w:rsidRDefault="003A31FE" w:rsidP="003A31FE">
      <w:pPr>
        <w:spacing w:after="180"/>
      </w:pPr>
      <w:r>
        <w:t>Some students may benefit from talking about what they can find out from the chemical equation before attempting to categorise the type of reaction.</w:t>
      </w:r>
    </w:p>
    <w:p w14:paraId="1CFFBBE6"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19D82905" w14:textId="6CC49418" w:rsidR="00BF6C8A" w:rsidRDefault="001B755E" w:rsidP="00BF6C8A">
      <w:pPr>
        <w:spacing w:after="180"/>
      </w:pPr>
      <w:r w:rsidRPr="003A31FE">
        <w:t>C</w:t>
      </w:r>
    </w:p>
    <w:p w14:paraId="14AA5CB7"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66B39F49" w14:textId="5F832B5F" w:rsidR="004F039C" w:rsidRPr="003A31FE" w:rsidRDefault="003A31FE" w:rsidP="006A4440">
      <w:pPr>
        <w:spacing w:after="180"/>
      </w:pPr>
      <w:r w:rsidRPr="003A31FE">
        <w:t xml:space="preserve">A student who selects option A may </w:t>
      </w:r>
      <w:bookmarkStart w:id="0" w:name="_GoBack"/>
      <w:bookmarkEnd w:id="0"/>
      <w:r w:rsidRPr="003A31FE">
        <w:t>recall that precipitation reactions start with a solution. They are not making full use of the information provided on the right-hand side of the equation.</w:t>
      </w:r>
    </w:p>
    <w:p w14:paraId="16BE0AC3" w14:textId="457CA335" w:rsidR="003A31FE" w:rsidRPr="003A31FE" w:rsidRDefault="003A31FE" w:rsidP="006A4440">
      <w:pPr>
        <w:spacing w:after="180"/>
      </w:pPr>
      <w:r w:rsidRPr="003A31FE">
        <w:t>Choice of option C could be due to a student spotting oxygen in the chemical equation but not realising that it is a product rather than a reactant.</w:t>
      </w:r>
    </w:p>
    <w:p w14:paraId="69736065" w14:textId="6DE17265" w:rsidR="003A31FE" w:rsidRPr="003A31FE" w:rsidRDefault="004F039C" w:rsidP="006A4440">
      <w:pPr>
        <w:spacing w:after="180"/>
      </w:pPr>
      <w:r w:rsidRPr="003A31FE">
        <w:t xml:space="preserve">If students have </w:t>
      </w:r>
      <w:r w:rsidR="001E4950" w:rsidRPr="003A31FE">
        <w:t>misunderstanding</w:t>
      </w:r>
      <w:r w:rsidRPr="003A31FE">
        <w:t xml:space="preserve">s about </w:t>
      </w:r>
      <w:r w:rsidR="003A31FE" w:rsidRPr="003A31FE">
        <w:t xml:space="preserve">how to use a chemical equation to categorise a type of </w:t>
      </w:r>
      <w:r w:rsidR="0034711B" w:rsidRPr="003A31FE">
        <w:t>reaction,</w:t>
      </w:r>
      <w:r w:rsidR="003A31FE" w:rsidRPr="003A31FE">
        <w:t xml:space="preserve"> they may need to work through some more examples.</w:t>
      </w:r>
    </w:p>
    <w:p w14:paraId="13F2A650" w14:textId="4B82869F" w:rsidR="005F1A7B" w:rsidRPr="003A31FE" w:rsidRDefault="004F039C" w:rsidP="006A4440">
      <w:pPr>
        <w:spacing w:after="180"/>
      </w:pPr>
      <w:r w:rsidRPr="003A31FE">
        <w:t xml:space="preserve">The following </w:t>
      </w:r>
      <w:r w:rsidR="005F1A7B" w:rsidRPr="003A31FE">
        <w:t xml:space="preserve">BEST </w:t>
      </w:r>
      <w:r w:rsidR="004C5D20" w:rsidRPr="003A31FE">
        <w:t xml:space="preserve">‘response </w:t>
      </w:r>
      <w:r w:rsidR="00C1460B" w:rsidRPr="003A31FE">
        <w:t>activities</w:t>
      </w:r>
      <w:r w:rsidR="004C5D20" w:rsidRPr="003A31FE">
        <w:t>’</w:t>
      </w:r>
      <w:r w:rsidR="005F1A7B" w:rsidRPr="003A31FE">
        <w:t xml:space="preserve"> </w:t>
      </w:r>
      <w:r w:rsidR="004C5D20" w:rsidRPr="003A31FE">
        <w:t>c</w:t>
      </w:r>
      <w:r w:rsidR="005F1A7B" w:rsidRPr="003A31FE">
        <w:t xml:space="preserve">ould </w:t>
      </w:r>
      <w:r w:rsidR="004C5D20" w:rsidRPr="003A31FE">
        <w:t>be used in follow-up to this diagnostic question</w:t>
      </w:r>
      <w:r w:rsidRPr="003A31FE">
        <w:t>:</w:t>
      </w:r>
    </w:p>
    <w:p w14:paraId="5EE30907" w14:textId="165DD82A" w:rsidR="00A6111E" w:rsidRPr="003A31FE" w:rsidRDefault="003A31FE" w:rsidP="00402E34">
      <w:pPr>
        <w:pStyle w:val="ListParagraph"/>
        <w:numPr>
          <w:ilvl w:val="0"/>
          <w:numId w:val="1"/>
        </w:numPr>
        <w:spacing w:after="180"/>
      </w:pPr>
      <w:r w:rsidRPr="003A31FE">
        <w:t>Categorising reactions</w:t>
      </w:r>
    </w:p>
    <w:p w14:paraId="46DE33B3"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57231EB" w14:textId="4EB6271F" w:rsidR="00D278E8" w:rsidRDefault="00D278E8" w:rsidP="00E172C6">
      <w:pPr>
        <w:spacing w:after="180"/>
      </w:pPr>
      <w:r>
        <w:t xml:space="preserve">Developed </w:t>
      </w:r>
      <w:r w:rsidR="0015356E">
        <w:t xml:space="preserve">by </w:t>
      </w:r>
      <w:r w:rsidR="003A31FE" w:rsidRPr="003A31FE">
        <w:t>Helen Harden</w:t>
      </w:r>
      <w:r w:rsidR="0015356E" w:rsidRPr="003A31FE">
        <w:t xml:space="preserve"> (UYSEG)</w:t>
      </w:r>
      <w:r w:rsidR="003A31FE" w:rsidRPr="003A31FE">
        <w:t>.</w:t>
      </w:r>
    </w:p>
    <w:p w14:paraId="18F1E0AF" w14:textId="46F4D723" w:rsidR="00CC78A5" w:rsidRDefault="00D278E8" w:rsidP="00E172C6">
      <w:pPr>
        <w:spacing w:after="180"/>
      </w:pPr>
      <w:r w:rsidRPr="0045323E">
        <w:t>Images:</w:t>
      </w:r>
      <w:r w:rsidR="003A31FE">
        <w:t xml:space="preserve"> None</w:t>
      </w:r>
    </w:p>
    <w:p w14:paraId="14BC026A" w14:textId="5CE94B4B" w:rsidR="00375181" w:rsidRDefault="003117F6" w:rsidP="00E24309">
      <w:pPr>
        <w:spacing w:after="180"/>
        <w:rPr>
          <w:b/>
          <w:color w:val="E36C0A" w:themeColor="accent6" w:themeShade="BF"/>
          <w:sz w:val="24"/>
        </w:rPr>
      </w:pPr>
      <w:r w:rsidRPr="00323334">
        <w:rPr>
          <w:b/>
          <w:color w:val="E36C0A" w:themeColor="accent6" w:themeShade="BF"/>
          <w:sz w:val="24"/>
        </w:rPr>
        <w:t>References</w:t>
      </w:r>
    </w:p>
    <w:p w14:paraId="18C813C4" w14:textId="77777777" w:rsidR="00375181" w:rsidRPr="00375181" w:rsidRDefault="00375181" w:rsidP="00375181">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375181">
        <w:t xml:space="preserve">Johnstone, A. H. (1991). Why is chemistry difficult to learn? Things are seldom what they seem. </w:t>
      </w:r>
      <w:r w:rsidRPr="00375181">
        <w:rPr>
          <w:i/>
        </w:rPr>
        <w:t>Journal of Computer Assisted Learning,</w:t>
      </w:r>
      <w:r w:rsidRPr="00375181">
        <w:t xml:space="preserve"> 7</w:t>
      </w:r>
      <w:r w:rsidRPr="00375181">
        <w:rPr>
          <w:b/>
        </w:rPr>
        <w:t>,</w:t>
      </w:r>
      <w:r w:rsidRPr="00375181">
        <w:t xml:space="preserve"> 75-83.</w:t>
      </w:r>
    </w:p>
    <w:p w14:paraId="5DC0DF1A" w14:textId="77777777" w:rsidR="00375181" w:rsidRPr="00375181" w:rsidRDefault="00375181" w:rsidP="00375181">
      <w:pPr>
        <w:pStyle w:val="EndNoteBibliography"/>
      </w:pPr>
      <w:r w:rsidRPr="00375181">
        <w:t xml:space="preserve">Johnstone, A. H. (2000). Teaching of chemistry- Logical or Psychological? </w:t>
      </w:r>
      <w:r w:rsidRPr="00375181">
        <w:rPr>
          <w:i/>
        </w:rPr>
        <w:t>Chemistry Education:Research and practice in Europe,</w:t>
      </w:r>
      <w:r w:rsidRPr="00375181">
        <w:t xml:space="preserve"> 1(1)</w:t>
      </w:r>
      <w:r w:rsidRPr="00375181">
        <w:rPr>
          <w:b/>
        </w:rPr>
        <w:t>,</w:t>
      </w:r>
      <w:r w:rsidRPr="00375181">
        <w:t xml:space="preserve"> 9-15.</w:t>
      </w:r>
    </w:p>
    <w:p w14:paraId="12456B06" w14:textId="109275E0" w:rsidR="00B46FF9" w:rsidRPr="001E4950" w:rsidRDefault="00375181"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55C9E" w14:textId="77777777" w:rsidR="003A54F1" w:rsidRDefault="003A54F1" w:rsidP="000B473B">
      <w:r>
        <w:separator/>
      </w:r>
    </w:p>
  </w:endnote>
  <w:endnote w:type="continuationSeparator" w:id="0">
    <w:p w14:paraId="7A680B2F" w14:textId="77777777" w:rsidR="003A54F1" w:rsidRDefault="003A54F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053B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D9EEF41" wp14:editId="154D769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9BF6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33E830E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6DA9DCB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D647B" w14:textId="77777777" w:rsidR="003A54F1" w:rsidRDefault="003A54F1" w:rsidP="000B473B">
      <w:r>
        <w:separator/>
      </w:r>
    </w:p>
  </w:footnote>
  <w:footnote w:type="continuationSeparator" w:id="0">
    <w:p w14:paraId="29677DB8" w14:textId="77777777" w:rsidR="003A54F1" w:rsidRDefault="003A54F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C73F3"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9EF68B5" wp14:editId="3090AE4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97A1742" wp14:editId="1BDB0D6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94A0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0EAD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7CB60DC" wp14:editId="304FC83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7FC1B0B6" wp14:editId="44A52D2E">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08209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26258"/>
    <w:rsid w:val="00015578"/>
    <w:rsid w:val="00024731"/>
    <w:rsid w:val="00026DEC"/>
    <w:rsid w:val="000505CA"/>
    <w:rsid w:val="0007651D"/>
    <w:rsid w:val="0009089A"/>
    <w:rsid w:val="000947E2"/>
    <w:rsid w:val="00095E04"/>
    <w:rsid w:val="000B45C3"/>
    <w:rsid w:val="000B473B"/>
    <w:rsid w:val="000D0E89"/>
    <w:rsid w:val="000E2689"/>
    <w:rsid w:val="00133B39"/>
    <w:rsid w:val="00142613"/>
    <w:rsid w:val="00144DA7"/>
    <w:rsid w:val="0015356E"/>
    <w:rsid w:val="00161D3F"/>
    <w:rsid w:val="00162283"/>
    <w:rsid w:val="001915D4"/>
    <w:rsid w:val="001A1FED"/>
    <w:rsid w:val="001A40E2"/>
    <w:rsid w:val="001B755E"/>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4711B"/>
    <w:rsid w:val="003533B8"/>
    <w:rsid w:val="00375181"/>
    <w:rsid w:val="003752BE"/>
    <w:rsid w:val="00394FFE"/>
    <w:rsid w:val="003A31FE"/>
    <w:rsid w:val="003A346A"/>
    <w:rsid w:val="003A54F1"/>
    <w:rsid w:val="003B2917"/>
    <w:rsid w:val="003B541B"/>
    <w:rsid w:val="003E2B2F"/>
    <w:rsid w:val="003E6046"/>
    <w:rsid w:val="003F16F9"/>
    <w:rsid w:val="00402E34"/>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C48E7"/>
    <w:rsid w:val="006D166B"/>
    <w:rsid w:val="006F3279"/>
    <w:rsid w:val="006F6C6B"/>
    <w:rsid w:val="00704AEE"/>
    <w:rsid w:val="00722F9A"/>
    <w:rsid w:val="00726258"/>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07F34"/>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847FD"/>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92677"/>
  <w15:docId w15:val="{78AC4B28-B859-4F87-902D-0C2F04B5C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7518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75181"/>
    <w:rPr>
      <w:rFonts w:ascii="Calibri" w:hAnsi="Calibri" w:cs="Calibri"/>
      <w:noProof/>
      <w:lang w:val="en-US"/>
    </w:rPr>
  </w:style>
  <w:style w:type="paragraph" w:customStyle="1" w:styleId="EndNoteBibliography">
    <w:name w:val="EndNote Bibliography"/>
    <w:basedOn w:val="Normal"/>
    <w:link w:val="EndNoteBibliographyChar"/>
    <w:rsid w:val="00375181"/>
    <w:rPr>
      <w:rFonts w:ascii="Calibri" w:hAnsi="Calibri" w:cs="Calibri"/>
      <w:noProof/>
      <w:lang w:val="en-US"/>
    </w:rPr>
  </w:style>
  <w:style w:type="character" w:customStyle="1" w:styleId="EndNoteBibliographyChar">
    <w:name w:val="EndNote Bibliography Char"/>
    <w:basedOn w:val="DefaultParagraphFont"/>
    <w:link w:val="EndNoteBibliography"/>
    <w:rsid w:val="0037518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4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45</TotalTime>
  <Pages>3</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2018-11-08T14:31:00Z</dcterms:created>
  <dcterms:modified xsi:type="dcterms:W3CDTF">2018-12-03T10:54:00Z</dcterms:modified>
</cp:coreProperties>
</file>