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2B623" w14:textId="3EB7C2C2" w:rsidR="00201AC2" w:rsidRPr="00F537BC" w:rsidRDefault="00AD235C" w:rsidP="00201AC2">
      <w:pPr>
        <w:spacing w:after="180"/>
        <w:rPr>
          <w:b/>
          <w:sz w:val="44"/>
          <w:szCs w:val="44"/>
        </w:rPr>
      </w:pPr>
      <w:r w:rsidRPr="00F537BC">
        <w:rPr>
          <w:b/>
          <w:sz w:val="44"/>
          <w:szCs w:val="44"/>
        </w:rPr>
        <w:t>Explaining differences</w:t>
      </w:r>
    </w:p>
    <w:p w14:paraId="3E16D957" w14:textId="77777777" w:rsidR="00B23B31" w:rsidRPr="00F537BC" w:rsidRDefault="00B23B31" w:rsidP="00201AC2">
      <w:pPr>
        <w:spacing w:after="180"/>
      </w:pPr>
    </w:p>
    <w:p w14:paraId="2839644B" w14:textId="24EF8A55" w:rsidR="00201AC2" w:rsidRPr="00F537BC" w:rsidRDefault="00F537BC" w:rsidP="00201AC2">
      <w:pPr>
        <w:spacing w:after="180"/>
      </w:pPr>
      <w:r w:rsidRPr="00F537BC">
        <w:t>Copper is insoluble.</w:t>
      </w:r>
    </w:p>
    <w:p w14:paraId="5D61E539" w14:textId="77777777" w:rsidR="00FD56FC" w:rsidRDefault="00FD56FC" w:rsidP="00201AC2">
      <w:pPr>
        <w:spacing w:after="180"/>
      </w:pPr>
      <w:r w:rsidRPr="00FD56FC">
        <w:rPr>
          <w:color w:val="00B050"/>
        </w:rPr>
        <w:drawing>
          <wp:inline distT="0" distB="0" distL="0" distR="0" wp14:anchorId="3A28AC24" wp14:editId="520F228C">
            <wp:extent cx="1067193" cy="617242"/>
            <wp:effectExtent l="0" t="3810" r="0" b="0"/>
            <wp:docPr id="14" name="Picture 13">
              <a:extLst xmlns:a="http://schemas.openxmlformats.org/drawingml/2006/main">
                <a:ext uri="{FF2B5EF4-FFF2-40B4-BE49-F238E27FC236}">
                  <a16:creationId xmlns:a16="http://schemas.microsoft.com/office/drawing/2014/main" id="{F1A0A054-2BE5-4410-9ECF-64D0F941C69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3">
                      <a:extLst>
                        <a:ext uri="{FF2B5EF4-FFF2-40B4-BE49-F238E27FC236}">
                          <a16:creationId xmlns:a16="http://schemas.microsoft.com/office/drawing/2014/main" id="{F1A0A054-2BE5-4410-9ECF-64D0F941C69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058" t="34575" r="12586" b="31990"/>
                    <a:stretch/>
                  </pic:blipFill>
                  <pic:spPr>
                    <a:xfrm rot="5400000">
                      <a:off x="0" y="0"/>
                      <a:ext cx="1072704" cy="620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5D5FA" w14:textId="77777777" w:rsidR="00FD56FC" w:rsidRDefault="00F537BC" w:rsidP="00201AC2">
      <w:pPr>
        <w:spacing w:after="180"/>
      </w:pPr>
      <w:r w:rsidRPr="00F537BC">
        <w:t>Copper sulfate is soluble.</w:t>
      </w:r>
    </w:p>
    <w:p w14:paraId="620B83DB" w14:textId="10A8767A" w:rsidR="00F537BC" w:rsidRPr="00F537BC" w:rsidRDefault="00FD56FC" w:rsidP="00201AC2">
      <w:pPr>
        <w:spacing w:after="180"/>
      </w:pPr>
      <w:r w:rsidRPr="00FD56FC">
        <w:rPr>
          <w:color w:val="00B050"/>
        </w:rPr>
        <w:t xml:space="preserve"> </w:t>
      </w:r>
      <w:r w:rsidRPr="00FD56FC">
        <w:rPr>
          <w:color w:val="00B050"/>
        </w:rPr>
        <w:drawing>
          <wp:inline distT="0" distB="0" distL="0" distR="0" wp14:anchorId="10992DF5" wp14:editId="6AA6B3F7">
            <wp:extent cx="971940" cy="562151"/>
            <wp:effectExtent l="0" t="4763" r="0" b="0"/>
            <wp:docPr id="15" name="Picture 14">
              <a:extLst xmlns:a="http://schemas.openxmlformats.org/drawingml/2006/main">
                <a:ext uri="{FF2B5EF4-FFF2-40B4-BE49-F238E27FC236}">
                  <a16:creationId xmlns:a16="http://schemas.microsoft.com/office/drawing/2014/main" id="{DD255739-F935-458A-8AB5-45A18035E18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>
                      <a:extLst>
                        <a:ext uri="{FF2B5EF4-FFF2-40B4-BE49-F238E27FC236}">
                          <a16:creationId xmlns:a16="http://schemas.microsoft.com/office/drawing/2014/main" id="{DD255739-F935-458A-8AB5-45A18035E18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29" t="14434" r="10044" b="30560"/>
                    <a:stretch/>
                  </pic:blipFill>
                  <pic:spPr>
                    <a:xfrm rot="16200000">
                      <a:off x="0" y="0"/>
                      <a:ext cx="984975" cy="56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962EB" w14:textId="2405F8B5" w:rsidR="00201AC2" w:rsidRPr="00F537BC" w:rsidRDefault="00F537BC" w:rsidP="00201AC2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 w:rsidRPr="00F537BC">
        <w:t>Choose a statement that you think gives the best explanation for this difference.</w:t>
      </w:r>
    </w:p>
    <w:p w14:paraId="761EE26F" w14:textId="72CBBD3E" w:rsidR="00201AC2" w:rsidRDefault="00F537BC" w:rsidP="00F537BC">
      <w:pPr>
        <w:spacing w:after="240"/>
        <w:ind w:left="567"/>
        <w:rPr>
          <w:szCs w:val="18"/>
        </w:rPr>
      </w:pPr>
      <w:r w:rsidRPr="00F537BC">
        <w:rPr>
          <w:szCs w:val="18"/>
        </w:rPr>
        <w:t>A</w:t>
      </w:r>
      <w:r w:rsidRPr="00F537BC">
        <w:rPr>
          <w:szCs w:val="18"/>
        </w:rPr>
        <w:tab/>
      </w:r>
      <w:r w:rsidRPr="00F537BC">
        <w:rPr>
          <w:szCs w:val="18"/>
        </w:rPr>
        <w:tab/>
        <w:t>Copper becomes soluble when it is in copper sulfate.</w:t>
      </w:r>
    </w:p>
    <w:p w14:paraId="0D27ED23" w14:textId="08BF573B" w:rsidR="00F537BC" w:rsidRDefault="00F537BC" w:rsidP="00F537BC">
      <w:pPr>
        <w:spacing w:after="240"/>
        <w:ind w:left="567"/>
        <w:rPr>
          <w:szCs w:val="18"/>
        </w:rPr>
      </w:pPr>
      <w:r>
        <w:rPr>
          <w:szCs w:val="18"/>
        </w:rPr>
        <w:t>B</w:t>
      </w:r>
      <w:r>
        <w:rPr>
          <w:szCs w:val="18"/>
        </w:rPr>
        <w:tab/>
      </w:r>
      <w:r>
        <w:rPr>
          <w:szCs w:val="18"/>
        </w:rPr>
        <w:tab/>
        <w:t>Copper is a different substance to copper sulfate and has different properties.</w:t>
      </w:r>
    </w:p>
    <w:p w14:paraId="2F82156D" w14:textId="5DD18596" w:rsidR="00F537BC" w:rsidRDefault="00F537BC" w:rsidP="00F537BC">
      <w:pPr>
        <w:spacing w:after="240"/>
        <w:ind w:left="567"/>
        <w:rPr>
          <w:szCs w:val="18"/>
        </w:rPr>
      </w:pPr>
      <w:r>
        <w:rPr>
          <w:szCs w:val="18"/>
        </w:rPr>
        <w:t>C</w:t>
      </w:r>
      <w:r>
        <w:rPr>
          <w:szCs w:val="18"/>
        </w:rPr>
        <w:tab/>
      </w:r>
      <w:r>
        <w:rPr>
          <w:szCs w:val="18"/>
        </w:rPr>
        <w:tab/>
        <w:t>Copper is a metal.</w:t>
      </w:r>
    </w:p>
    <w:p w14:paraId="49FEC480" w14:textId="2D490792" w:rsidR="00F537BC" w:rsidRPr="00201AC2" w:rsidRDefault="00F537BC" w:rsidP="00F537BC">
      <w:pPr>
        <w:spacing w:after="240"/>
        <w:ind w:left="567"/>
        <w:rPr>
          <w:szCs w:val="18"/>
        </w:rPr>
      </w:pPr>
      <w:r>
        <w:rPr>
          <w:szCs w:val="18"/>
        </w:rPr>
        <w:t>D</w:t>
      </w:r>
      <w:r>
        <w:rPr>
          <w:szCs w:val="18"/>
        </w:rPr>
        <w:tab/>
      </w:r>
      <w:r>
        <w:rPr>
          <w:szCs w:val="18"/>
        </w:rPr>
        <w:tab/>
        <w:t>Copper is an element and copper sulfate is a compound.</w:t>
      </w:r>
    </w:p>
    <w:p w14:paraId="19E1C393" w14:textId="65B438D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05188CA3" w14:textId="2F854514" w:rsidR="00287876" w:rsidRPr="006F3279" w:rsidRDefault="001C2E59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</w:t>
      </w:r>
      <w:r w:rsidR="00F537BC">
        <w:rPr>
          <w:i/>
          <w:sz w:val="18"/>
          <w:szCs w:val="18"/>
        </w:rPr>
        <w:t>CCR: Chemical reactions</w:t>
      </w:r>
      <w:r>
        <w:rPr>
          <w:i/>
          <w:sz w:val="18"/>
          <w:szCs w:val="18"/>
        </w:rPr>
        <w:t xml:space="preserve"> &gt; Topic </w:t>
      </w:r>
      <w:r w:rsidR="00F537BC">
        <w:rPr>
          <w:i/>
          <w:sz w:val="18"/>
          <w:szCs w:val="18"/>
        </w:rPr>
        <w:t>CCR2: Understanding reactions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="00F537BC">
        <w:rPr>
          <w:i/>
          <w:sz w:val="18"/>
          <w:szCs w:val="18"/>
        </w:rPr>
        <w:t>CCR2.1: Reactions in solution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0E703F31" w14:textId="77777777" w:rsidTr="001C2E59">
        <w:tc>
          <w:tcPr>
            <w:tcW w:w="12021" w:type="dxa"/>
            <w:shd w:val="clear" w:color="auto" w:fill="FABF8F" w:themeFill="accent6" w:themeFillTint="99"/>
          </w:tcPr>
          <w:p w14:paraId="19D7FF77" w14:textId="77777777" w:rsidR="006F3279" w:rsidRPr="00CA4B46" w:rsidRDefault="00806B12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6A320F">
              <w:rPr>
                <w:b/>
                <w:sz w:val="40"/>
                <w:szCs w:val="40"/>
              </w:rPr>
              <w:t>activity</w:t>
            </w:r>
          </w:p>
        </w:tc>
      </w:tr>
      <w:tr w:rsidR="006F3279" w14:paraId="20BA0A90" w14:textId="77777777" w:rsidTr="001C2E59">
        <w:tc>
          <w:tcPr>
            <w:tcW w:w="12021" w:type="dxa"/>
            <w:shd w:val="clear" w:color="auto" w:fill="FBD4B4" w:themeFill="accent6" w:themeFillTint="66"/>
          </w:tcPr>
          <w:p w14:paraId="0334EECE" w14:textId="2291D5D7" w:rsidR="006F3279" w:rsidRPr="00CA4B46" w:rsidRDefault="00F537BC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F537BC">
              <w:rPr>
                <w:b/>
                <w:sz w:val="40"/>
                <w:szCs w:val="40"/>
              </w:rPr>
              <w:t>Explaining differences</w:t>
            </w:r>
          </w:p>
        </w:tc>
      </w:tr>
    </w:tbl>
    <w:p w14:paraId="1C33F2DC" w14:textId="77777777" w:rsidR="006F3279" w:rsidRDefault="006F3279" w:rsidP="00E172C6">
      <w:pPr>
        <w:spacing w:after="180"/>
        <w:rPr>
          <w:b/>
        </w:rPr>
      </w:pPr>
    </w:p>
    <w:p w14:paraId="0FF8A36A" w14:textId="77777777" w:rsidR="00456227" w:rsidRPr="001C2E59" w:rsidRDefault="00456227" w:rsidP="00456227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Overview</w:t>
      </w:r>
    </w:p>
    <w:tbl>
      <w:tblPr>
        <w:tblStyle w:val="TableGrid"/>
        <w:tblW w:w="1145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  <w:gridCol w:w="2439"/>
      </w:tblGrid>
      <w:tr w:rsidR="00F537BC" w14:paraId="2E906C83" w14:textId="77777777" w:rsidTr="00F537BC">
        <w:trPr>
          <w:gridAfter w:val="1"/>
          <w:wAfter w:w="2439" w:type="dxa"/>
          <w:trHeight w:val="340"/>
        </w:trPr>
        <w:tc>
          <w:tcPr>
            <w:tcW w:w="2196" w:type="dxa"/>
          </w:tcPr>
          <w:p w14:paraId="50A1C38B" w14:textId="77777777" w:rsidR="00F537BC" w:rsidRDefault="00F537BC" w:rsidP="00F537BC">
            <w:pPr>
              <w:spacing w:before="60" w:after="60"/>
            </w:pPr>
            <w:r>
              <w:t>Learning objective:</w:t>
            </w:r>
          </w:p>
        </w:tc>
        <w:tc>
          <w:tcPr>
            <w:tcW w:w="6820" w:type="dxa"/>
            <w:vAlign w:val="center"/>
          </w:tcPr>
          <w:p w14:paraId="68D78183" w14:textId="6FE2A803" w:rsidR="00F537BC" w:rsidRDefault="00F537BC" w:rsidP="00F537BC">
            <w:pPr>
              <w:spacing w:before="60" w:after="60"/>
            </w:pPr>
            <w:r w:rsidRPr="00F537BC">
              <w:t>When two solutions react, a product may be insoluble, resulting in the formation of a precipitate.</w:t>
            </w:r>
          </w:p>
        </w:tc>
      </w:tr>
      <w:tr w:rsidR="00F537BC" w14:paraId="02A2DC2B" w14:textId="65547D8A" w:rsidTr="00F537BC">
        <w:trPr>
          <w:trHeight w:val="340"/>
        </w:trPr>
        <w:tc>
          <w:tcPr>
            <w:tcW w:w="2196" w:type="dxa"/>
          </w:tcPr>
          <w:p w14:paraId="759FA2F8" w14:textId="77777777" w:rsidR="00F537BC" w:rsidRDefault="00F537BC" w:rsidP="00F537BC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  <w:vAlign w:val="center"/>
          </w:tcPr>
          <w:p w14:paraId="38EDB134" w14:textId="77777777" w:rsidR="00F537BC" w:rsidRPr="00F537BC" w:rsidRDefault="00F537BC" w:rsidP="00F537BC">
            <w:pPr>
              <w:spacing w:after="120"/>
            </w:pPr>
            <w:r w:rsidRPr="00F537BC">
              <w:t>Recognise that a compound has properties (including solubility) that are distinct from its constituent elements.</w:t>
            </w:r>
          </w:p>
          <w:p w14:paraId="083C0BF1" w14:textId="2468025A" w:rsidR="00F537BC" w:rsidRPr="00F537BC" w:rsidRDefault="00F537BC" w:rsidP="00F537BC">
            <w:pPr>
              <w:spacing w:before="60" w:after="60"/>
            </w:pPr>
          </w:p>
        </w:tc>
        <w:tc>
          <w:tcPr>
            <w:tcW w:w="2439" w:type="dxa"/>
            <w:vAlign w:val="center"/>
          </w:tcPr>
          <w:p w14:paraId="7560FA1C" w14:textId="77777777" w:rsidR="00F537BC" w:rsidRDefault="00F537BC" w:rsidP="00F537BC">
            <w:pPr>
              <w:spacing w:after="200" w:line="276" w:lineRule="auto"/>
            </w:pPr>
          </w:p>
        </w:tc>
      </w:tr>
      <w:tr w:rsidR="00F537BC" w14:paraId="75F09B96" w14:textId="77777777" w:rsidTr="00F537BC">
        <w:trPr>
          <w:gridAfter w:val="1"/>
          <w:wAfter w:w="2439" w:type="dxa"/>
          <w:trHeight w:val="340"/>
        </w:trPr>
        <w:tc>
          <w:tcPr>
            <w:tcW w:w="2196" w:type="dxa"/>
          </w:tcPr>
          <w:p w14:paraId="3CE51944" w14:textId="77777777" w:rsidR="00F537BC" w:rsidRDefault="00F537BC" w:rsidP="00F537BC">
            <w:pPr>
              <w:spacing w:before="60" w:after="60"/>
            </w:pPr>
            <w:r>
              <w:t>Activity type:</w:t>
            </w:r>
          </w:p>
        </w:tc>
        <w:tc>
          <w:tcPr>
            <w:tcW w:w="6820" w:type="dxa"/>
          </w:tcPr>
          <w:p w14:paraId="3C070FA9" w14:textId="69ABDCE6" w:rsidR="00F537BC" w:rsidRPr="00F537BC" w:rsidRDefault="00F537BC" w:rsidP="00F537BC">
            <w:pPr>
              <w:spacing w:before="60" w:after="60"/>
            </w:pPr>
            <w:r w:rsidRPr="00F537BC">
              <w:t>simple multiple choice</w:t>
            </w:r>
          </w:p>
        </w:tc>
      </w:tr>
      <w:tr w:rsidR="00F537BC" w:rsidRPr="00F537BC" w14:paraId="3607D034" w14:textId="77777777" w:rsidTr="00F537BC">
        <w:trPr>
          <w:gridAfter w:val="1"/>
          <w:wAfter w:w="2439" w:type="dxa"/>
          <w:trHeight w:val="340"/>
        </w:trPr>
        <w:tc>
          <w:tcPr>
            <w:tcW w:w="2196" w:type="dxa"/>
          </w:tcPr>
          <w:p w14:paraId="2A8DB77D" w14:textId="77777777" w:rsidR="00F537BC" w:rsidRDefault="00F537BC" w:rsidP="00F537BC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19C502C4" w14:textId="43B68F63" w:rsidR="00F537BC" w:rsidRPr="00F537BC" w:rsidRDefault="00F537BC" w:rsidP="00F537BC">
            <w:pPr>
              <w:spacing w:before="60" w:after="60"/>
              <w:rPr>
                <w:lang w:val="fr-FR"/>
              </w:rPr>
            </w:pPr>
            <w:r w:rsidRPr="00F537BC">
              <w:rPr>
                <w:lang w:val="fr-FR"/>
              </w:rPr>
              <w:t xml:space="preserve">soluble, insoluble, substance, element, compound, metal, </w:t>
            </w:r>
            <w:r w:rsidRPr="00C32D6B">
              <w:t>property</w:t>
            </w:r>
          </w:p>
        </w:tc>
      </w:tr>
    </w:tbl>
    <w:p w14:paraId="64CB1ACD" w14:textId="77777777" w:rsidR="00E172C6" w:rsidRPr="00F537BC" w:rsidRDefault="00E172C6" w:rsidP="00E172C6">
      <w:pPr>
        <w:spacing w:after="180"/>
        <w:rPr>
          <w:lang w:val="fr-FR"/>
        </w:rPr>
      </w:pPr>
    </w:p>
    <w:p w14:paraId="5ED0285A" w14:textId="3C25F645" w:rsidR="006A320F" w:rsidRPr="00F537BC" w:rsidRDefault="006A320F" w:rsidP="006A320F">
      <w:pPr>
        <w:spacing w:after="180"/>
      </w:pPr>
      <w:r>
        <w:t xml:space="preserve">This activity can help develop students’ understanding by addressing the </w:t>
      </w:r>
      <w:r w:rsidR="00C32D6B">
        <w:t>misunderstandings</w:t>
      </w:r>
      <w:r>
        <w:t xml:space="preserve"> revealed by the following diagnostic </w:t>
      </w:r>
      <w:r w:rsidRPr="00F537BC">
        <w:t>question(s):</w:t>
      </w:r>
    </w:p>
    <w:p w14:paraId="5453F518" w14:textId="566C2836" w:rsidR="0009089A" w:rsidRDefault="00F537BC" w:rsidP="000505CA">
      <w:pPr>
        <w:pStyle w:val="ListParagraph"/>
        <w:numPr>
          <w:ilvl w:val="0"/>
          <w:numId w:val="1"/>
        </w:numPr>
        <w:spacing w:after="180"/>
      </w:pPr>
      <w:r w:rsidRPr="00F537BC">
        <w:t>Is copper soluble?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5A6EE7" w14:paraId="37CA1EC2" w14:textId="77777777" w:rsidTr="001C2E59">
        <w:tc>
          <w:tcPr>
            <w:tcW w:w="709" w:type="dxa"/>
            <w:shd w:val="clear" w:color="auto" w:fill="FABF8F" w:themeFill="accent6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14:paraId="33EE82D8" w14:textId="77777777" w:rsidR="005A6EE7" w:rsidRPr="00F72ECC" w:rsidRDefault="003A50A4" w:rsidP="00F72ECC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P</w:t>
            </w:r>
          </w:p>
        </w:tc>
        <w:tc>
          <w:tcPr>
            <w:tcW w:w="8307" w:type="dxa"/>
            <w:tcMar>
              <w:left w:w="113" w:type="dxa"/>
              <w:right w:w="113" w:type="dxa"/>
            </w:tcMar>
            <w:vAlign w:val="center"/>
          </w:tcPr>
          <w:p w14:paraId="601E6C3D" w14:textId="77777777" w:rsidR="00F72ECC" w:rsidRPr="001C2E59" w:rsidRDefault="003A50A4" w:rsidP="00F72ECC">
            <w:pPr>
              <w:spacing w:after="60"/>
              <w:rPr>
                <w:color w:val="E36C0A" w:themeColor="accent6" w:themeShade="BF"/>
                <w:sz w:val="20"/>
              </w:rPr>
            </w:pPr>
            <w:r w:rsidRPr="001C2E59">
              <w:rPr>
                <w:b/>
                <w:color w:val="E36C0A" w:themeColor="accent6" w:themeShade="BF"/>
              </w:rPr>
              <w:t>PRIOR UNDERSTANDING</w:t>
            </w:r>
            <w:r w:rsidR="00F72ECC" w:rsidRPr="001C2E59">
              <w:rPr>
                <w:b/>
                <w:color w:val="E36C0A" w:themeColor="accent6" w:themeShade="BF"/>
              </w:rPr>
              <w:t xml:space="preserve"> </w:t>
            </w:r>
          </w:p>
          <w:p w14:paraId="0A2B3CDA" w14:textId="31A7094C" w:rsidR="005A6EE7" w:rsidRDefault="00F72ECC" w:rsidP="00806B12">
            <w:r w:rsidRPr="00C32D6B">
              <w:rPr>
                <w:sz w:val="20"/>
              </w:rPr>
              <w:t xml:space="preserve">This activity explores ideas </w:t>
            </w:r>
            <w:r w:rsidR="00A32F29" w:rsidRPr="00C32D6B">
              <w:rPr>
                <w:sz w:val="20"/>
              </w:rPr>
              <w:t xml:space="preserve">from </w:t>
            </w:r>
            <w:r w:rsidR="00C32D6B" w:rsidRPr="00C32D6B">
              <w:rPr>
                <w:sz w:val="20"/>
              </w:rPr>
              <w:t xml:space="preserve">a previous key concept CPS2.1: Atoms and molecules in order </w:t>
            </w:r>
            <w:r w:rsidRPr="00C32D6B">
              <w:rPr>
                <w:sz w:val="20"/>
              </w:rPr>
              <w:t xml:space="preserve"> to aid transition</w:t>
            </w:r>
            <w:r w:rsidR="00806B12" w:rsidRPr="00C32D6B">
              <w:rPr>
                <w:sz w:val="20"/>
              </w:rPr>
              <w:t xml:space="preserve"> from earlier </w:t>
            </w:r>
            <w:r w:rsidR="003A50A4" w:rsidRPr="00C32D6B">
              <w:rPr>
                <w:sz w:val="20"/>
              </w:rPr>
              <w:t xml:space="preserve">stages of </w:t>
            </w:r>
            <w:r w:rsidR="00806B12" w:rsidRPr="00C32D6B">
              <w:rPr>
                <w:sz w:val="20"/>
              </w:rPr>
              <w:t>learning</w:t>
            </w:r>
            <w:r w:rsidRPr="00C32D6B">
              <w:rPr>
                <w:sz w:val="20"/>
              </w:rPr>
              <w:t>.</w:t>
            </w:r>
            <w:r w:rsidRPr="00F72ECC">
              <w:rPr>
                <w:sz w:val="20"/>
              </w:rPr>
              <w:t xml:space="preserve"> </w:t>
            </w:r>
          </w:p>
        </w:tc>
      </w:tr>
    </w:tbl>
    <w:p w14:paraId="600ACEB8" w14:textId="77777777" w:rsidR="005A6EE7" w:rsidRDefault="005A6EE7" w:rsidP="00F72ECC"/>
    <w:p w14:paraId="2AB59A7C" w14:textId="77777777" w:rsidR="00F72ECC" w:rsidRDefault="00F72ECC" w:rsidP="00F72ECC"/>
    <w:p w14:paraId="13F45ABF" w14:textId="77777777" w:rsidR="00C05571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What does the research say</w:t>
      </w:r>
      <w:r w:rsidR="00C05571" w:rsidRPr="001C2E59">
        <w:rPr>
          <w:b/>
          <w:color w:val="E36C0A" w:themeColor="accent6" w:themeShade="BF"/>
          <w:sz w:val="24"/>
        </w:rPr>
        <w:t>?</w:t>
      </w:r>
    </w:p>
    <w:p w14:paraId="1B1A3EB6" w14:textId="36EC4D01" w:rsidR="00A32F29" w:rsidRDefault="00A32F29" w:rsidP="00A32F29">
      <w:pPr>
        <w:spacing w:after="180"/>
        <w:rPr>
          <w:rFonts w:eastAsia="Times New Roman"/>
        </w:rPr>
      </w:pPr>
      <w:r>
        <w:rPr>
          <w:rFonts w:eastAsia="Times New Roman"/>
        </w:rPr>
        <w:t>Research by</w:t>
      </w:r>
      <w:r w:rsidR="00FE562E">
        <w:rPr>
          <w:rFonts w:eastAsia="Times New Roman"/>
        </w:rPr>
        <w:t xml:space="preserve"> Stavridou and Solomonidou</w:t>
      </w:r>
      <w:r>
        <w:rPr>
          <w:rFonts w:eastAsia="Times New Roman"/>
        </w:rPr>
        <w:t xml:space="preserve"> </w:t>
      </w:r>
      <w:r w:rsidR="00FE562E">
        <w:rPr>
          <w:rFonts w:eastAsia="Times New Roman"/>
        </w:rPr>
        <w:fldChar w:fldCharType="begin"/>
      </w:r>
      <w:r w:rsidR="00FE562E">
        <w:rPr>
          <w:rFonts w:eastAsia="Times New Roman"/>
        </w:rPr>
        <w:instrText xml:space="preserve"> ADDIN EN.CITE &lt;EndNote&gt;&lt;Cite ExcludeAuth="1"&gt;&lt;Author&gt;Stavridou&lt;/Author&gt;&lt;Year&gt;1998&lt;/Year&gt;&lt;IDText&gt;Conceptual reorganization and the construction of the chemical reaction concept during secondary education.&lt;/IDText&gt;&lt;DisplayText&gt;(1998)&lt;/DisplayText&gt;&lt;record&gt;&lt;titles&gt;&lt;title&gt;Conceptual reorganization and the construction of the chemical reaction concept during secondary education.&lt;/title&gt;&lt;secondary-title&gt;International Journal of Science Education&lt;/secondary-title&gt;&lt;/titles&gt;&lt;pages&gt;205-221&lt;/pages&gt;&lt;number&gt;2&lt;/number&gt;&lt;contributors&gt;&lt;authors&gt;&lt;author&gt;Stavridou, Heleni&lt;/author&gt;&lt;author&gt;Solomonidou, Christina&lt;/author&gt;&lt;/authors&gt;&lt;/contributors&gt;&lt;added-date format="utc"&gt;1536664131&lt;/added-date&gt;&lt;ref-type name="Journal Article"&gt;17&lt;/ref-type&gt;&lt;dates&gt;&lt;year&gt;1998&lt;/year&gt;&lt;/dates&gt;&lt;rec-number&gt;18&lt;/rec-number&gt;&lt;last-updated-date format="utc"&gt;1536664224&lt;/last-updated-date&gt;&lt;volume&gt;20&lt;/volume&gt;&lt;/record&gt;&lt;/Cite&gt;&lt;/EndNote&gt;</w:instrText>
      </w:r>
      <w:r w:rsidR="00FE562E">
        <w:rPr>
          <w:rFonts w:eastAsia="Times New Roman"/>
        </w:rPr>
        <w:fldChar w:fldCharType="separate"/>
      </w:r>
      <w:r w:rsidR="00FE562E">
        <w:rPr>
          <w:rFonts w:eastAsia="Times New Roman"/>
          <w:noProof/>
        </w:rPr>
        <w:t>(1998)</w:t>
      </w:r>
      <w:r w:rsidR="00FE562E">
        <w:rPr>
          <w:rFonts w:eastAsia="Times New Roman"/>
        </w:rPr>
        <w:fldChar w:fldCharType="end"/>
      </w:r>
      <w:r w:rsidR="00C32D6B">
        <w:rPr>
          <w:rFonts w:eastAsia="Times New Roman"/>
        </w:rPr>
        <w:t xml:space="preserve"> </w:t>
      </w:r>
      <w:r>
        <w:rPr>
          <w:rFonts w:eastAsia="Times New Roman"/>
        </w:rPr>
        <w:t xml:space="preserve">and others </w:t>
      </w:r>
      <w:r w:rsidRPr="006B5DA2">
        <w:rPr>
          <w:rFonts w:eastAsia="Times New Roman"/>
        </w:rPr>
        <w:t xml:space="preserve">has shown that </w:t>
      </w:r>
      <w:r>
        <w:rPr>
          <w:rFonts w:eastAsia="Times New Roman"/>
        </w:rPr>
        <w:t xml:space="preserve">some </w:t>
      </w:r>
      <w:r w:rsidRPr="006B5DA2">
        <w:rPr>
          <w:rFonts w:eastAsia="Times New Roman"/>
        </w:rPr>
        <w:t>students lack the concept of chemical substance and that</w:t>
      </w:r>
      <w:r>
        <w:rPr>
          <w:rFonts w:eastAsia="Times New Roman"/>
        </w:rPr>
        <w:t>, as a consequence,</w:t>
      </w:r>
      <w:r w:rsidRPr="006B5DA2">
        <w:rPr>
          <w:rFonts w:eastAsia="Times New Roman"/>
        </w:rPr>
        <w:t xml:space="preserve"> a significant number ha</w:t>
      </w:r>
      <w:r>
        <w:rPr>
          <w:rFonts w:eastAsia="Times New Roman"/>
        </w:rPr>
        <w:t xml:space="preserve">ve </w:t>
      </w:r>
      <w:r w:rsidRPr="006B5DA2">
        <w:rPr>
          <w:rFonts w:eastAsia="Times New Roman"/>
        </w:rPr>
        <w:t xml:space="preserve">difficulty in identifying </w:t>
      </w:r>
      <w:r>
        <w:rPr>
          <w:rFonts w:eastAsia="Times New Roman"/>
        </w:rPr>
        <w:t>that a</w:t>
      </w:r>
      <w:r w:rsidRPr="006B5DA2">
        <w:rPr>
          <w:rFonts w:eastAsia="Times New Roman"/>
        </w:rPr>
        <w:t xml:space="preserve"> chemical reaction</w:t>
      </w:r>
      <w:r>
        <w:rPr>
          <w:rFonts w:eastAsia="Times New Roman"/>
        </w:rPr>
        <w:t xml:space="preserve"> has taken place. Without the conceptual understanding to</w:t>
      </w:r>
      <w:r w:rsidRPr="006B5DA2">
        <w:rPr>
          <w:rFonts w:eastAsia="Times New Roman"/>
        </w:rPr>
        <w:t xml:space="preserve"> tell whether a new product (a new substance) </w:t>
      </w:r>
      <w:r>
        <w:rPr>
          <w:rFonts w:eastAsia="Times New Roman"/>
        </w:rPr>
        <w:t>has</w:t>
      </w:r>
      <w:r w:rsidRPr="006B5DA2">
        <w:rPr>
          <w:rFonts w:eastAsia="Times New Roman"/>
        </w:rPr>
        <w:t xml:space="preserve"> formed</w:t>
      </w:r>
      <w:r>
        <w:rPr>
          <w:rFonts w:eastAsia="Times New Roman"/>
        </w:rPr>
        <w:t>, students rely upon common-sense criteria. The research concluded that, in order to develop a secure understanding of chemical reactions students first need to develop the concept of a chemical substance.</w:t>
      </w:r>
    </w:p>
    <w:p w14:paraId="58C16959" w14:textId="4DD7DC7D" w:rsidR="00A32F29" w:rsidRDefault="00A32F29" w:rsidP="00A32F29">
      <w:pPr>
        <w:spacing w:after="180"/>
        <w:rPr>
          <w:rFonts w:eastAsia="Times New Roman"/>
        </w:rPr>
      </w:pPr>
      <w:r>
        <w:rPr>
          <w:rFonts w:eastAsia="Times New Roman"/>
        </w:rPr>
        <w:t>The reasons for differences in solubility are beyond this stage of learning but it is important that students recognise that solubility is a property of each substance. This could support students in interpreting observations of chemical reactions in solution.</w:t>
      </w:r>
    </w:p>
    <w:p w14:paraId="520B4B12" w14:textId="2CE8F641" w:rsidR="007A748B" w:rsidRPr="001C2E59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Ways to use this</w:t>
      </w:r>
      <w:r w:rsidR="00CF6578">
        <w:rPr>
          <w:b/>
          <w:color w:val="E36C0A" w:themeColor="accent6" w:themeShade="BF"/>
          <w:sz w:val="24"/>
        </w:rPr>
        <w:t xml:space="preserve"> activity</w:t>
      </w:r>
    </w:p>
    <w:p w14:paraId="164BC769" w14:textId="2B52559D" w:rsidR="00456227" w:rsidRPr="00FE562E" w:rsidRDefault="00FE562E" w:rsidP="00456227">
      <w:pPr>
        <w:spacing w:after="180"/>
      </w:pPr>
      <w:r w:rsidRPr="00FE562E">
        <w:t>This activity requires students to think about not only whether statements are scientifically correct but also whether they explain what is being asked.</w:t>
      </w:r>
    </w:p>
    <w:p w14:paraId="10AB3956" w14:textId="6BA9BDAE" w:rsidR="00FE562E" w:rsidRPr="00FE562E" w:rsidRDefault="00FE562E" w:rsidP="00456227">
      <w:pPr>
        <w:spacing w:after="180"/>
      </w:pPr>
      <w:r w:rsidRPr="00FE562E">
        <w:t>Students could be asked to work in pairs to discuss each statement in turn before sharing thinking with the class.</w:t>
      </w:r>
    </w:p>
    <w:p w14:paraId="69DEB598" w14:textId="77777777" w:rsidR="00FE562E" w:rsidRPr="00FE562E" w:rsidRDefault="00FE562E" w:rsidP="00456227">
      <w:pPr>
        <w:spacing w:after="180"/>
      </w:pPr>
    </w:p>
    <w:p w14:paraId="6897AC45" w14:textId="77777777" w:rsidR="00E172C6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Expected answers</w:t>
      </w:r>
    </w:p>
    <w:p w14:paraId="21740695" w14:textId="30F8F779" w:rsidR="00FE562E" w:rsidRPr="00F537BC" w:rsidRDefault="00F537BC" w:rsidP="00BF6C8A">
      <w:pPr>
        <w:spacing w:after="180"/>
      </w:pPr>
      <w:r w:rsidRPr="00F537BC">
        <w:t>B</w:t>
      </w:r>
    </w:p>
    <w:p w14:paraId="5665918C" w14:textId="77777777" w:rsidR="003117F6" w:rsidRPr="00F537BC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F537BC">
        <w:rPr>
          <w:b/>
          <w:color w:val="E36C0A" w:themeColor="accent6" w:themeShade="BF"/>
          <w:sz w:val="24"/>
        </w:rPr>
        <w:t>Acknowledgments</w:t>
      </w:r>
    </w:p>
    <w:p w14:paraId="118D9495" w14:textId="39F985AD" w:rsidR="00D278E8" w:rsidRDefault="00D278E8" w:rsidP="00E172C6">
      <w:pPr>
        <w:spacing w:after="180"/>
      </w:pPr>
      <w:r w:rsidRPr="00F537BC">
        <w:t>Develope</w:t>
      </w:r>
      <w:bookmarkStart w:id="0" w:name="_GoBack"/>
      <w:bookmarkEnd w:id="0"/>
      <w:r w:rsidRPr="00F537BC">
        <w:t xml:space="preserve">d </w:t>
      </w:r>
      <w:r w:rsidR="0015356E" w:rsidRPr="00F537BC">
        <w:t xml:space="preserve">by </w:t>
      </w:r>
      <w:r w:rsidR="00F537BC" w:rsidRPr="00F537BC">
        <w:t xml:space="preserve">Helen Harden </w:t>
      </w:r>
      <w:r w:rsidR="0015356E" w:rsidRPr="00F537BC">
        <w:t>(UYSEG</w:t>
      </w:r>
      <w:r w:rsidR="00F537BC" w:rsidRPr="00F537BC">
        <w:t>.</w:t>
      </w:r>
    </w:p>
    <w:p w14:paraId="7F89E11B" w14:textId="45F9D8AA" w:rsidR="00CC78A5" w:rsidRDefault="00D278E8" w:rsidP="00E172C6">
      <w:pPr>
        <w:spacing w:after="180"/>
      </w:pPr>
      <w:r w:rsidRPr="0045323E">
        <w:t>Images</w:t>
      </w:r>
      <w:r w:rsidRPr="00FD56FC">
        <w:t xml:space="preserve">: </w:t>
      </w:r>
      <w:r w:rsidR="00FD56FC" w:rsidRPr="00FD56FC">
        <w:t>Peter Fairhurst and Helen Harden</w:t>
      </w:r>
    </w:p>
    <w:p w14:paraId="678DC5DD" w14:textId="77777777" w:rsidR="003117F6" w:rsidRPr="001C2E59" w:rsidRDefault="003117F6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References</w:t>
      </w:r>
    </w:p>
    <w:p w14:paraId="54F054EA" w14:textId="77777777" w:rsidR="00FE562E" w:rsidRPr="00FE562E" w:rsidRDefault="00FE562E" w:rsidP="00FE562E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FE562E">
        <w:t xml:space="preserve">Stavridou, H. and Solomonidou, C. (1998). Conceptual reorganization and the construction of the chemical reaction concept during secondary education. </w:t>
      </w:r>
      <w:r w:rsidRPr="00FE562E">
        <w:rPr>
          <w:i/>
        </w:rPr>
        <w:t>International Journal of Science Education,</w:t>
      </w:r>
      <w:r w:rsidRPr="00FE562E">
        <w:t xml:space="preserve"> 20(2)</w:t>
      </w:r>
      <w:r w:rsidRPr="00FE562E">
        <w:rPr>
          <w:b/>
        </w:rPr>
        <w:t>,</w:t>
      </w:r>
      <w:r w:rsidRPr="00FE562E">
        <w:t xml:space="preserve"> 205-221.</w:t>
      </w:r>
    </w:p>
    <w:p w14:paraId="44EC8F45" w14:textId="47DBC3B8" w:rsidR="00B46FF9" w:rsidRDefault="00FE562E" w:rsidP="00E24309">
      <w:pPr>
        <w:spacing w:after="180"/>
      </w:pPr>
      <w:r>
        <w:fldChar w:fldCharType="end"/>
      </w:r>
    </w:p>
    <w:sectPr w:rsidR="00B46FF9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913BA" w14:textId="77777777" w:rsidR="00D31EED" w:rsidRDefault="00D31EED" w:rsidP="000B473B">
      <w:r>
        <w:separator/>
      </w:r>
    </w:p>
  </w:endnote>
  <w:endnote w:type="continuationSeparator" w:id="0">
    <w:p w14:paraId="22C08A79" w14:textId="77777777" w:rsidR="00D31EED" w:rsidRDefault="00D31EED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E90FF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0E09D73" wp14:editId="64050AD5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46236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CF6578">
      <w:rPr>
        <w:noProof/>
      </w:rPr>
      <w:t>2</w:t>
    </w:r>
    <w:r>
      <w:rPr>
        <w:noProof/>
      </w:rPr>
      <w:fldChar w:fldCharType="end"/>
    </w:r>
  </w:p>
  <w:p w14:paraId="1C8D352C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CF6578">
      <w:rPr>
        <w:sz w:val="16"/>
        <w:szCs w:val="16"/>
      </w:rPr>
      <w:t>activity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703D903E" w14:textId="77777777"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>© University of York Science Education Group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F6164E" w14:textId="77777777" w:rsidR="00D31EED" w:rsidRDefault="00D31EED" w:rsidP="000B473B">
      <w:r>
        <w:separator/>
      </w:r>
    </w:p>
  </w:footnote>
  <w:footnote w:type="continuationSeparator" w:id="0">
    <w:p w14:paraId="31AD3204" w14:textId="77777777" w:rsidR="00D31EED" w:rsidRDefault="00D31EED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C849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74D05153" wp14:editId="76CCCA9F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9861E23" wp14:editId="193EFF9B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997F5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8D71D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307D8737" wp14:editId="5AB909CB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07B98F29" wp14:editId="74B5C646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A2125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5B7F53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915D4"/>
    <w:rsid w:val="00194675"/>
    <w:rsid w:val="001A1FED"/>
    <w:rsid w:val="001A40E2"/>
    <w:rsid w:val="001A410F"/>
    <w:rsid w:val="001C2E59"/>
    <w:rsid w:val="001C4805"/>
    <w:rsid w:val="001F1957"/>
    <w:rsid w:val="00201AC2"/>
    <w:rsid w:val="00214608"/>
    <w:rsid w:val="002178AC"/>
    <w:rsid w:val="0022547C"/>
    <w:rsid w:val="0025410A"/>
    <w:rsid w:val="0027553E"/>
    <w:rsid w:val="0028012F"/>
    <w:rsid w:val="002828DF"/>
    <w:rsid w:val="00285047"/>
    <w:rsid w:val="00287876"/>
    <w:rsid w:val="00292C53"/>
    <w:rsid w:val="00294E22"/>
    <w:rsid w:val="002C22EA"/>
    <w:rsid w:val="002C59BA"/>
    <w:rsid w:val="002F41B2"/>
    <w:rsid w:val="00301AA9"/>
    <w:rsid w:val="003117F6"/>
    <w:rsid w:val="00323EBF"/>
    <w:rsid w:val="003533B8"/>
    <w:rsid w:val="003752BE"/>
    <w:rsid w:val="003A346A"/>
    <w:rsid w:val="003A50A4"/>
    <w:rsid w:val="003B2917"/>
    <w:rsid w:val="003B541B"/>
    <w:rsid w:val="003E2B2F"/>
    <w:rsid w:val="003E6046"/>
    <w:rsid w:val="003F16F9"/>
    <w:rsid w:val="00430C1F"/>
    <w:rsid w:val="00442595"/>
    <w:rsid w:val="0045323E"/>
    <w:rsid w:val="00456227"/>
    <w:rsid w:val="004B0EE1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B7F53"/>
    <w:rsid w:val="005E07F2"/>
    <w:rsid w:val="005F1A7B"/>
    <w:rsid w:val="006355D8"/>
    <w:rsid w:val="00642ECD"/>
    <w:rsid w:val="006502A0"/>
    <w:rsid w:val="006772F5"/>
    <w:rsid w:val="006A320F"/>
    <w:rsid w:val="006A4440"/>
    <w:rsid w:val="006B0615"/>
    <w:rsid w:val="006D166B"/>
    <w:rsid w:val="006F3279"/>
    <w:rsid w:val="00704AEE"/>
    <w:rsid w:val="00722F9A"/>
    <w:rsid w:val="00754539"/>
    <w:rsid w:val="00781BC6"/>
    <w:rsid w:val="00787373"/>
    <w:rsid w:val="007A3C86"/>
    <w:rsid w:val="007A683E"/>
    <w:rsid w:val="007A748B"/>
    <w:rsid w:val="007D1D65"/>
    <w:rsid w:val="007E0A9E"/>
    <w:rsid w:val="007E5309"/>
    <w:rsid w:val="00800DE1"/>
    <w:rsid w:val="00806B12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158ED"/>
    <w:rsid w:val="00925026"/>
    <w:rsid w:val="00931264"/>
    <w:rsid w:val="00942A4B"/>
    <w:rsid w:val="00952D04"/>
    <w:rsid w:val="00961D59"/>
    <w:rsid w:val="009B2D55"/>
    <w:rsid w:val="009C0343"/>
    <w:rsid w:val="009E0D11"/>
    <w:rsid w:val="00A24A16"/>
    <w:rsid w:val="00A32F29"/>
    <w:rsid w:val="00A37D14"/>
    <w:rsid w:val="00A6111E"/>
    <w:rsid w:val="00A6168B"/>
    <w:rsid w:val="00A62028"/>
    <w:rsid w:val="00AA6236"/>
    <w:rsid w:val="00AB6AE7"/>
    <w:rsid w:val="00AD21F5"/>
    <w:rsid w:val="00AD235C"/>
    <w:rsid w:val="00AD68F9"/>
    <w:rsid w:val="00B06225"/>
    <w:rsid w:val="00B239BB"/>
    <w:rsid w:val="00B23B31"/>
    <w:rsid w:val="00B23C7A"/>
    <w:rsid w:val="00B305F5"/>
    <w:rsid w:val="00B46FF9"/>
    <w:rsid w:val="00B75483"/>
    <w:rsid w:val="00BA7952"/>
    <w:rsid w:val="00BB44B4"/>
    <w:rsid w:val="00BF0BBF"/>
    <w:rsid w:val="00BF6C8A"/>
    <w:rsid w:val="00C05571"/>
    <w:rsid w:val="00C246CE"/>
    <w:rsid w:val="00C32D6B"/>
    <w:rsid w:val="00C57FA2"/>
    <w:rsid w:val="00C80257"/>
    <w:rsid w:val="00CC2E4D"/>
    <w:rsid w:val="00CC78A5"/>
    <w:rsid w:val="00CC7B16"/>
    <w:rsid w:val="00CE15FE"/>
    <w:rsid w:val="00CF6578"/>
    <w:rsid w:val="00D02E15"/>
    <w:rsid w:val="00D14F44"/>
    <w:rsid w:val="00D278E8"/>
    <w:rsid w:val="00D31EED"/>
    <w:rsid w:val="00D421E8"/>
    <w:rsid w:val="00D44604"/>
    <w:rsid w:val="00D479B3"/>
    <w:rsid w:val="00D52283"/>
    <w:rsid w:val="00D524E5"/>
    <w:rsid w:val="00D72FEF"/>
    <w:rsid w:val="00D755FA"/>
    <w:rsid w:val="00DC3D50"/>
    <w:rsid w:val="00DC4A4E"/>
    <w:rsid w:val="00DD1874"/>
    <w:rsid w:val="00DD63BD"/>
    <w:rsid w:val="00E03772"/>
    <w:rsid w:val="00E172C6"/>
    <w:rsid w:val="00E24309"/>
    <w:rsid w:val="00E53D82"/>
    <w:rsid w:val="00E9330A"/>
    <w:rsid w:val="00EE6B97"/>
    <w:rsid w:val="00F12C3B"/>
    <w:rsid w:val="00F26884"/>
    <w:rsid w:val="00F537BC"/>
    <w:rsid w:val="00F72ECC"/>
    <w:rsid w:val="00F8355F"/>
    <w:rsid w:val="00FA3196"/>
    <w:rsid w:val="00FD56FC"/>
    <w:rsid w:val="00FE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E33D0C"/>
  <w15:docId w15:val="{08E3741B-D91B-4372-A31A-FA55C8C9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FE562E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E562E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E562E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E562E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template_chemistry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template_chemistry_item_response</Template>
  <TotalTime>44</TotalTime>
  <Pages>3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6</cp:revision>
  <cp:lastPrinted>2017-02-24T16:20:00Z</cp:lastPrinted>
  <dcterms:created xsi:type="dcterms:W3CDTF">2018-10-18T12:37:00Z</dcterms:created>
  <dcterms:modified xsi:type="dcterms:W3CDTF">2018-12-03T14:46:00Z</dcterms:modified>
</cp:coreProperties>
</file>