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6F3279" w:rsidRDefault="00953F80" w:rsidP="006F3279">
      <w:pPr>
        <w:spacing w:after="240"/>
        <w:rPr>
          <w:i/>
          <w:sz w:val="18"/>
          <w:szCs w:val="18"/>
        </w:rPr>
      </w:pPr>
      <w:r w:rsidRPr="00953F80">
        <w:rPr>
          <w:i/>
          <w:sz w:val="18"/>
          <w:szCs w:val="18"/>
        </w:rPr>
        <w:t>Biology &gt; Big idea BCL: The cellular basis of life &gt; Topic BCL1: Cells &gt; Key concept BCL1.2: Cells and cell structures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953F80" w:rsidP="00ED1B93">
            <w:pPr>
              <w:spacing w:after="60"/>
              <w:ind w:left="1304"/>
              <w:rPr>
                <w:b/>
                <w:sz w:val="40"/>
                <w:szCs w:val="40"/>
              </w:rPr>
            </w:pPr>
            <w:r w:rsidRPr="00953F80">
              <w:rPr>
                <w:b/>
                <w:sz w:val="40"/>
                <w:szCs w:val="40"/>
              </w:rPr>
              <w:t>Match game!</w:t>
            </w:r>
            <w:r>
              <w:rPr>
                <w:b/>
                <w:sz w:val="40"/>
                <w:szCs w:val="40"/>
              </w:rPr>
              <w:t xml:space="preserve"> </w:t>
            </w:r>
            <w:r w:rsidRPr="00953F80">
              <w:rPr>
                <w:b/>
                <w:sz w:val="40"/>
                <w:szCs w:val="40"/>
              </w:rPr>
              <w:t>Substance-structure-</w:t>
            </w:r>
            <w:r w:rsidR="00ED1B93">
              <w:rPr>
                <w:b/>
                <w:sz w:val="40"/>
                <w:szCs w:val="40"/>
              </w:rPr>
              <w:t>process</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953F80" w:rsidTr="003F16F9">
        <w:trPr>
          <w:trHeight w:val="340"/>
        </w:trPr>
        <w:tc>
          <w:tcPr>
            <w:tcW w:w="2196" w:type="dxa"/>
          </w:tcPr>
          <w:p w:rsidR="00953F80" w:rsidRDefault="00953F80" w:rsidP="0010742A">
            <w:pPr>
              <w:spacing w:before="60" w:after="60"/>
            </w:pPr>
            <w:r>
              <w:t xml:space="preserve">Learning </w:t>
            </w:r>
            <w:r w:rsidR="0010742A">
              <w:t>focus</w:t>
            </w:r>
            <w:bookmarkStart w:id="0" w:name="_GoBack"/>
            <w:bookmarkEnd w:id="0"/>
            <w:r>
              <w:t>:</w:t>
            </w:r>
          </w:p>
        </w:tc>
        <w:tc>
          <w:tcPr>
            <w:tcW w:w="6820" w:type="dxa"/>
          </w:tcPr>
          <w:p w:rsidR="00953F80" w:rsidRDefault="00953F80" w:rsidP="00953F80">
            <w:pPr>
              <w:spacing w:before="60" w:after="60"/>
            </w:pPr>
            <w:r w:rsidRPr="00AD46DF">
              <w:t>Organisms are made up of one or more cells, which have common structures that carry out life processes.</w:t>
            </w:r>
          </w:p>
        </w:tc>
      </w:tr>
      <w:tr w:rsidR="00953F80" w:rsidTr="003F16F9">
        <w:trPr>
          <w:trHeight w:val="340"/>
        </w:trPr>
        <w:tc>
          <w:tcPr>
            <w:tcW w:w="2196" w:type="dxa"/>
          </w:tcPr>
          <w:p w:rsidR="00953F80" w:rsidRDefault="00953F80" w:rsidP="00953F80">
            <w:pPr>
              <w:spacing w:before="60" w:after="60"/>
            </w:pPr>
            <w:r>
              <w:t>Observable learning outcome:</w:t>
            </w:r>
          </w:p>
        </w:tc>
        <w:tc>
          <w:tcPr>
            <w:tcW w:w="6820" w:type="dxa"/>
          </w:tcPr>
          <w:p w:rsidR="00953F80" w:rsidRPr="00A50C9C" w:rsidRDefault="00953F80" w:rsidP="00953F80">
            <w:pPr>
              <w:spacing w:before="60" w:after="60"/>
              <w:rPr>
                <w:b/>
              </w:rPr>
            </w:pPr>
            <w:r w:rsidRPr="00722A5D">
              <w:t>Use ideas about cell structures and their functions to explain why a cell is a living thing.</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3741CE" w:rsidP="0009089A">
            <w:pPr>
              <w:spacing w:before="60" w:after="60"/>
            </w:pPr>
            <w:r w:rsidRPr="003741CE">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Pr="00DF41E1" w:rsidRDefault="009E1491" w:rsidP="00DF41E1">
            <w:pPr>
              <w:spacing w:before="60" w:after="60"/>
            </w:pPr>
            <w:r w:rsidRPr="00DF41E1">
              <w:t>cell</w:t>
            </w:r>
            <w:r w:rsidR="00FB6103" w:rsidRPr="00DF41E1">
              <w:t>, organelle,</w:t>
            </w:r>
            <w:r w:rsidR="00DF41E1" w:rsidRPr="00DF41E1">
              <w:t xml:space="preserve"> nucleus, cell membrane, cytoplasm, mitochondria, chloroplasts, vacuole, cellular respiration, photosynthesis, reproduction, growth, excretion, diffusion</w:t>
            </w:r>
          </w:p>
        </w:tc>
      </w:tr>
    </w:tbl>
    <w:p w:rsidR="00E172C6" w:rsidRDefault="00E172C6" w:rsidP="00F94D6C"/>
    <w:p w:rsidR="004032EA" w:rsidRDefault="00725106" w:rsidP="004032EA">
      <w:pPr>
        <w:spacing w:after="180"/>
      </w:pPr>
      <w:r>
        <w:t>This activity can help develop students’ understanding</w:t>
      </w:r>
      <w:r w:rsidR="004032EA">
        <w:t xml:space="preserve"> </w:t>
      </w:r>
      <w:r w:rsidR="005908A7">
        <w:t>by addressing the sticking-points</w:t>
      </w:r>
      <w:r w:rsidR="003741CE">
        <w:t xml:space="preserve"> related to </w:t>
      </w:r>
      <w:r w:rsidR="003741CE" w:rsidRPr="00CB3440">
        <w:t xml:space="preserve">whether cells can carry out life processes, </w:t>
      </w:r>
      <w:r w:rsidR="003741CE">
        <w:t>and</w:t>
      </w:r>
      <w:r w:rsidR="003741CE" w:rsidRPr="00CB3440">
        <w:t xml:space="preserve"> which cell </w:t>
      </w:r>
      <w:r w:rsidR="003741CE" w:rsidRPr="00CB3440">
        <w:rPr>
          <w:rFonts w:cstheme="minorHAnsi"/>
        </w:rPr>
        <w:t>structure</w:t>
      </w:r>
      <w:r w:rsidR="003741CE">
        <w:rPr>
          <w:rFonts w:cstheme="minorHAnsi"/>
        </w:rPr>
        <w:t>s</w:t>
      </w:r>
      <w:r w:rsidR="003741CE" w:rsidRPr="00CB3440">
        <w:rPr>
          <w:rFonts w:cstheme="minorHAnsi"/>
        </w:rPr>
        <w:t xml:space="preserve"> or organelle</w:t>
      </w:r>
      <w:r w:rsidR="003741CE">
        <w:rPr>
          <w:rFonts w:cstheme="minorHAnsi"/>
        </w:rPr>
        <w:t>s</w:t>
      </w:r>
      <w:r w:rsidR="003741CE" w:rsidRPr="00CB3440">
        <w:rPr>
          <w:rFonts w:cstheme="minorHAnsi"/>
        </w:rPr>
        <w:t xml:space="preserve"> enable </w:t>
      </w:r>
      <w:r w:rsidR="003741CE">
        <w:rPr>
          <w:rFonts w:cstheme="minorHAnsi"/>
        </w:rPr>
        <w:t>cells</w:t>
      </w:r>
      <w:r w:rsidR="003741CE" w:rsidRPr="00CB3440">
        <w:rPr>
          <w:rFonts w:cstheme="minorHAnsi"/>
        </w:rPr>
        <w:t xml:space="preserve"> to do this</w:t>
      </w:r>
      <w:r w:rsidR="003741CE">
        <w:rPr>
          <w:rFonts w:cstheme="minorHAnsi"/>
        </w:rPr>
        <w:t>, as</w:t>
      </w:r>
      <w:r w:rsidR="005908A7">
        <w:t xml:space="preserve"> </w:t>
      </w:r>
      <w:r w:rsidR="004032EA">
        <w:t xml:space="preserve">revealed by the following diagnostic </w:t>
      </w:r>
      <w:r w:rsidR="005908A7">
        <w:t>question</w:t>
      </w:r>
      <w:r w:rsidR="004032EA" w:rsidRPr="006E0400">
        <w:t>:</w:t>
      </w:r>
    </w:p>
    <w:p w:rsidR="004032EA" w:rsidRPr="003741CE" w:rsidRDefault="004032EA" w:rsidP="003741CE">
      <w:pPr>
        <w:pStyle w:val="ListParagraph"/>
        <w:numPr>
          <w:ilvl w:val="0"/>
          <w:numId w:val="1"/>
        </w:numPr>
        <w:spacing w:after="180"/>
      </w:pPr>
      <w:r w:rsidRPr="003741CE">
        <w:t>Diagnostic</w:t>
      </w:r>
      <w:r w:rsidR="00E610E5" w:rsidRPr="003741CE">
        <w:t xml:space="preserve"> question</w:t>
      </w:r>
      <w:r w:rsidR="003741CE" w:rsidRPr="003741CE">
        <w:t>: A single cell can…</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972187" w:rsidRDefault="005B4FEC" w:rsidP="005B4FEC">
      <w:pPr>
        <w:spacing w:after="180"/>
      </w:pPr>
      <w:r w:rsidRPr="002C3015">
        <w:t>Dreyfus and Jungwirth</w:t>
      </w:r>
      <w:r>
        <w:t xml:space="preserve"> </w:t>
      </w:r>
      <w:r>
        <w:fldChar w:fldCharType="begin"/>
      </w:r>
      <w:r>
        <w:instrText xml:space="preserve"> ADDIN EN.CITE &lt;EndNote&gt;&lt;Cite ExcludeAuth="1"&gt;&lt;Author&gt;Dreyfus&lt;/Author&gt;&lt;Year&gt;1988&lt;/Year&gt;&lt;IDText&gt;The cell concept of 10th graders: curricular expectations and reality&lt;/IDText&gt;&lt;DisplayText&gt;(1988; 1989)&lt;/DisplayText&gt;&lt;record&gt;&lt;keywords&gt;&lt;keyword&gt;g6,B&lt;/keyword&gt;&lt;/keywords&gt;&lt;titles&gt;&lt;title&gt;The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format="utc"&gt;1541594610&lt;/last-updated-date&gt;&lt;volume&gt;10&lt;/volume&gt;&lt;/record&gt;&lt;/Cite&gt;&lt;Cite ExcludeAuth="1"&gt;&lt;Author&gt;Dreyfus&lt;/Author&gt;&lt;Year&gt;1989&lt;/Year&gt;&lt;IDText&gt;The pupil and the living cell: a taxonomy of dysfunctional ideas about an abstract idea&lt;/IDText&gt;&lt;record&gt;&lt;keywords&gt;&lt;keyword&gt;g1,g6,B,&lt;/keyword&gt;&lt;/keywords&gt;&lt;titles&gt;&lt;title&gt;The pupil and the living cell: a taxonomy of dysfunctional ideas about an abstract idea&lt;/title&gt;&lt;secondary-title&gt;Journal of Biological Education&lt;/secondary-title&gt;&lt;/titles&gt;&lt;pages&gt;49-55&lt;/pages&gt;&lt;number&gt;1&lt;/number&gt;&lt;contributors&gt;&lt;authors&gt;&lt;author&gt;Dreyfus, A.&lt;/author&gt;&lt;author&gt;Jungwirth, E.&lt;/author&gt;&lt;/authors&gt;&lt;/contributors&gt;&lt;added-date format="utc"&gt;1528984284&lt;/added-date&gt;&lt;ref-type name="Journal Article"&gt;17&lt;/ref-type&gt;&lt;dates&gt;&lt;year&gt;1989&lt;/year&gt;&lt;/dates&gt;&lt;rec-number&gt;1420&lt;/rec-number&gt;&lt;last-updated-date format="utc"&gt;1541594669&lt;/last-updated-date&gt;&lt;volume&gt;23&lt;/volume&gt;&lt;/record&gt;&lt;/Cite&gt;&lt;/EndNote&gt;</w:instrText>
      </w:r>
      <w:r>
        <w:fldChar w:fldCharType="separate"/>
      </w:r>
      <w:r>
        <w:rPr>
          <w:noProof/>
        </w:rPr>
        <w:t>(1988; 1989)</w:t>
      </w:r>
      <w:r>
        <w:fldChar w:fldCharType="end"/>
      </w:r>
      <w:r>
        <w:t xml:space="preserve"> note that most children will never see cells functioning, so the </w:t>
      </w:r>
      <w:r w:rsidRPr="002C3015">
        <w:rPr>
          <w:i/>
        </w:rPr>
        <w:t>living</w:t>
      </w:r>
      <w:r>
        <w:t xml:space="preserve"> (functional) cell remains an abstract idea even if they have become familiar with the structures of cells through light microscopy and pictures. They found that many 16-year-olds struggled to explain how cells carry out life processes. Many of the students thought that cells contain macroscopic organs such as a digestive tract (e.g. for nutrition) or lungs (e.g. for respiration). Even students who could identify the correct cell organelles could not explain how they carry out their functions, especially how the nucleus ‘controls’ the structure and functions of a cell.</w:t>
      </w:r>
    </w:p>
    <w:p w:rsidR="005B4FEC" w:rsidRDefault="000C70AE" w:rsidP="005B4FEC">
      <w:pPr>
        <w:spacing w:after="180"/>
      </w:pPr>
      <w:r w:rsidRPr="000C70AE">
        <w:t>Douvdevany</w:t>
      </w:r>
      <w:r>
        <w:t xml:space="preserve"> </w:t>
      </w:r>
      <w:r w:rsidRPr="000C70AE">
        <w:rPr>
          <w:i/>
        </w:rPr>
        <w:t>et al.</w:t>
      </w:r>
      <w:r>
        <w:t xml:space="preserve"> </w:t>
      </w:r>
      <w:r>
        <w:fldChar w:fldCharType="begin"/>
      </w:r>
      <w:r>
        <w:instrText xml:space="preserve"> ADDIN EN.CITE &lt;EndNote&gt;&lt;Cite ExcludeAuth="1"&gt;&lt;Author&gt;Douvdevany&lt;/Author&gt;&lt;Year&gt;1997&lt;/Year&gt;&lt;IDText&gt;Diagnostic instruments for determining junior high-school science teachers&amp;apos; understanding of functional relationships within the &amp;apos;living cell&amp;apos;&lt;/IDText&gt;&lt;DisplayText&gt;(1997)&lt;/DisplayText&gt;&lt;record&gt;&lt;keywords&gt;&lt;keyword&gt;g8,B&lt;/keyword&gt;&lt;/keywords&gt;&lt;titles&gt;&lt;title&gt;Diagnostic instruments for determining junior high-school science teachers&amp;apos; understanding of functional relationships within the &amp;apos;living cell&amp;apos;&lt;/title&gt;&lt;secondary-title&gt;International Journal of Science Education&lt;/secondary-title&gt;&lt;/titles&gt;&lt;pages&gt;593-606&lt;/pages&gt;&lt;number&gt;5&lt;/number&gt;&lt;contributors&gt;&lt;authors&gt;&lt;author&gt;Douvdevany, O. , Dreyfus, A. , Jungwirth, E.&lt;/author&gt;&lt;/authors&gt;&lt;/contributors&gt;&lt;added-date format="utc"&gt;1528984283&lt;/added-date&gt;&lt;ref-type name="Journal Article"&gt;17&lt;/ref-type&gt;&lt;dates&gt;&lt;year&gt;1997&lt;/year&gt;&lt;/dates&gt;&lt;rec-number&gt;1409&lt;/rec-number&gt;&lt;last-updated-date format="utc"&gt;1528984283&lt;/last-updated-date&gt;&lt;volume&gt;19&lt;/volume&gt;&lt;/record&gt;&lt;/Cite&gt;&lt;/EndNote&gt;</w:instrText>
      </w:r>
      <w:r>
        <w:fldChar w:fldCharType="separate"/>
      </w:r>
      <w:r>
        <w:rPr>
          <w:noProof/>
        </w:rPr>
        <w:t>(1997)</w:t>
      </w:r>
      <w:r>
        <w:fldChar w:fldCharType="end"/>
      </w:r>
      <w:r>
        <w:t xml:space="preserve"> used a game to probe and develop junior high school science teachers’ understanding of the relationships between various substances, structures and life processes in cells.</w:t>
      </w:r>
      <w:r w:rsidR="00EA32D0">
        <w:t xml:space="preserve"> Participants </w:t>
      </w:r>
      <w:r w:rsidR="000713D9">
        <w:t>were instructed to select</w:t>
      </w:r>
      <w:r w:rsidR="00EA32D0">
        <w:t xml:space="preserve"> three cards from a pile of cards representing substances, structures and processes, and then asked to describe relationships between the things </w:t>
      </w:r>
      <w:r w:rsidR="00743E19">
        <w:t>named</w:t>
      </w:r>
      <w:r w:rsidR="00EA32D0">
        <w:t xml:space="preserve"> on the cards. A number of triangular (truly three-way), chain-like (A--&gt;B--&gt;C) and ‘pair of pairs’</w:t>
      </w:r>
      <w:r w:rsidR="000713D9">
        <w:t xml:space="preserve"> (A-B &amp;</w:t>
      </w:r>
      <w:r w:rsidR="00EA32D0">
        <w:t xml:space="preserve"> B-C, but not A-C) relationships were suggested by </w:t>
      </w:r>
      <w:r w:rsidR="00250B18">
        <w:t xml:space="preserve">the </w:t>
      </w:r>
      <w:r w:rsidR="00EA32D0">
        <w:t xml:space="preserve">participants, and misunderstandings </w:t>
      </w:r>
      <w:r w:rsidR="00250B18">
        <w:t xml:space="preserve">were </w:t>
      </w:r>
      <w:r w:rsidR="00EA32D0">
        <w:t>revealed</w:t>
      </w:r>
      <w:r w:rsidR="000713D9">
        <w:t xml:space="preserve"> and explored</w:t>
      </w:r>
      <w:r w:rsidR="00EA32D0">
        <w:t xml:space="preserve"> during </w:t>
      </w:r>
      <w:r w:rsidR="00250B18">
        <w:t xml:space="preserve">their </w:t>
      </w:r>
      <w:r w:rsidR="00EA32D0">
        <w:t>discussions.</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D777CE" w:rsidRDefault="004221D0" w:rsidP="004032EA">
      <w:pPr>
        <w:spacing w:after="180"/>
      </w:pPr>
      <w:r>
        <w:t xml:space="preserve">The cards on the final page of this document should be printed and cut out. </w:t>
      </w:r>
      <w:r w:rsidR="00D777CE" w:rsidRPr="00D777CE">
        <w:t xml:space="preserve">Students should complete this activity in pairs or small groups to </w:t>
      </w:r>
      <w:r w:rsidR="00D777CE">
        <w:t xml:space="preserve">pick three cards and </w:t>
      </w:r>
      <w:r w:rsidR="00D777CE" w:rsidRPr="00D777CE">
        <w:t xml:space="preserve">reach a </w:t>
      </w:r>
      <w:r w:rsidR="00D777CE">
        <w:t>consensus, through discussion, on the relationship(s) between them</w:t>
      </w:r>
      <w:r w:rsidR="00D777CE" w:rsidRPr="00D777CE">
        <w:t>.</w:t>
      </w:r>
      <w:r w:rsidR="00D777CE">
        <w:t xml:space="preserve"> These could be described to other groups, to the class, or to the teacher.</w:t>
      </w:r>
    </w:p>
    <w:p w:rsidR="004032EA" w:rsidRDefault="00D777CE" w:rsidP="004032EA">
      <w:pPr>
        <w:spacing w:after="180"/>
      </w:pPr>
      <w:r>
        <w:t xml:space="preserve">The students could be instructed to pick one substance card, one structure card and one process card; or for a less structured and more challenging activity they could be told to pick three cards at random from </w:t>
      </w:r>
      <w:r w:rsidR="00F40C6A">
        <w:t>the</w:t>
      </w:r>
      <w:r>
        <w:t xml:space="preserve"> combined pile.</w:t>
      </w:r>
    </w:p>
    <w:p w:rsidR="00CF25CD" w:rsidRDefault="00CF25CD" w:rsidP="004032EA">
      <w:pPr>
        <w:spacing w:after="180"/>
      </w:pPr>
      <w:r>
        <w:lastRenderedPageBreak/>
        <w:t>Giving each group one set of cards between them is helpful for encouraging discussion, but each group member should be able to report back to the class. Listening in to the conversations of each group will provide insights into how the students are thinking.</w:t>
      </w:r>
    </w:p>
    <w:p w:rsidR="007C5CB2" w:rsidRPr="007C5CB2" w:rsidRDefault="007C5CB2" w:rsidP="004032EA">
      <w:pPr>
        <w:spacing w:after="180"/>
      </w:pPr>
      <w:r w:rsidRPr="007C5CB2">
        <w:t>Students should be encouraged to use the group discussions to help them construct the best explanations as they can about the relationships between the cards they have picked.</w:t>
      </w:r>
      <w:r>
        <w:t xml:space="preserve"> Class discussion or teacher intervention can help to address any remaining misunderstandings.</w:t>
      </w:r>
    </w:p>
    <w:p w:rsidR="003117F6" w:rsidRPr="00A82D25" w:rsidRDefault="00CC78A5" w:rsidP="00026DEC">
      <w:pPr>
        <w:spacing w:after="180"/>
        <w:rPr>
          <w:b/>
          <w:color w:val="538135"/>
          <w:sz w:val="24"/>
        </w:rPr>
      </w:pPr>
      <w:r w:rsidRPr="00A82D25">
        <w:rPr>
          <w:b/>
          <w:color w:val="538135"/>
          <w:sz w:val="24"/>
        </w:rPr>
        <w:t>Acknowledgments</w:t>
      </w:r>
    </w:p>
    <w:p w:rsidR="00D278E8" w:rsidRDefault="00D278E8" w:rsidP="00E172C6">
      <w:pPr>
        <w:spacing w:after="180"/>
      </w:pPr>
      <w:r>
        <w:t xml:space="preserve">Developed </w:t>
      </w:r>
      <w:r w:rsidR="0015356E">
        <w:t xml:space="preserve">by </w:t>
      </w:r>
      <w:r w:rsidR="009D4627">
        <w:t>Alistair Moore</w:t>
      </w:r>
      <w:r w:rsidR="0015356E">
        <w:t xml:space="preserve"> (</w:t>
      </w:r>
      <w:r w:rsidR="0015356E" w:rsidRPr="009D4627">
        <w:t xml:space="preserve">UYSEG), </w:t>
      </w:r>
      <w:r w:rsidRPr="009D4627">
        <w:t xml:space="preserve">from an </w:t>
      </w:r>
      <w:r w:rsidR="009D4627">
        <w:t xml:space="preserve">instrument reported by </w:t>
      </w:r>
      <w:r w:rsidR="009D4627" w:rsidRPr="000C70AE">
        <w:t>Douvdevany</w:t>
      </w:r>
      <w:r w:rsidR="009D4627">
        <w:t xml:space="preserve"> </w:t>
      </w:r>
      <w:r w:rsidR="009D4627" w:rsidRPr="000C70AE">
        <w:rPr>
          <w:i/>
        </w:rPr>
        <w:t>et al.</w:t>
      </w:r>
      <w:r w:rsidR="009D4627">
        <w:t xml:space="preserve"> </w:t>
      </w:r>
      <w:r w:rsidR="009D4627">
        <w:fldChar w:fldCharType="begin"/>
      </w:r>
      <w:r w:rsidR="009D4627">
        <w:instrText xml:space="preserve"> ADDIN EN.CITE &lt;EndNote&gt;&lt;Cite ExcludeAuth="1"&gt;&lt;Author&gt;Douvdevany&lt;/Author&gt;&lt;Year&gt;1997&lt;/Year&gt;&lt;IDText&gt;Diagnostic instruments for determining junior high-school science teachers&amp;apos; understanding of functional relationships within the &amp;apos;living cell&amp;apos;&lt;/IDText&gt;&lt;DisplayText&gt;(1997)&lt;/DisplayText&gt;&lt;record&gt;&lt;keywords&gt;&lt;keyword&gt;g8,B&lt;/keyword&gt;&lt;/keywords&gt;&lt;titles&gt;&lt;title&gt;Diagnostic instruments for determining junior high-school science teachers&amp;apos; understanding of functional relationships within the &amp;apos;living cell&amp;apos;&lt;/title&gt;&lt;secondary-title&gt;International Journal of Science Education&lt;/secondary-title&gt;&lt;/titles&gt;&lt;pages&gt;593-606&lt;/pages&gt;&lt;number&gt;5&lt;/number&gt;&lt;contributors&gt;&lt;authors&gt;&lt;author&gt;Douvdevany, O. , Dreyfus, A. , Jungwirth, E.&lt;/author&gt;&lt;/authors&gt;&lt;/contributors&gt;&lt;added-date format="utc"&gt;1528984283&lt;/added-date&gt;&lt;ref-type name="Journal Article"&gt;17&lt;/ref-type&gt;&lt;dates&gt;&lt;year&gt;1997&lt;/year&gt;&lt;/dates&gt;&lt;rec-number&gt;1409&lt;/rec-number&gt;&lt;last-updated-date format="utc"&gt;1528984283&lt;/last-updated-date&gt;&lt;volume&gt;19&lt;/volume&gt;&lt;/record&gt;&lt;/Cite&gt;&lt;/EndNote&gt;</w:instrText>
      </w:r>
      <w:r w:rsidR="009D4627">
        <w:fldChar w:fldCharType="separate"/>
      </w:r>
      <w:r w:rsidR="009D4627">
        <w:rPr>
          <w:noProof/>
        </w:rPr>
        <w:t>(1997)</w:t>
      </w:r>
      <w:r w:rsidR="009D4627">
        <w:fldChar w:fldCharType="end"/>
      </w:r>
      <w:r w:rsidR="009D4627">
        <w:t>.</w:t>
      </w:r>
    </w:p>
    <w:p w:rsidR="003117F6" w:rsidRPr="00A82D25" w:rsidRDefault="003117F6" w:rsidP="00026DEC">
      <w:pPr>
        <w:spacing w:after="180"/>
        <w:rPr>
          <w:b/>
          <w:color w:val="538135"/>
          <w:sz w:val="24"/>
        </w:rPr>
      </w:pPr>
      <w:r w:rsidRPr="00A82D25">
        <w:rPr>
          <w:b/>
          <w:color w:val="538135"/>
          <w:sz w:val="24"/>
        </w:rPr>
        <w:t>References</w:t>
      </w:r>
    </w:p>
    <w:p w:rsidR="000C70AE" w:rsidRPr="009D4627" w:rsidRDefault="000C70AE" w:rsidP="009D4627">
      <w:pPr>
        <w:pStyle w:val="EndNoteBibliography"/>
        <w:spacing w:after="120"/>
        <w:rPr>
          <w:sz w:val="20"/>
        </w:rPr>
      </w:pPr>
      <w:r w:rsidRPr="009D4627">
        <w:rPr>
          <w:sz w:val="20"/>
        </w:rPr>
        <w:fldChar w:fldCharType="begin"/>
      </w:r>
      <w:r w:rsidRPr="009D4627">
        <w:rPr>
          <w:sz w:val="20"/>
        </w:rPr>
        <w:instrText xml:space="preserve"> ADDIN EN.REFLIST </w:instrText>
      </w:r>
      <w:r w:rsidRPr="009D4627">
        <w:rPr>
          <w:sz w:val="20"/>
        </w:rPr>
        <w:fldChar w:fldCharType="separate"/>
      </w:r>
      <w:r w:rsidRPr="009D4627">
        <w:rPr>
          <w:sz w:val="20"/>
        </w:rPr>
        <w:t xml:space="preserve">Douvdevany, O., Dreyfus, A. , Jungwirth, E. (1997). Diagnostic instruments for determining junior high-school science teachers' understanding of functional relationships within the 'living cell'. </w:t>
      </w:r>
      <w:r w:rsidRPr="009D4627">
        <w:rPr>
          <w:i/>
          <w:sz w:val="20"/>
        </w:rPr>
        <w:t>International Journal of Science Education,</w:t>
      </w:r>
      <w:r w:rsidRPr="009D4627">
        <w:rPr>
          <w:sz w:val="20"/>
        </w:rPr>
        <w:t xml:space="preserve"> 19(5)</w:t>
      </w:r>
      <w:r w:rsidRPr="009D4627">
        <w:rPr>
          <w:b/>
          <w:sz w:val="20"/>
        </w:rPr>
        <w:t>,</w:t>
      </w:r>
      <w:r w:rsidRPr="009D4627">
        <w:rPr>
          <w:sz w:val="20"/>
        </w:rPr>
        <w:t xml:space="preserve"> 593-606.</w:t>
      </w:r>
    </w:p>
    <w:p w:rsidR="000C70AE" w:rsidRPr="009D4627" w:rsidRDefault="000C70AE" w:rsidP="009D4627">
      <w:pPr>
        <w:pStyle w:val="EndNoteBibliography"/>
        <w:spacing w:after="120"/>
        <w:rPr>
          <w:sz w:val="20"/>
        </w:rPr>
      </w:pPr>
      <w:r w:rsidRPr="009D4627">
        <w:rPr>
          <w:sz w:val="20"/>
        </w:rPr>
        <w:t xml:space="preserve">Dreyfus, A. and Jungwirth, E. (1988). The cell concept of 10th graders: curricular expectations and reality. </w:t>
      </w:r>
      <w:r w:rsidRPr="009D4627">
        <w:rPr>
          <w:i/>
          <w:sz w:val="20"/>
        </w:rPr>
        <w:t>International Journal of Science Education,</w:t>
      </w:r>
      <w:r w:rsidRPr="009D4627">
        <w:rPr>
          <w:sz w:val="20"/>
        </w:rPr>
        <w:t xml:space="preserve"> 10(2)</w:t>
      </w:r>
      <w:r w:rsidRPr="009D4627">
        <w:rPr>
          <w:b/>
          <w:sz w:val="20"/>
        </w:rPr>
        <w:t>,</w:t>
      </w:r>
      <w:r w:rsidRPr="009D4627">
        <w:rPr>
          <w:sz w:val="20"/>
        </w:rPr>
        <w:t xml:space="preserve"> 221-229.</w:t>
      </w:r>
    </w:p>
    <w:p w:rsidR="000C70AE" w:rsidRPr="009D4627" w:rsidRDefault="000C70AE" w:rsidP="009D4627">
      <w:pPr>
        <w:pStyle w:val="EndNoteBibliography"/>
        <w:spacing w:after="120"/>
        <w:rPr>
          <w:sz w:val="20"/>
        </w:rPr>
      </w:pPr>
      <w:r w:rsidRPr="009D4627">
        <w:rPr>
          <w:sz w:val="20"/>
        </w:rPr>
        <w:t xml:space="preserve">Dreyfus, A. and Jungwirth, E. (1989). The pupil and the living cell: a taxonomy of dysfunctional ideas about an abstract idea. </w:t>
      </w:r>
      <w:r w:rsidRPr="009D4627">
        <w:rPr>
          <w:i/>
          <w:sz w:val="20"/>
        </w:rPr>
        <w:t>Journal of Biological Education,</w:t>
      </w:r>
      <w:r w:rsidRPr="009D4627">
        <w:rPr>
          <w:sz w:val="20"/>
        </w:rPr>
        <w:t xml:space="preserve"> 23(1)</w:t>
      </w:r>
      <w:r w:rsidRPr="009D4627">
        <w:rPr>
          <w:b/>
          <w:sz w:val="20"/>
        </w:rPr>
        <w:t>,</w:t>
      </w:r>
      <w:r w:rsidRPr="009D4627">
        <w:rPr>
          <w:sz w:val="20"/>
        </w:rPr>
        <w:t xml:space="preserve"> 49-55.</w:t>
      </w:r>
    </w:p>
    <w:p w:rsidR="00A82D25" w:rsidRDefault="000C70AE" w:rsidP="009D4627">
      <w:pPr>
        <w:spacing w:after="120"/>
        <w:rPr>
          <w:sz w:val="20"/>
        </w:rPr>
      </w:pPr>
      <w:r w:rsidRPr="009D4627">
        <w:rPr>
          <w:sz w:val="20"/>
        </w:rPr>
        <w:fldChar w:fldCharType="end"/>
      </w:r>
    </w:p>
    <w:p w:rsidR="00C85638" w:rsidRDefault="00C85638">
      <w:pPr>
        <w:spacing w:after="200" w:line="276" w:lineRule="auto"/>
        <w:rPr>
          <w:sz w:val="20"/>
        </w:rPr>
      </w:pPr>
      <w:r>
        <w:rPr>
          <w:sz w:val="20"/>
        </w:rPr>
        <w:br w:type="page"/>
      </w:r>
    </w:p>
    <w:p w:rsidR="00C85638" w:rsidRDefault="00C85638" w:rsidP="00F94D6C">
      <w:pPr>
        <w:rPr>
          <w:b/>
          <w:color w:val="76923C" w:themeColor="accent3" w:themeShade="BF"/>
          <w:sz w:val="24"/>
        </w:rPr>
      </w:pPr>
      <w:r w:rsidRPr="00040A16">
        <w:rPr>
          <w:b/>
          <w:color w:val="76923C" w:themeColor="accent3" w:themeShade="BF"/>
          <w:sz w:val="24"/>
        </w:rPr>
        <w:lastRenderedPageBreak/>
        <w:t xml:space="preserve">Print and cut out </w:t>
      </w:r>
      <w:r>
        <w:rPr>
          <w:b/>
          <w:color w:val="76923C" w:themeColor="accent3" w:themeShade="BF"/>
          <w:sz w:val="24"/>
        </w:rPr>
        <w:t>cards for ‘Match game!’ activity</w:t>
      </w:r>
    </w:p>
    <w:p w:rsidR="00C85638" w:rsidRDefault="00C85638" w:rsidP="00C85638"/>
    <w:p w:rsidR="00C85638" w:rsidRDefault="00C85638" w:rsidP="00C85638">
      <w:pPr>
        <w:rPr>
          <w:i/>
        </w:rPr>
      </w:pPr>
      <w:r>
        <w:rPr>
          <w:i/>
        </w:rPr>
        <w:t>Substance cards</w:t>
      </w:r>
    </w:p>
    <w:p w:rsidR="00C85638" w:rsidRPr="006369B9" w:rsidRDefault="00C85638" w:rsidP="00C85638">
      <w:pPr>
        <w:spacing w:after="180"/>
        <w:rPr>
          <w:i/>
        </w:rPr>
      </w:pPr>
      <w:r>
        <w:rPr>
          <w:i/>
          <w:noProof/>
          <w:lang w:eastAsia="en-GB"/>
        </w:rPr>
        <mc:AlternateContent>
          <mc:Choice Requires="wps">
            <w:drawing>
              <wp:anchor distT="0" distB="0" distL="114300" distR="114300" simplePos="0" relativeHeight="251660288" behindDoc="0" locked="0" layoutInCell="1" allowOverlap="1">
                <wp:simplePos x="0" y="0"/>
                <wp:positionH relativeFrom="column">
                  <wp:posOffset>-47625</wp:posOffset>
                </wp:positionH>
                <wp:positionV relativeFrom="paragraph">
                  <wp:posOffset>13335</wp:posOffset>
                </wp:positionV>
                <wp:extent cx="504825" cy="373380"/>
                <wp:effectExtent l="0" t="3810" r="0" b="38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5638" w:rsidRPr="00A2502E" w:rsidRDefault="00C85638" w:rsidP="00C85638">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3.75pt;margin-top:1.05pt;width:39.75pt;height:29.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" filled="f" stroked="f">
                <v:textbox style="mso-fit-shape-to-text:t">
                  <w:txbxContent>
                    <w:p w:rsidR="00C85638" w:rsidRPr="00A2502E" w:rsidRDefault="00C85638" w:rsidP="00C85638">
                      <w:pPr>
                        <w:rPr>
                          <w:sz w:val="40"/>
                        </w:rPr>
                      </w:pPr>
                      <w:r w:rsidRPr="00A2502E">
                        <w:rPr>
                          <w:sz w:val="40"/>
                        </w:rPr>
                        <w:sym w:font="Wingdings" w:char="F023"/>
                      </w:r>
                    </w:p>
                  </w:txbxContent>
                </v:textbox>
              </v:shape>
            </w:pict>
          </mc:Fallback>
        </mc:AlternateContent>
      </w:r>
    </w:p>
    <w:tbl>
      <w:tblPr>
        <w:tblStyle w:val="TableGrid"/>
        <w:tblW w:w="0" w:type="auto"/>
        <w:jc w:val="center"/>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4A0" w:firstRow="1" w:lastRow="0" w:firstColumn="1" w:lastColumn="0" w:noHBand="0" w:noVBand="1"/>
      </w:tblPr>
      <w:tblGrid>
        <w:gridCol w:w="3005"/>
        <w:gridCol w:w="3006"/>
        <w:gridCol w:w="3005"/>
      </w:tblGrid>
      <w:tr w:rsidR="00C85638" w:rsidTr="00343D99">
        <w:trPr>
          <w:trHeight w:hRule="exact" w:val="1418"/>
          <w:jc w:val="center"/>
        </w:trPr>
        <w:tc>
          <w:tcPr>
            <w:tcW w:w="3080" w:type="dxa"/>
            <w:vAlign w:val="center"/>
          </w:tcPr>
          <w:p w:rsidR="00C85638" w:rsidRDefault="00C85638" w:rsidP="00C85638">
            <w:pPr>
              <w:jc w:val="center"/>
            </w:pPr>
            <w:r>
              <w:t>Carbon dioxide</w:t>
            </w:r>
          </w:p>
        </w:tc>
        <w:tc>
          <w:tcPr>
            <w:tcW w:w="3081" w:type="dxa"/>
            <w:vAlign w:val="center"/>
          </w:tcPr>
          <w:p w:rsidR="00C85638" w:rsidRDefault="00C85638" w:rsidP="00C85638">
            <w:pPr>
              <w:jc w:val="center"/>
            </w:pPr>
            <w:r>
              <w:t>Oxygen</w:t>
            </w:r>
          </w:p>
        </w:tc>
        <w:tc>
          <w:tcPr>
            <w:tcW w:w="3081" w:type="dxa"/>
            <w:vAlign w:val="center"/>
          </w:tcPr>
          <w:p w:rsidR="00C85638" w:rsidRDefault="00C85638" w:rsidP="00343D99">
            <w:pPr>
              <w:jc w:val="center"/>
            </w:pPr>
            <w:r>
              <w:t>Water</w:t>
            </w:r>
          </w:p>
        </w:tc>
      </w:tr>
      <w:tr w:rsidR="00C85638" w:rsidTr="00343D99">
        <w:trPr>
          <w:trHeight w:hRule="exact" w:val="1418"/>
          <w:jc w:val="center"/>
        </w:trPr>
        <w:tc>
          <w:tcPr>
            <w:tcW w:w="3080" w:type="dxa"/>
            <w:vAlign w:val="center"/>
          </w:tcPr>
          <w:p w:rsidR="00C85638" w:rsidRDefault="00C85638" w:rsidP="00343D99">
            <w:pPr>
              <w:jc w:val="center"/>
            </w:pPr>
            <w:r>
              <w:t>DNA</w:t>
            </w:r>
          </w:p>
        </w:tc>
        <w:tc>
          <w:tcPr>
            <w:tcW w:w="3081" w:type="dxa"/>
            <w:vAlign w:val="center"/>
          </w:tcPr>
          <w:p w:rsidR="00C85638" w:rsidRDefault="00C85638" w:rsidP="00343D99">
            <w:pPr>
              <w:jc w:val="center"/>
            </w:pPr>
            <w:r>
              <w:t>Food</w:t>
            </w:r>
          </w:p>
        </w:tc>
        <w:tc>
          <w:tcPr>
            <w:tcW w:w="3081" w:type="dxa"/>
            <w:vAlign w:val="center"/>
          </w:tcPr>
          <w:p w:rsidR="00C85638" w:rsidRDefault="0022302C" w:rsidP="00343D99">
            <w:pPr>
              <w:jc w:val="center"/>
            </w:pPr>
            <w:r>
              <w:t>Energy</w:t>
            </w:r>
          </w:p>
        </w:tc>
      </w:tr>
    </w:tbl>
    <w:p w:rsidR="00C85638" w:rsidRDefault="00C85638" w:rsidP="00C85638"/>
    <w:p w:rsidR="006017BD" w:rsidRDefault="006017BD" w:rsidP="00C85638">
      <w:r>
        <w:t xml:space="preserve">Note: while energy is not a substance, a helpful approach to developing energy explanations with students aged 11-18 is to regard energy as a quasi-material substance. </w:t>
      </w:r>
      <w:r w:rsidR="00F94D6C">
        <w:t>For further information, s</w:t>
      </w:r>
      <w:r>
        <w:t>ee our ‘Approaches’ article ‘</w:t>
      </w:r>
      <w:r w:rsidRPr="006017BD">
        <w:rPr>
          <w:i/>
        </w:rPr>
        <w:t>Teaching energy</w:t>
      </w:r>
      <w:r>
        <w:rPr>
          <w:i/>
        </w:rPr>
        <w:t>’</w:t>
      </w:r>
      <w:r>
        <w:t xml:space="preserve">, which is available on the homepage at </w:t>
      </w:r>
      <w:hyperlink r:id="rId7" w:history="1">
        <w:r w:rsidR="00F94D6C" w:rsidRPr="00184F86">
          <w:rPr>
            <w:rStyle w:val="Hyperlink"/>
          </w:rPr>
          <w:t>www.BestEvidenceScienceTeacing.org</w:t>
        </w:r>
      </w:hyperlink>
      <w:r w:rsidR="00F94D6C">
        <w:t xml:space="preserve"> </w:t>
      </w:r>
    </w:p>
    <w:p w:rsidR="006017BD" w:rsidRDefault="006017BD" w:rsidP="00C85638"/>
    <w:p w:rsidR="006017BD" w:rsidRDefault="006017BD" w:rsidP="00C85638"/>
    <w:p w:rsidR="00C85638" w:rsidRDefault="00C85638" w:rsidP="00C85638">
      <w:pPr>
        <w:rPr>
          <w:i/>
        </w:rPr>
      </w:pPr>
      <w:r>
        <w:rPr>
          <w:i/>
        </w:rPr>
        <w:t>Cell structure cards</w:t>
      </w:r>
    </w:p>
    <w:p w:rsidR="00C85638" w:rsidRPr="006369B9" w:rsidRDefault="00C85638" w:rsidP="00C85638">
      <w:pPr>
        <w:spacing w:after="180"/>
        <w:rPr>
          <w:i/>
        </w:rPr>
      </w:pPr>
      <w:r>
        <w:rPr>
          <w:i/>
          <w:noProof/>
          <w:lang w:eastAsia="en-GB"/>
        </w:rPr>
        <mc:AlternateContent>
          <mc:Choice Requires="wps">
            <w:drawing>
              <wp:anchor distT="0" distB="0" distL="114300" distR="114300" simplePos="0" relativeHeight="251662336" behindDoc="0" locked="0" layoutInCell="1" allowOverlap="1">
                <wp:simplePos x="0" y="0"/>
                <wp:positionH relativeFrom="column">
                  <wp:posOffset>-47625</wp:posOffset>
                </wp:positionH>
                <wp:positionV relativeFrom="paragraph">
                  <wp:posOffset>13335</wp:posOffset>
                </wp:positionV>
                <wp:extent cx="504825" cy="373380"/>
                <wp:effectExtent l="0" t="3810" r="0" b="381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5638" w:rsidRPr="00A2502E" w:rsidRDefault="00C85638" w:rsidP="00C85638">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3.75pt;margin-top:1.05pt;width:39.75pt;height:29.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" filled="f" stroked="f">
                <v:textbox style="mso-fit-shape-to-text:t">
                  <w:txbxContent>
                    <w:p w:rsidR="00C85638" w:rsidRPr="00A2502E" w:rsidRDefault="00C85638" w:rsidP="00C85638">
                      <w:pPr>
                        <w:rPr>
                          <w:sz w:val="40"/>
                        </w:rPr>
                      </w:pPr>
                      <w:r w:rsidRPr="00A2502E">
                        <w:rPr>
                          <w:sz w:val="40"/>
                        </w:rPr>
                        <w:sym w:font="Wingdings" w:char="F023"/>
                      </w:r>
                    </w:p>
                  </w:txbxContent>
                </v:textbox>
              </v:shape>
            </w:pict>
          </mc:Fallback>
        </mc:AlternateContent>
      </w:r>
    </w:p>
    <w:tbl>
      <w:tblPr>
        <w:tblStyle w:val="TableGrid"/>
        <w:tblW w:w="0" w:type="auto"/>
        <w:jc w:val="center"/>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4A0" w:firstRow="1" w:lastRow="0" w:firstColumn="1" w:lastColumn="0" w:noHBand="0" w:noVBand="1"/>
      </w:tblPr>
      <w:tblGrid>
        <w:gridCol w:w="3010"/>
        <w:gridCol w:w="3007"/>
        <w:gridCol w:w="2999"/>
      </w:tblGrid>
      <w:tr w:rsidR="00C85638" w:rsidTr="00343D99">
        <w:trPr>
          <w:trHeight w:hRule="exact" w:val="1418"/>
          <w:jc w:val="center"/>
        </w:trPr>
        <w:tc>
          <w:tcPr>
            <w:tcW w:w="3080" w:type="dxa"/>
            <w:vAlign w:val="center"/>
          </w:tcPr>
          <w:p w:rsidR="00C85638" w:rsidRDefault="00C85638" w:rsidP="00343D99">
            <w:pPr>
              <w:jc w:val="center"/>
            </w:pPr>
            <w:r>
              <w:t>Nucleus</w:t>
            </w:r>
          </w:p>
        </w:tc>
        <w:tc>
          <w:tcPr>
            <w:tcW w:w="3081" w:type="dxa"/>
            <w:vAlign w:val="center"/>
          </w:tcPr>
          <w:p w:rsidR="00C85638" w:rsidRDefault="00C85638" w:rsidP="00343D99">
            <w:pPr>
              <w:jc w:val="center"/>
            </w:pPr>
            <w:r>
              <w:t>Cell membrane</w:t>
            </w:r>
          </w:p>
        </w:tc>
        <w:tc>
          <w:tcPr>
            <w:tcW w:w="3081" w:type="dxa"/>
            <w:vAlign w:val="center"/>
          </w:tcPr>
          <w:p w:rsidR="00C85638" w:rsidRDefault="00C85638" w:rsidP="00343D99">
            <w:pPr>
              <w:jc w:val="center"/>
            </w:pPr>
            <w:r>
              <w:t>Cytoplasm</w:t>
            </w:r>
          </w:p>
        </w:tc>
      </w:tr>
      <w:tr w:rsidR="00C85638" w:rsidTr="00343D99">
        <w:trPr>
          <w:trHeight w:hRule="exact" w:val="1418"/>
          <w:jc w:val="center"/>
        </w:trPr>
        <w:tc>
          <w:tcPr>
            <w:tcW w:w="3080" w:type="dxa"/>
            <w:vAlign w:val="center"/>
          </w:tcPr>
          <w:p w:rsidR="00C85638" w:rsidRDefault="00C85638" w:rsidP="00343D99">
            <w:pPr>
              <w:jc w:val="center"/>
            </w:pPr>
            <w:r>
              <w:t>Mitochondria</w:t>
            </w:r>
          </w:p>
        </w:tc>
        <w:tc>
          <w:tcPr>
            <w:tcW w:w="3081" w:type="dxa"/>
            <w:vAlign w:val="center"/>
          </w:tcPr>
          <w:p w:rsidR="00C85638" w:rsidRDefault="00C85638" w:rsidP="00343D99">
            <w:pPr>
              <w:jc w:val="center"/>
            </w:pPr>
            <w:r>
              <w:t>Chloroplasts</w:t>
            </w:r>
          </w:p>
        </w:tc>
        <w:tc>
          <w:tcPr>
            <w:tcW w:w="3081" w:type="dxa"/>
            <w:vAlign w:val="center"/>
          </w:tcPr>
          <w:p w:rsidR="00C85638" w:rsidRDefault="00C85638" w:rsidP="00343D99">
            <w:pPr>
              <w:jc w:val="center"/>
            </w:pPr>
            <w:r>
              <w:t>Vacuole</w:t>
            </w:r>
          </w:p>
        </w:tc>
      </w:tr>
    </w:tbl>
    <w:p w:rsidR="00C85638" w:rsidRDefault="00C85638" w:rsidP="00C85638">
      <w:pPr>
        <w:spacing w:after="180"/>
      </w:pPr>
    </w:p>
    <w:p w:rsidR="00C85638" w:rsidRDefault="00C85638" w:rsidP="00C85638">
      <w:pPr>
        <w:rPr>
          <w:i/>
        </w:rPr>
      </w:pPr>
      <w:r>
        <w:rPr>
          <w:i/>
        </w:rPr>
        <w:t>Process cards</w:t>
      </w:r>
    </w:p>
    <w:p w:rsidR="00C85638" w:rsidRPr="006369B9" w:rsidRDefault="00C85638" w:rsidP="00C85638">
      <w:pPr>
        <w:spacing w:after="180"/>
        <w:rPr>
          <w:i/>
        </w:rPr>
      </w:pPr>
      <w:r>
        <w:rPr>
          <w:i/>
          <w:noProof/>
          <w:lang w:eastAsia="en-GB"/>
        </w:rPr>
        <mc:AlternateContent>
          <mc:Choice Requires="wps">
            <w:drawing>
              <wp:anchor distT="0" distB="0" distL="114300" distR="114300" simplePos="0" relativeHeight="251664384" behindDoc="0" locked="0" layoutInCell="1" allowOverlap="1" wp14:anchorId="40F5316E" wp14:editId="197627F9">
                <wp:simplePos x="0" y="0"/>
                <wp:positionH relativeFrom="column">
                  <wp:posOffset>-47625</wp:posOffset>
                </wp:positionH>
                <wp:positionV relativeFrom="paragraph">
                  <wp:posOffset>13335</wp:posOffset>
                </wp:positionV>
                <wp:extent cx="504825" cy="373380"/>
                <wp:effectExtent l="0" t="3810" r="0" b="38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4825" cy="3733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85638" w:rsidRPr="00A2502E" w:rsidRDefault="00C85638" w:rsidP="00C85638">
                            <w:pPr>
                              <w:rPr>
                                <w:sz w:val="40"/>
                              </w:rPr>
                            </w:pPr>
                            <w:r w:rsidRPr="00A2502E">
                              <w:rPr>
                                <w:sz w:val="40"/>
                              </w:rPr>
                              <w:sym w:font="Wingdings" w:char="F023"/>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40F5316E" id="Text Box 10" o:spid="_x0000_s1028" type="#_x0000_t202" style="position:absolute;margin-left:-3.75pt;margin-top:1.05pt;width:39.75pt;height:29.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" filled="f" stroked="f">
                <v:textbox style="mso-fit-shape-to-text:t">
                  <w:txbxContent>
                    <w:p w:rsidR="00C85638" w:rsidRPr="00A2502E" w:rsidRDefault="00C85638" w:rsidP="00C85638">
                      <w:pPr>
                        <w:rPr>
                          <w:sz w:val="40"/>
                        </w:rPr>
                      </w:pPr>
                      <w:r w:rsidRPr="00A2502E">
                        <w:rPr>
                          <w:sz w:val="40"/>
                        </w:rPr>
                        <w:sym w:font="Wingdings" w:char="F023"/>
                      </w:r>
                    </w:p>
                  </w:txbxContent>
                </v:textbox>
              </v:shape>
            </w:pict>
          </mc:Fallback>
        </mc:AlternateContent>
      </w:r>
    </w:p>
    <w:tbl>
      <w:tblPr>
        <w:tblStyle w:val="TableGrid"/>
        <w:tblW w:w="0" w:type="auto"/>
        <w:jc w:val="center"/>
        <w:tblBorders>
          <w:top w:val="dashed" w:sz="4" w:space="0" w:color="000000" w:themeColor="text1"/>
          <w:left w:val="dashed" w:sz="4" w:space="0" w:color="000000" w:themeColor="text1"/>
          <w:bottom w:val="dashed" w:sz="4" w:space="0" w:color="000000" w:themeColor="text1"/>
          <w:right w:val="dashed" w:sz="4" w:space="0" w:color="000000" w:themeColor="text1"/>
          <w:insideH w:val="dashed" w:sz="4" w:space="0" w:color="000000" w:themeColor="text1"/>
          <w:insideV w:val="dashed" w:sz="4" w:space="0" w:color="000000" w:themeColor="text1"/>
        </w:tblBorders>
        <w:tblLook w:val="04A0" w:firstRow="1" w:lastRow="0" w:firstColumn="1" w:lastColumn="0" w:noHBand="0" w:noVBand="1"/>
      </w:tblPr>
      <w:tblGrid>
        <w:gridCol w:w="2996"/>
        <w:gridCol w:w="3013"/>
        <w:gridCol w:w="3007"/>
      </w:tblGrid>
      <w:tr w:rsidR="00343340" w:rsidTr="00343D99">
        <w:trPr>
          <w:trHeight w:hRule="exact" w:val="1418"/>
          <w:jc w:val="center"/>
        </w:trPr>
        <w:tc>
          <w:tcPr>
            <w:tcW w:w="3080" w:type="dxa"/>
            <w:vAlign w:val="center"/>
          </w:tcPr>
          <w:p w:rsidR="00C85638" w:rsidRDefault="00C85638" w:rsidP="00343D99">
            <w:pPr>
              <w:jc w:val="center"/>
            </w:pPr>
            <w:r>
              <w:t>Cellular respiration</w:t>
            </w:r>
          </w:p>
        </w:tc>
        <w:tc>
          <w:tcPr>
            <w:tcW w:w="3081" w:type="dxa"/>
            <w:vAlign w:val="center"/>
          </w:tcPr>
          <w:p w:rsidR="00C85638" w:rsidRDefault="00C85638" w:rsidP="00343D99">
            <w:pPr>
              <w:jc w:val="center"/>
            </w:pPr>
            <w:r>
              <w:t>Photosynthesis</w:t>
            </w:r>
          </w:p>
        </w:tc>
        <w:tc>
          <w:tcPr>
            <w:tcW w:w="3081" w:type="dxa"/>
            <w:vAlign w:val="center"/>
          </w:tcPr>
          <w:p w:rsidR="00C85638" w:rsidRDefault="00343340" w:rsidP="00343340">
            <w:pPr>
              <w:jc w:val="center"/>
            </w:pPr>
            <w:r>
              <w:t>Reproduction</w:t>
            </w:r>
          </w:p>
        </w:tc>
      </w:tr>
      <w:tr w:rsidR="00343340" w:rsidTr="00343D99">
        <w:trPr>
          <w:trHeight w:hRule="exact" w:val="1418"/>
          <w:jc w:val="center"/>
        </w:trPr>
        <w:tc>
          <w:tcPr>
            <w:tcW w:w="3080" w:type="dxa"/>
            <w:vAlign w:val="center"/>
          </w:tcPr>
          <w:p w:rsidR="00C85638" w:rsidRDefault="00343340" w:rsidP="00343D99">
            <w:pPr>
              <w:jc w:val="center"/>
            </w:pPr>
            <w:r>
              <w:t>Growth</w:t>
            </w:r>
          </w:p>
        </w:tc>
        <w:tc>
          <w:tcPr>
            <w:tcW w:w="3081" w:type="dxa"/>
            <w:vAlign w:val="center"/>
          </w:tcPr>
          <w:p w:rsidR="00C85638" w:rsidRDefault="00343340" w:rsidP="00343D99">
            <w:pPr>
              <w:jc w:val="center"/>
            </w:pPr>
            <w:r>
              <w:t>Excretion</w:t>
            </w:r>
          </w:p>
        </w:tc>
        <w:tc>
          <w:tcPr>
            <w:tcW w:w="3081" w:type="dxa"/>
            <w:vAlign w:val="center"/>
          </w:tcPr>
          <w:p w:rsidR="00C85638" w:rsidRDefault="00343340" w:rsidP="00343D99">
            <w:pPr>
              <w:jc w:val="center"/>
            </w:pPr>
            <w:r>
              <w:t>Diffusion</w:t>
            </w:r>
          </w:p>
        </w:tc>
      </w:tr>
    </w:tbl>
    <w:p w:rsidR="00C85638" w:rsidRPr="00A82D25" w:rsidRDefault="00C85638" w:rsidP="009D4627">
      <w:pPr>
        <w:spacing w:after="120"/>
      </w:pPr>
    </w:p>
    <w:sectPr w:rsidR="00C85638" w:rsidRPr="00A82D25" w:rsidSect="00642ECD">
      <w:headerReference w:type="default" r:id="rId8"/>
      <w:footerReference w:type="default" r:id="rId9"/>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3F80" w:rsidRDefault="00953F80" w:rsidP="000B473B">
      <w:r>
        <w:separator/>
      </w:r>
    </w:p>
  </w:endnote>
  <w:endnote w:type="continuationSeparator" w:id="0">
    <w:p w:rsidR="00953F80" w:rsidRDefault="00953F8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41E1" w:rsidRDefault="00DF41E1"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1097EEF6" wp14:editId="2FB7159B">
              <wp:simplePos x="0" y="0"/>
              <wp:positionH relativeFrom="column">
                <wp:posOffset>-914400</wp:posOffset>
              </wp:positionH>
              <wp:positionV relativeFrom="paragraph">
                <wp:posOffset>-56515</wp:posOffset>
              </wp:positionV>
              <wp:extent cx="7570800" cy="0"/>
              <wp:effectExtent l="0" t="0" r="30480" b="19050"/>
              <wp:wrapNone/>
              <wp:docPr id="1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E96E3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ABSS+7HQIAAD0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10742A">
      <w:rPr>
        <w:noProof/>
      </w:rPr>
      <w:t>3</w:t>
    </w:r>
    <w:r>
      <w:rPr>
        <w:noProof/>
      </w:rPr>
      <w:fldChar w:fldCharType="end"/>
    </w:r>
  </w:p>
  <w:p w:rsidR="00DF41E1" w:rsidRDefault="00DF41E1"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DF41E1" w:rsidRPr="00201AC2" w:rsidRDefault="00DF41E1" w:rsidP="00972187">
    <w:pPr>
      <w:pStyle w:val="Footer"/>
      <w:rPr>
        <w:sz w:val="16"/>
        <w:szCs w:val="16"/>
      </w:rPr>
    </w:pPr>
    <w:r w:rsidRPr="00972187">
      <w:rPr>
        <w:sz w:val="16"/>
        <w:szCs w:val="16"/>
      </w:rPr>
      <w:t>© University of York Science Education Group. Distributed under a Creative Commons Attribution-NonCommercial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3F80" w:rsidRDefault="00953F80" w:rsidP="000B473B">
      <w:r>
        <w:separator/>
      </w:r>
    </w:p>
  </w:footnote>
  <w:footnote w:type="continuationSeparator" w:id="0">
    <w:p w:rsidR="00953F80" w:rsidRDefault="00953F8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7BA6C3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53F80"/>
    <w:rsid w:val="00015578"/>
    <w:rsid w:val="00024731"/>
    <w:rsid w:val="00026DEC"/>
    <w:rsid w:val="000505CA"/>
    <w:rsid w:val="000713D9"/>
    <w:rsid w:val="0007651D"/>
    <w:rsid w:val="0009089A"/>
    <w:rsid w:val="000947E2"/>
    <w:rsid w:val="00095E04"/>
    <w:rsid w:val="000B473B"/>
    <w:rsid w:val="000C70AE"/>
    <w:rsid w:val="000D0E89"/>
    <w:rsid w:val="000E2689"/>
    <w:rsid w:val="0010742A"/>
    <w:rsid w:val="00142613"/>
    <w:rsid w:val="00144DA7"/>
    <w:rsid w:val="0015356E"/>
    <w:rsid w:val="00161D3F"/>
    <w:rsid w:val="001915D4"/>
    <w:rsid w:val="00194675"/>
    <w:rsid w:val="001A1FED"/>
    <w:rsid w:val="001A40E2"/>
    <w:rsid w:val="001C4334"/>
    <w:rsid w:val="001C4805"/>
    <w:rsid w:val="00201AC2"/>
    <w:rsid w:val="00214608"/>
    <w:rsid w:val="002178AC"/>
    <w:rsid w:val="0022302C"/>
    <w:rsid w:val="0022547C"/>
    <w:rsid w:val="00250B18"/>
    <w:rsid w:val="0025410A"/>
    <w:rsid w:val="0027553E"/>
    <w:rsid w:val="0028012F"/>
    <w:rsid w:val="002828DF"/>
    <w:rsid w:val="00287876"/>
    <w:rsid w:val="00292C53"/>
    <w:rsid w:val="00294E22"/>
    <w:rsid w:val="002C22EA"/>
    <w:rsid w:val="002C59BA"/>
    <w:rsid w:val="002F41B2"/>
    <w:rsid w:val="00301AA9"/>
    <w:rsid w:val="003117F6"/>
    <w:rsid w:val="00343340"/>
    <w:rsid w:val="003533B8"/>
    <w:rsid w:val="003741CE"/>
    <w:rsid w:val="003752BE"/>
    <w:rsid w:val="003A346A"/>
    <w:rsid w:val="003A50A4"/>
    <w:rsid w:val="003B2917"/>
    <w:rsid w:val="003B541B"/>
    <w:rsid w:val="003E2B2F"/>
    <w:rsid w:val="003E6046"/>
    <w:rsid w:val="003F16F9"/>
    <w:rsid w:val="004032EA"/>
    <w:rsid w:val="004221D0"/>
    <w:rsid w:val="00430C1F"/>
    <w:rsid w:val="00442595"/>
    <w:rsid w:val="0045323E"/>
    <w:rsid w:val="004B0EE1"/>
    <w:rsid w:val="004D0D83"/>
    <w:rsid w:val="004E1DF1"/>
    <w:rsid w:val="004E5592"/>
    <w:rsid w:val="0050055B"/>
    <w:rsid w:val="00524710"/>
    <w:rsid w:val="0054066C"/>
    <w:rsid w:val="00555342"/>
    <w:rsid w:val="005560E2"/>
    <w:rsid w:val="0056128F"/>
    <w:rsid w:val="005908A7"/>
    <w:rsid w:val="005A452E"/>
    <w:rsid w:val="005A6EE7"/>
    <w:rsid w:val="005B4FEC"/>
    <w:rsid w:val="005E07F2"/>
    <w:rsid w:val="005F1A7B"/>
    <w:rsid w:val="006017BD"/>
    <w:rsid w:val="006355D8"/>
    <w:rsid w:val="00642ECD"/>
    <w:rsid w:val="006502A0"/>
    <w:rsid w:val="006772F5"/>
    <w:rsid w:val="006A4440"/>
    <w:rsid w:val="006B0615"/>
    <w:rsid w:val="006B1690"/>
    <w:rsid w:val="006D166B"/>
    <w:rsid w:val="006F3279"/>
    <w:rsid w:val="00704AEE"/>
    <w:rsid w:val="00722F9A"/>
    <w:rsid w:val="00725106"/>
    <w:rsid w:val="00743E19"/>
    <w:rsid w:val="00754539"/>
    <w:rsid w:val="00781BC6"/>
    <w:rsid w:val="007A3C86"/>
    <w:rsid w:val="007A683E"/>
    <w:rsid w:val="007A748B"/>
    <w:rsid w:val="007C5CB2"/>
    <w:rsid w:val="007D1D65"/>
    <w:rsid w:val="007E0A9E"/>
    <w:rsid w:val="007E5309"/>
    <w:rsid w:val="00800549"/>
    <w:rsid w:val="00800DE1"/>
    <w:rsid w:val="00806B12"/>
    <w:rsid w:val="00813F47"/>
    <w:rsid w:val="008450D6"/>
    <w:rsid w:val="00856FCA"/>
    <w:rsid w:val="00873B8C"/>
    <w:rsid w:val="00880E3B"/>
    <w:rsid w:val="008A405F"/>
    <w:rsid w:val="008C7F34"/>
    <w:rsid w:val="008E580C"/>
    <w:rsid w:val="0090047A"/>
    <w:rsid w:val="009158ED"/>
    <w:rsid w:val="00925026"/>
    <w:rsid w:val="00931264"/>
    <w:rsid w:val="00942A4B"/>
    <w:rsid w:val="00953F80"/>
    <w:rsid w:val="00961D59"/>
    <w:rsid w:val="00972187"/>
    <w:rsid w:val="009B2D55"/>
    <w:rsid w:val="009C0343"/>
    <w:rsid w:val="009D4627"/>
    <w:rsid w:val="009E0D11"/>
    <w:rsid w:val="009E149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A7952"/>
    <w:rsid w:val="00BB44B4"/>
    <w:rsid w:val="00BF0BBF"/>
    <w:rsid w:val="00BF6C8A"/>
    <w:rsid w:val="00C05571"/>
    <w:rsid w:val="00C246CE"/>
    <w:rsid w:val="00C57FA2"/>
    <w:rsid w:val="00C70BA8"/>
    <w:rsid w:val="00C80257"/>
    <w:rsid w:val="00C85638"/>
    <w:rsid w:val="00CC2E4D"/>
    <w:rsid w:val="00CC78A5"/>
    <w:rsid w:val="00CC7B16"/>
    <w:rsid w:val="00CE15FE"/>
    <w:rsid w:val="00CF25CD"/>
    <w:rsid w:val="00D02E15"/>
    <w:rsid w:val="00D14F44"/>
    <w:rsid w:val="00D278E8"/>
    <w:rsid w:val="00D421E8"/>
    <w:rsid w:val="00D44604"/>
    <w:rsid w:val="00D479B3"/>
    <w:rsid w:val="00D52283"/>
    <w:rsid w:val="00D524E5"/>
    <w:rsid w:val="00D72FEF"/>
    <w:rsid w:val="00D755FA"/>
    <w:rsid w:val="00D777CE"/>
    <w:rsid w:val="00DC3D50"/>
    <w:rsid w:val="00DC4A4E"/>
    <w:rsid w:val="00DD1874"/>
    <w:rsid w:val="00DD63BD"/>
    <w:rsid w:val="00DF41E1"/>
    <w:rsid w:val="00E172C6"/>
    <w:rsid w:val="00E24309"/>
    <w:rsid w:val="00E53D82"/>
    <w:rsid w:val="00E610E5"/>
    <w:rsid w:val="00E9330A"/>
    <w:rsid w:val="00EA32D0"/>
    <w:rsid w:val="00ED1B93"/>
    <w:rsid w:val="00EE6B97"/>
    <w:rsid w:val="00EF20F8"/>
    <w:rsid w:val="00EF2820"/>
    <w:rsid w:val="00F12C3B"/>
    <w:rsid w:val="00F26884"/>
    <w:rsid w:val="00F40C6A"/>
    <w:rsid w:val="00F72ECC"/>
    <w:rsid w:val="00F8355F"/>
    <w:rsid w:val="00F94D6C"/>
    <w:rsid w:val="00FA3196"/>
    <w:rsid w:val="00FB610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0E046B1"/>
  <w15:docId w15:val="{586B6AAD-DD05-4089-B2E4-84791D9A01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C70AE"/>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C70AE"/>
    <w:rPr>
      <w:rFonts w:ascii="Calibri" w:hAnsi="Calibri" w:cs="Calibri"/>
      <w:noProof/>
      <w:lang w:val="en-US"/>
    </w:rPr>
  </w:style>
  <w:style w:type="paragraph" w:customStyle="1" w:styleId="EndNoteBibliography">
    <w:name w:val="EndNote Bibliography"/>
    <w:basedOn w:val="Normal"/>
    <w:link w:val="EndNoteBibliographyChar"/>
    <w:rsid w:val="000C70AE"/>
    <w:rPr>
      <w:rFonts w:ascii="Calibri" w:hAnsi="Calibri" w:cs="Calibri"/>
      <w:noProof/>
      <w:lang w:val="en-US"/>
    </w:rPr>
  </w:style>
  <w:style w:type="character" w:customStyle="1" w:styleId="EndNoteBibliographyChar">
    <w:name w:val="EndNote Bibliography Char"/>
    <w:basedOn w:val="DefaultParagraphFont"/>
    <w:link w:val="EndNoteBibliography"/>
    <w:rsid w:val="000C70AE"/>
    <w:rPr>
      <w:rFonts w:ascii="Calibri" w:hAnsi="Calibri" w:cs="Calibri"/>
      <w:noProof/>
      <w:lang w:val="en-US"/>
    </w:rPr>
  </w:style>
  <w:style w:type="character" w:styleId="Hyperlink">
    <w:name w:val="Hyperlink"/>
    <w:basedOn w:val="DefaultParagraphFont"/>
    <w:uiPriority w:val="99"/>
    <w:unhideWhenUsed/>
    <w:rsid w:val="00F94D6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BestEvidenceScienceTeacing.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48</TotalTime>
  <Pages>3</Pages>
  <Words>1272</Words>
  <Characters>7254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27</cp:revision>
  <cp:lastPrinted>2017-02-24T16:20:00Z</cp:lastPrinted>
  <dcterms:created xsi:type="dcterms:W3CDTF">2018-11-23T13:17:00Z</dcterms:created>
  <dcterms:modified xsi:type="dcterms:W3CDTF">2018-11-27T16:42:00Z</dcterms:modified>
</cp:coreProperties>
</file>