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B7F98" w14:textId="5DDEA7CC" w:rsidR="00201AC2" w:rsidRPr="0051428D" w:rsidRDefault="00BC2B12" w:rsidP="00201AC2">
      <w:pPr>
        <w:spacing w:after="180"/>
        <w:rPr>
          <w:b/>
          <w:sz w:val="44"/>
          <w:szCs w:val="44"/>
        </w:rPr>
      </w:pPr>
      <w:r w:rsidRPr="0051428D">
        <w:rPr>
          <w:b/>
          <w:sz w:val="44"/>
          <w:szCs w:val="44"/>
        </w:rPr>
        <w:t>Oxygen needs</w:t>
      </w:r>
    </w:p>
    <w:p w14:paraId="4A84F159" w14:textId="77777777" w:rsidR="007C26E1" w:rsidRPr="0051428D" w:rsidRDefault="007C26E1" w:rsidP="00201AC2">
      <w:pPr>
        <w:spacing w:after="180"/>
      </w:pPr>
    </w:p>
    <w:p w14:paraId="692BB141" w14:textId="35FDF370" w:rsidR="00201AC2" w:rsidRPr="0051428D" w:rsidRDefault="00BC2B12" w:rsidP="00201AC2">
      <w:pPr>
        <w:pStyle w:val="ListParagraph"/>
        <w:numPr>
          <w:ilvl w:val="0"/>
          <w:numId w:val="3"/>
        </w:numPr>
        <w:spacing w:after="180"/>
        <w:ind w:left="567" w:hanging="567"/>
        <w:contextualSpacing w:val="0"/>
      </w:pPr>
      <w:r w:rsidRPr="0051428D">
        <w:t>Some magnesium</w:t>
      </w:r>
      <w:r w:rsidR="0051428D" w:rsidRPr="0051428D">
        <w:t xml:space="preserve"> is held (using tongs) in a Bunsen burner flame.</w:t>
      </w:r>
    </w:p>
    <w:p w14:paraId="7A4425CB" w14:textId="77777777" w:rsidR="0051428D" w:rsidRDefault="0051428D" w:rsidP="0051428D">
      <w:pPr>
        <w:pStyle w:val="ListParagraph"/>
        <w:spacing w:after="180"/>
        <w:ind w:left="567"/>
        <w:contextualSpacing w:val="0"/>
      </w:pPr>
      <w:r>
        <w:t xml:space="preserve">It burns with a bright white flame. </w:t>
      </w:r>
    </w:p>
    <w:p w14:paraId="24D74503" w14:textId="43F2514F" w:rsidR="0051428D" w:rsidRDefault="0051428D" w:rsidP="0051428D">
      <w:pPr>
        <w:pStyle w:val="ListParagraph"/>
        <w:spacing w:after="180"/>
        <w:ind w:left="567"/>
        <w:contextualSpacing w:val="0"/>
      </w:pPr>
      <w:r w:rsidRPr="0051428D">
        <w:rPr>
          <w:b/>
        </w:rPr>
        <w:t>Never</w:t>
      </w:r>
      <w:r>
        <w:t xml:space="preserve"> look directly at the flame.</w:t>
      </w:r>
    </w:p>
    <w:p w14:paraId="422615F8" w14:textId="4A25B5DE" w:rsidR="003138C4" w:rsidRDefault="003138C4" w:rsidP="0051428D">
      <w:pPr>
        <w:pStyle w:val="ListParagraph"/>
        <w:spacing w:after="180"/>
        <w:ind w:left="567"/>
        <w:contextualSpacing w:val="0"/>
      </w:pPr>
    </w:p>
    <w:p w14:paraId="23BED945" w14:textId="2494F2C8" w:rsidR="003138C4" w:rsidRDefault="003138C4" w:rsidP="0051428D">
      <w:pPr>
        <w:pStyle w:val="ListParagraph"/>
        <w:spacing w:after="180"/>
        <w:ind w:left="567"/>
        <w:contextualSpacing w:val="0"/>
      </w:pPr>
      <w:r>
        <w:t>What is the role of oxygen in this chemical reaction?</w:t>
      </w:r>
    </w:p>
    <w:p w14:paraId="0132AFC3" w14:textId="77777777" w:rsidR="003138C4" w:rsidRDefault="003138C4" w:rsidP="0051428D">
      <w:pPr>
        <w:pStyle w:val="ListParagraph"/>
        <w:spacing w:after="180"/>
        <w:ind w:left="567"/>
        <w:contextualSpacing w:val="0"/>
      </w:pPr>
      <w:bookmarkStart w:id="0" w:name="_GoBack"/>
      <w:bookmarkEnd w:id="0"/>
    </w:p>
    <w:p w14:paraId="49B52FF8" w14:textId="108D7BCC" w:rsidR="0051428D" w:rsidRPr="0051428D" w:rsidRDefault="0051428D" w:rsidP="0051428D">
      <w:pPr>
        <w:pStyle w:val="ListParagraph"/>
        <w:spacing w:after="180"/>
        <w:ind w:left="567"/>
        <w:contextualSpacing w:val="0"/>
      </w:pPr>
      <w:r w:rsidRPr="0051428D">
        <w:rPr>
          <w:i/>
        </w:rPr>
        <w:t>Read these statements. For each statement, tick (</w:t>
      </w:r>
      <w:r w:rsidRPr="0051428D">
        <w:rPr>
          <w:i/>
          <w:iCs/>
        </w:rPr>
        <w:sym w:font="Wingdings" w:char="F0FC"/>
      </w:r>
      <w:r w:rsidRPr="0051428D">
        <w:rPr>
          <w:i/>
          <w:iCs/>
        </w:rPr>
        <w:t xml:space="preserve">) </w:t>
      </w:r>
      <w:r w:rsidRPr="0051428D">
        <w:rPr>
          <w:b/>
          <w:i/>
          <w:iCs/>
        </w:rPr>
        <w:t>one</w:t>
      </w:r>
      <w:r w:rsidRPr="0051428D">
        <w:rPr>
          <w:i/>
          <w:iCs/>
        </w:rPr>
        <w:t xml:space="preserve"> column to show what you think about it.</w:t>
      </w:r>
      <w:r w:rsidR="00F12DEF">
        <w:rPr>
          <w:noProof/>
        </w:rPr>
        <w:drawing>
          <wp:inline distT="0" distB="0" distL="0" distR="0" wp14:anchorId="4B0C4784" wp14:editId="30640656">
            <wp:extent cx="5731510" cy="230441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304415"/>
                    </a:xfrm>
                    <a:prstGeom prst="rect">
                      <a:avLst/>
                    </a:prstGeom>
                  </pic:spPr>
                </pic:pic>
              </a:graphicData>
            </a:graphic>
          </wp:inline>
        </w:drawing>
      </w:r>
    </w:p>
    <w:p w14:paraId="7EB07D37" w14:textId="32B73436" w:rsidR="00201AC2" w:rsidRPr="00201AC2" w:rsidRDefault="0051428D" w:rsidP="006F3279">
      <w:pPr>
        <w:spacing w:after="240"/>
        <w:rPr>
          <w:szCs w:val="18"/>
        </w:rPr>
      </w:pPr>
      <w:r>
        <w:rPr>
          <w:szCs w:val="18"/>
        </w:rPr>
        <w:tab/>
      </w:r>
    </w:p>
    <w:p w14:paraId="53C0AFF3" w14:textId="77777777" w:rsidR="00201AC2" w:rsidRPr="00201AC2" w:rsidRDefault="00201AC2" w:rsidP="006F3279">
      <w:pPr>
        <w:spacing w:after="240"/>
        <w:rPr>
          <w:szCs w:val="18"/>
        </w:rPr>
      </w:pPr>
    </w:p>
    <w:p w14:paraId="222AD89E"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60C4E8FB" w14:textId="53305F77"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51428D">
        <w:rPr>
          <w:i/>
          <w:sz w:val="18"/>
          <w:szCs w:val="18"/>
        </w:rPr>
        <w:t>CCR: Chemical reactions</w:t>
      </w:r>
      <w:r w:rsidR="0007651D">
        <w:rPr>
          <w:i/>
          <w:sz w:val="18"/>
          <w:szCs w:val="18"/>
        </w:rPr>
        <w:t xml:space="preserve"> &gt; Topic </w:t>
      </w:r>
      <w:r w:rsidR="0051428D">
        <w:rPr>
          <w:i/>
          <w:sz w:val="18"/>
          <w:szCs w:val="18"/>
        </w:rPr>
        <w:t>CCR2: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51428D" w:rsidRPr="0051428D">
        <w:rPr>
          <w:i/>
          <w:sz w:val="18"/>
          <w:szCs w:val="18"/>
        </w:rPr>
        <w:t>CCR2.2</w:t>
      </w:r>
      <w:r w:rsidR="006F3279" w:rsidRPr="0051428D">
        <w:rPr>
          <w:i/>
          <w:sz w:val="18"/>
          <w:szCs w:val="18"/>
        </w:rPr>
        <w:t xml:space="preserve">: </w:t>
      </w:r>
      <w:r w:rsidR="0051428D" w:rsidRPr="0051428D">
        <w:rPr>
          <w:i/>
          <w:sz w:val="18"/>
          <w:szCs w:val="18"/>
        </w:rPr>
        <w:t>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0C3233D" w14:textId="77777777" w:rsidTr="00323334">
        <w:tc>
          <w:tcPr>
            <w:tcW w:w="12021" w:type="dxa"/>
            <w:shd w:val="clear" w:color="auto" w:fill="FABF8F" w:themeFill="accent6" w:themeFillTint="99"/>
          </w:tcPr>
          <w:p w14:paraId="7D2ADF3D"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5258A8" w14:paraId="71605DFB" w14:textId="77777777" w:rsidTr="00323334">
        <w:tc>
          <w:tcPr>
            <w:tcW w:w="12021" w:type="dxa"/>
            <w:shd w:val="clear" w:color="auto" w:fill="FBD4B4" w:themeFill="accent6" w:themeFillTint="66"/>
          </w:tcPr>
          <w:p w14:paraId="092BD393" w14:textId="73512174" w:rsidR="006F3279" w:rsidRPr="005258A8" w:rsidRDefault="0093023B" w:rsidP="006F3279">
            <w:pPr>
              <w:spacing w:after="60"/>
              <w:ind w:left="1304"/>
              <w:rPr>
                <w:b/>
                <w:sz w:val="40"/>
                <w:szCs w:val="40"/>
              </w:rPr>
            </w:pPr>
            <w:r w:rsidRPr="005258A8">
              <w:rPr>
                <w:b/>
                <w:sz w:val="40"/>
                <w:szCs w:val="40"/>
              </w:rPr>
              <w:t>Oxygen need</w:t>
            </w:r>
          </w:p>
        </w:tc>
      </w:tr>
    </w:tbl>
    <w:p w14:paraId="19024D23" w14:textId="77777777" w:rsidR="006F3279" w:rsidRPr="005258A8" w:rsidRDefault="006F3279" w:rsidP="00E172C6">
      <w:pPr>
        <w:spacing w:after="180"/>
        <w:rPr>
          <w:b/>
        </w:rPr>
      </w:pPr>
    </w:p>
    <w:p w14:paraId="08560160" w14:textId="77777777" w:rsidR="00402E34" w:rsidRPr="005258A8" w:rsidRDefault="00402E34" w:rsidP="00E172C6">
      <w:pPr>
        <w:spacing w:after="180"/>
        <w:rPr>
          <w:b/>
          <w:color w:val="E36C0A" w:themeColor="accent6" w:themeShade="BF"/>
        </w:rPr>
      </w:pPr>
      <w:r w:rsidRPr="005258A8">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5258A8" w14:paraId="1538D794" w14:textId="77777777" w:rsidTr="003F16F9">
        <w:trPr>
          <w:trHeight w:val="340"/>
        </w:trPr>
        <w:tc>
          <w:tcPr>
            <w:tcW w:w="2196" w:type="dxa"/>
          </w:tcPr>
          <w:p w14:paraId="667F6231" w14:textId="77777777" w:rsidR="00FA5B3A" w:rsidRPr="005258A8" w:rsidRDefault="00FA5B3A" w:rsidP="00FA5B3A">
            <w:pPr>
              <w:spacing w:before="60" w:after="60"/>
            </w:pPr>
            <w:r w:rsidRPr="005258A8">
              <w:t>Learning focus:</w:t>
            </w:r>
          </w:p>
        </w:tc>
        <w:tc>
          <w:tcPr>
            <w:tcW w:w="6820" w:type="dxa"/>
          </w:tcPr>
          <w:p w14:paraId="3FE6D2FC" w14:textId="612A071A" w:rsidR="00FA5B3A" w:rsidRPr="005258A8" w:rsidRDefault="005258A8" w:rsidP="00FA5B3A">
            <w:pPr>
              <w:spacing w:before="60" w:after="60"/>
            </w:pPr>
            <w:r w:rsidRPr="0037023F">
              <w:t>During combustion new products are formed from the combination of oxygen with the fuel, resulting in an increase in measured mass.</w:t>
            </w:r>
          </w:p>
        </w:tc>
      </w:tr>
      <w:tr w:rsidR="00FA5B3A" w:rsidRPr="005258A8" w14:paraId="57C1FDC0" w14:textId="77777777" w:rsidTr="003F16F9">
        <w:trPr>
          <w:trHeight w:val="340"/>
        </w:trPr>
        <w:tc>
          <w:tcPr>
            <w:tcW w:w="2196" w:type="dxa"/>
          </w:tcPr>
          <w:p w14:paraId="40B30DED" w14:textId="77777777" w:rsidR="00FA5B3A" w:rsidRPr="005258A8" w:rsidRDefault="00FA5B3A" w:rsidP="00FA5B3A">
            <w:pPr>
              <w:spacing w:before="60" w:after="60"/>
            </w:pPr>
            <w:r w:rsidRPr="005258A8">
              <w:t>Observable learning outcome:</w:t>
            </w:r>
          </w:p>
        </w:tc>
        <w:tc>
          <w:tcPr>
            <w:tcW w:w="6820" w:type="dxa"/>
          </w:tcPr>
          <w:p w14:paraId="302A09AD" w14:textId="1CF789AD" w:rsidR="00FA5B3A" w:rsidRPr="0037023F" w:rsidRDefault="005258A8" w:rsidP="00FA5B3A">
            <w:pPr>
              <w:spacing w:before="60" w:after="60"/>
            </w:pPr>
            <w:r w:rsidRPr="005258A8">
              <w:t>Recognise that the burning of a metal involves combination with oxygen.</w:t>
            </w:r>
          </w:p>
        </w:tc>
      </w:tr>
      <w:tr w:rsidR="00FA5B3A" w:rsidRPr="005258A8" w14:paraId="22B6B053" w14:textId="77777777" w:rsidTr="003F16F9">
        <w:trPr>
          <w:trHeight w:val="340"/>
        </w:trPr>
        <w:tc>
          <w:tcPr>
            <w:tcW w:w="2196" w:type="dxa"/>
          </w:tcPr>
          <w:p w14:paraId="483088AA" w14:textId="77777777" w:rsidR="00FA5B3A" w:rsidRPr="005258A8" w:rsidRDefault="007F5D5D" w:rsidP="00FA5B3A">
            <w:pPr>
              <w:spacing w:before="60" w:after="60"/>
            </w:pPr>
            <w:r w:rsidRPr="005258A8">
              <w:t>Question</w:t>
            </w:r>
            <w:r w:rsidR="00FA5B3A" w:rsidRPr="005258A8">
              <w:t xml:space="preserve"> type:</w:t>
            </w:r>
          </w:p>
        </w:tc>
        <w:tc>
          <w:tcPr>
            <w:tcW w:w="6820" w:type="dxa"/>
          </w:tcPr>
          <w:p w14:paraId="08F7BA67" w14:textId="08739D8D" w:rsidR="00FA5B3A" w:rsidRPr="005258A8" w:rsidRDefault="005258A8" w:rsidP="00FA5B3A">
            <w:pPr>
              <w:spacing w:before="60" w:after="60"/>
            </w:pPr>
            <w:r>
              <w:t>c</w:t>
            </w:r>
            <w:r w:rsidRPr="005258A8">
              <w:t>onfidence grid</w:t>
            </w:r>
          </w:p>
        </w:tc>
      </w:tr>
      <w:tr w:rsidR="00FA5B3A" w:rsidRPr="005258A8" w14:paraId="4CA18FB4" w14:textId="77777777" w:rsidTr="003F16F9">
        <w:trPr>
          <w:trHeight w:val="340"/>
        </w:trPr>
        <w:tc>
          <w:tcPr>
            <w:tcW w:w="2196" w:type="dxa"/>
          </w:tcPr>
          <w:p w14:paraId="55972EC0" w14:textId="77777777" w:rsidR="00FA5B3A" w:rsidRPr="005258A8" w:rsidRDefault="00FA5B3A" w:rsidP="00FA5B3A">
            <w:pPr>
              <w:spacing w:before="60" w:after="60"/>
            </w:pPr>
            <w:r w:rsidRPr="005258A8">
              <w:t>Key words:</w:t>
            </w:r>
          </w:p>
        </w:tc>
        <w:tc>
          <w:tcPr>
            <w:tcW w:w="6820" w:type="dxa"/>
            <w:tcBorders>
              <w:bottom w:val="dotted" w:sz="4" w:space="0" w:color="auto"/>
            </w:tcBorders>
          </w:tcPr>
          <w:p w14:paraId="23E96A59" w14:textId="380FE37F" w:rsidR="00FA5B3A" w:rsidRPr="005258A8" w:rsidRDefault="005258A8" w:rsidP="00FA5B3A">
            <w:pPr>
              <w:spacing w:before="60" w:after="60"/>
            </w:pPr>
            <w:r w:rsidRPr="005258A8">
              <w:t>combustion, oxygen</w:t>
            </w:r>
          </w:p>
        </w:tc>
      </w:tr>
    </w:tbl>
    <w:p w14:paraId="15E8B25C" w14:textId="77777777" w:rsidR="00F72ECC" w:rsidRDefault="00F72ECC" w:rsidP="00F72ECC"/>
    <w:p w14:paraId="1B0F3C68" w14:textId="77777777" w:rsidR="00C05571" w:rsidRPr="00F12DEF" w:rsidRDefault="00BB44B4" w:rsidP="00026DEC">
      <w:pPr>
        <w:spacing w:after="180"/>
        <w:rPr>
          <w:b/>
          <w:color w:val="E36C0A" w:themeColor="accent6" w:themeShade="BF"/>
          <w:sz w:val="24"/>
        </w:rPr>
      </w:pPr>
      <w:r w:rsidRPr="00F12DEF">
        <w:rPr>
          <w:b/>
          <w:color w:val="E36C0A" w:themeColor="accent6" w:themeShade="BF"/>
          <w:sz w:val="24"/>
        </w:rPr>
        <w:t>What does the research say</w:t>
      </w:r>
      <w:r w:rsidR="00C05571" w:rsidRPr="00F12DEF">
        <w:rPr>
          <w:b/>
          <w:color w:val="E36C0A" w:themeColor="accent6" w:themeShade="BF"/>
          <w:sz w:val="24"/>
        </w:rPr>
        <w:t>?</w:t>
      </w:r>
    </w:p>
    <w:p w14:paraId="328D121C" w14:textId="118C18EF" w:rsidR="00C05571" w:rsidRPr="00F12DEF" w:rsidRDefault="00733510" w:rsidP="0050055B">
      <w:pPr>
        <w:spacing w:after="180"/>
      </w:pPr>
      <w:r w:rsidRPr="00F12DEF">
        <w:t xml:space="preserve">Children’s Ideas in Science </w:t>
      </w:r>
      <w:r w:rsidRPr="00F12DEF">
        <w:fldChar w:fldCharType="begin"/>
      </w:r>
      <w:r w:rsidRPr="00F12DEF">
        <w:instrText xml:space="preserve"> ADDIN EN.CITE &lt;EndNote&gt;&lt;Cite&gt;&lt;Author&gt;Driver&lt;/Author&gt;&lt;Year&gt;1985&lt;/Year&gt;&lt;IDText&gt;Children&amp;apos;s Ideas in Science&lt;/IDText&gt;&lt;DisplayText&gt;(Driver, Guesne and Tiberghien, 1985)&lt;/DisplayText&gt;&lt;record&gt;&lt;keywords&gt;&lt;keyword&gt;g1,g6,g7&lt;/keyword&gt;&lt;/keywords&gt;&lt;titles&gt;&lt;title&gt;Children&amp;apos;s Ideas in Science&lt;/title&gt;&lt;/titles&gt;&lt;contributors&gt;&lt;authors&gt;&lt;author&gt;Driver, Rosalind&lt;/author&gt;&lt;author&gt;Guesne, Edith&lt;/author&gt;&lt;author&gt;Tiberghien, Andrée&lt;/author&gt;&lt;/authors&gt;&lt;/contributors&gt;&lt;added-date format="utc"&gt;1542804486&lt;/added-date&gt;&lt;pub-location&gt;Milton Keynes, UK&lt;/pub-location&gt;&lt;ref-type name="Book"&gt;6&lt;/ref-type&gt;&lt;dates&gt;&lt;year&gt;1985&lt;/year&gt;&lt;/dates&gt;&lt;rec-number&gt;34&lt;/rec-number&gt;&lt;publisher&gt;Open University Press&lt;/publisher&gt;&lt;last-updated-date format="utc"&gt;1542804486&lt;/last-updated-date&gt;&lt;/record&gt;&lt;/Cite&gt;&lt;/EndNote&gt;</w:instrText>
      </w:r>
      <w:r w:rsidRPr="00F12DEF">
        <w:fldChar w:fldCharType="separate"/>
      </w:r>
      <w:r w:rsidRPr="00F12DEF">
        <w:rPr>
          <w:noProof/>
        </w:rPr>
        <w:t>(Driver, Guesne and Tiberghien, 1985)</w:t>
      </w:r>
      <w:r w:rsidRPr="00F12DEF">
        <w:fldChar w:fldCharType="end"/>
      </w:r>
      <w:r w:rsidRPr="00F12DEF">
        <w:t xml:space="preserve"> describes research which found that whilst about a third of  the 11-12 year olds in the study indicated an appreciation that oxygen is needed for burning their explanations for this varied. The explanations included misunderstanding</w:t>
      </w:r>
      <w:r w:rsidR="009F5EE9">
        <w:t>s</w:t>
      </w:r>
      <w:r w:rsidRPr="00F12DEF">
        <w:t xml:space="preserve"> such as “the fire needs oxygen to eat it away” and “the fire likes air”.</w:t>
      </w:r>
    </w:p>
    <w:p w14:paraId="5E04D82A" w14:textId="60A2A0BB" w:rsidR="00733510" w:rsidRDefault="00733510" w:rsidP="0050055B">
      <w:pPr>
        <w:spacing w:after="180"/>
      </w:pPr>
      <w:r>
        <w:t xml:space="preserve">Research of ideas of secondary students in New Zealand found that the majority of students did recognise the need for oxygen </w:t>
      </w:r>
      <w:r w:rsidR="00F12DEF">
        <w:t>in burning</w:t>
      </w:r>
      <w:r w:rsidR="009F5EE9">
        <w:t xml:space="preserve"> but</w:t>
      </w:r>
      <w:r>
        <w:t xml:space="preserve"> many did not regard it as being actively involved. </w:t>
      </w:r>
    </w:p>
    <w:p w14:paraId="0F3C7EBD" w14:textId="265322E2" w:rsidR="00733510" w:rsidRDefault="00733510" w:rsidP="0050055B">
      <w:pPr>
        <w:spacing w:after="180"/>
      </w:pPr>
      <w:r>
        <w:t>Students appear</w:t>
      </w:r>
      <w:r w:rsidR="003138C4">
        <w:t>ed</w:t>
      </w:r>
      <w:r>
        <w:t xml:space="preserve"> to have difficult in appreciating that bur</w:t>
      </w:r>
      <w:r w:rsidR="00F12DEF">
        <w:t>ning involves combination with oxygen.</w:t>
      </w:r>
    </w:p>
    <w:p w14:paraId="68FC9C14"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E2F1E38" w14:textId="77777777" w:rsidR="00DC58AB" w:rsidRPr="00816065" w:rsidRDefault="00DC58AB" w:rsidP="00DC58AB">
      <w:pPr>
        <w:rPr>
          <w:rFonts w:cstheme="minorHAnsi"/>
        </w:rPr>
      </w:pPr>
      <w:r w:rsidRPr="00816065">
        <w:rPr>
          <w:rFonts w:cstheme="minorHAnsi"/>
        </w:rPr>
        <w:t xml:space="preserve">Students should complete the confidence grid individually.  This could be a pencil and paper exercise, or you could use an electronic ‘voting system’ or mini white boards and the PowerPoint presentation.  </w:t>
      </w:r>
    </w:p>
    <w:p w14:paraId="70A75782" w14:textId="77777777" w:rsidR="00DC58AB" w:rsidRPr="00816065" w:rsidRDefault="00DC58AB" w:rsidP="00DC58AB">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25691F6D"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4CE75A02" w14:textId="3D857550" w:rsidR="00BF6C8A" w:rsidRPr="00F12DEF" w:rsidRDefault="00F12DEF" w:rsidP="00BF6C8A">
      <w:pPr>
        <w:spacing w:after="180"/>
      </w:pPr>
      <w:r w:rsidRPr="00F12DEF">
        <w:t>The correct answer that students should be sure i</w:t>
      </w:r>
      <w:r w:rsidR="003138C4">
        <w:t>s</w:t>
      </w:r>
      <w:r w:rsidRPr="00F12DEF">
        <w:t xml:space="preserve"> right is “oxygen combines with the magnesium”.</w:t>
      </w:r>
    </w:p>
    <w:p w14:paraId="2A557D3C" w14:textId="2656F345" w:rsidR="00F12DEF" w:rsidRDefault="00F12DEF" w:rsidP="00BF6C8A">
      <w:pPr>
        <w:spacing w:after="180"/>
      </w:pPr>
      <w:r>
        <w:t>The other answers are incorrect.</w:t>
      </w:r>
    </w:p>
    <w:p w14:paraId="6274EE85"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AEF3E75" w14:textId="242846E0" w:rsidR="004F039C" w:rsidRPr="00DC58AB" w:rsidRDefault="00F12DEF" w:rsidP="006A4440">
      <w:pPr>
        <w:spacing w:after="180"/>
      </w:pPr>
      <w:r w:rsidRPr="00F12DEF">
        <w:t xml:space="preserve">A student who indicates confidence option A may have recalled that oxygen is required for burning but may be unsure why this is. A student who is confident that C is correct may not understand that </w:t>
      </w:r>
      <w:r w:rsidRPr="00DC58AB">
        <w:t>the burning of magnesium is actually a chemical reaction involving two reactants.</w:t>
      </w:r>
    </w:p>
    <w:p w14:paraId="4A819DF0" w14:textId="77777777" w:rsidR="00DC58AB" w:rsidRDefault="004F039C" w:rsidP="006A4440">
      <w:pPr>
        <w:spacing w:after="180"/>
      </w:pPr>
      <w:r w:rsidRPr="00DC58AB">
        <w:t xml:space="preserve">If students have </w:t>
      </w:r>
      <w:r w:rsidR="001E4950" w:rsidRPr="00DC58AB">
        <w:t>misunderstanding</w:t>
      </w:r>
      <w:r w:rsidRPr="00DC58AB">
        <w:t xml:space="preserve">s about </w:t>
      </w:r>
      <w:r w:rsidR="00F12DEF" w:rsidRPr="00DC58AB">
        <w:t xml:space="preserve">why oxygen is needed for burning, it may help to revisit </w:t>
      </w:r>
      <w:r w:rsidR="00DC58AB" w:rsidRPr="00DC58AB">
        <w:t>the idea of oxidation being a combination of elements (see key concept: 1.1: Formation of new substance).</w:t>
      </w:r>
      <w:r w:rsidRPr="00DC58AB">
        <w:t xml:space="preserve"> </w:t>
      </w:r>
      <w:r w:rsidR="00DC58AB">
        <w:t>Students could then be asked to apply this scientific thinking to a new situation.</w:t>
      </w:r>
    </w:p>
    <w:p w14:paraId="073BD5B1" w14:textId="1ABFC8A8" w:rsidR="005F1A7B" w:rsidRPr="00DC58AB" w:rsidRDefault="004F039C" w:rsidP="006A4440">
      <w:pPr>
        <w:spacing w:after="180"/>
      </w:pPr>
      <w:r w:rsidRPr="00DC58AB">
        <w:t xml:space="preserve">The following </w:t>
      </w:r>
      <w:r w:rsidR="005F1A7B" w:rsidRPr="00DC58AB">
        <w:t xml:space="preserve">BEST </w:t>
      </w:r>
      <w:r w:rsidR="004C5D20" w:rsidRPr="00DC58AB">
        <w:t xml:space="preserve">‘response </w:t>
      </w:r>
      <w:r w:rsidR="00C1460B" w:rsidRPr="00DC58AB">
        <w:t>activities</w:t>
      </w:r>
      <w:r w:rsidR="004C5D20" w:rsidRPr="00DC58AB">
        <w:t>’</w:t>
      </w:r>
      <w:r w:rsidR="005F1A7B" w:rsidRPr="00DC58AB">
        <w:t xml:space="preserve"> </w:t>
      </w:r>
      <w:r w:rsidR="004C5D20" w:rsidRPr="00DC58AB">
        <w:t>c</w:t>
      </w:r>
      <w:r w:rsidR="005F1A7B" w:rsidRPr="00DC58AB">
        <w:t xml:space="preserve">ould </w:t>
      </w:r>
      <w:r w:rsidR="004C5D20" w:rsidRPr="00DC58AB">
        <w:t>be used in follow-up to this diagnostic question</w:t>
      </w:r>
      <w:r w:rsidRPr="00DC58AB">
        <w:t>:</w:t>
      </w:r>
    </w:p>
    <w:p w14:paraId="1D8189D8" w14:textId="50490555" w:rsidR="00A6111E" w:rsidRPr="00DC58AB" w:rsidRDefault="00DC58AB" w:rsidP="00402E34">
      <w:pPr>
        <w:pStyle w:val="ListParagraph"/>
        <w:numPr>
          <w:ilvl w:val="0"/>
          <w:numId w:val="1"/>
        </w:numPr>
        <w:spacing w:after="180"/>
      </w:pPr>
      <w:r w:rsidRPr="00DC58AB">
        <w:t>Does it burn?</w:t>
      </w:r>
    </w:p>
    <w:p w14:paraId="0D91F332"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332B82D5" w14:textId="7C93F0F2" w:rsidR="00D278E8" w:rsidRPr="005258A8" w:rsidRDefault="00D278E8" w:rsidP="00E172C6">
      <w:pPr>
        <w:spacing w:after="180"/>
      </w:pPr>
      <w:r w:rsidRPr="005258A8">
        <w:t xml:space="preserve">Developed </w:t>
      </w:r>
      <w:r w:rsidR="0015356E" w:rsidRPr="005258A8">
        <w:t xml:space="preserve">by </w:t>
      </w:r>
      <w:r w:rsidR="005258A8" w:rsidRPr="005258A8">
        <w:t>Helen Harden</w:t>
      </w:r>
      <w:r w:rsidR="0015356E" w:rsidRPr="005258A8">
        <w:t xml:space="preserve"> (UYSEG)</w:t>
      </w:r>
      <w:r w:rsidR="005258A8" w:rsidRPr="005258A8">
        <w:t>.</w:t>
      </w:r>
    </w:p>
    <w:p w14:paraId="2746EBAA" w14:textId="46689144" w:rsidR="00CC78A5" w:rsidRDefault="00D278E8" w:rsidP="00E172C6">
      <w:pPr>
        <w:spacing w:after="180"/>
      </w:pPr>
      <w:r w:rsidRPr="005258A8">
        <w:t xml:space="preserve">Images: </w:t>
      </w:r>
      <w:r w:rsidR="005258A8" w:rsidRPr="005258A8">
        <w:t>None</w:t>
      </w:r>
    </w:p>
    <w:p w14:paraId="7B768A0E" w14:textId="6672AA7C" w:rsidR="00733510" w:rsidRDefault="003117F6" w:rsidP="00E24309">
      <w:pPr>
        <w:spacing w:after="180"/>
        <w:rPr>
          <w:b/>
          <w:color w:val="E36C0A" w:themeColor="accent6" w:themeShade="BF"/>
          <w:sz w:val="24"/>
        </w:rPr>
      </w:pPr>
      <w:r w:rsidRPr="00323334">
        <w:rPr>
          <w:b/>
          <w:color w:val="E36C0A" w:themeColor="accent6" w:themeShade="BF"/>
          <w:sz w:val="24"/>
        </w:rPr>
        <w:t>References</w:t>
      </w:r>
    </w:p>
    <w:p w14:paraId="58C04A8E" w14:textId="77777777" w:rsidR="00733510" w:rsidRPr="00733510" w:rsidRDefault="00733510" w:rsidP="00733510">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733510">
        <w:t xml:space="preserve">Driver, R., Guesne, E. and Tiberghien, A. (1985). </w:t>
      </w:r>
      <w:r w:rsidRPr="00733510">
        <w:rPr>
          <w:i/>
        </w:rPr>
        <w:t xml:space="preserve">Children's Ideas in Science, </w:t>
      </w:r>
      <w:r w:rsidRPr="00733510">
        <w:t>Milton Keynes, UK: Open University Press.</w:t>
      </w:r>
    </w:p>
    <w:p w14:paraId="66CB9AC5" w14:textId="64A2E88D" w:rsidR="00B46FF9" w:rsidRPr="001E4950" w:rsidRDefault="00733510"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7A416" w14:textId="77777777" w:rsidR="006352CB" w:rsidRDefault="006352CB" w:rsidP="000B473B">
      <w:r>
        <w:separator/>
      </w:r>
    </w:p>
  </w:endnote>
  <w:endnote w:type="continuationSeparator" w:id="0">
    <w:p w14:paraId="1BA223C5" w14:textId="77777777" w:rsidR="006352CB" w:rsidRDefault="006352C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BC2F2"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CB0F363" wp14:editId="3B75F94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623BC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5D02736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4212778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2C7DB" w14:textId="77777777" w:rsidR="006352CB" w:rsidRDefault="006352CB" w:rsidP="000B473B">
      <w:r>
        <w:separator/>
      </w:r>
    </w:p>
  </w:footnote>
  <w:footnote w:type="continuationSeparator" w:id="0">
    <w:p w14:paraId="6E43D0F7" w14:textId="77777777" w:rsidR="006352CB" w:rsidRDefault="006352C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0CC17"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1559F41" wp14:editId="5CCB736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4171AC0" wp14:editId="0569F38C">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FACFE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8080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7E8EA3E" wp14:editId="7D6F110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8EC5451" wp14:editId="0D6B722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40A18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509C4"/>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B0822"/>
    <w:rsid w:val="001C4805"/>
    <w:rsid w:val="001E4950"/>
    <w:rsid w:val="00201AC2"/>
    <w:rsid w:val="0021361B"/>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138C4"/>
    <w:rsid w:val="00323334"/>
    <w:rsid w:val="003533B8"/>
    <w:rsid w:val="0037023F"/>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1428D"/>
    <w:rsid w:val="00524710"/>
    <w:rsid w:val="005258A8"/>
    <w:rsid w:val="005509C4"/>
    <w:rsid w:val="00555342"/>
    <w:rsid w:val="005560E2"/>
    <w:rsid w:val="005A452E"/>
    <w:rsid w:val="005A6EE7"/>
    <w:rsid w:val="005F1A7B"/>
    <w:rsid w:val="006352CB"/>
    <w:rsid w:val="006355D8"/>
    <w:rsid w:val="00642ECD"/>
    <w:rsid w:val="006502A0"/>
    <w:rsid w:val="006772F5"/>
    <w:rsid w:val="00695159"/>
    <w:rsid w:val="006A4440"/>
    <w:rsid w:val="006B0615"/>
    <w:rsid w:val="006D166B"/>
    <w:rsid w:val="006F3279"/>
    <w:rsid w:val="006F6C6B"/>
    <w:rsid w:val="00704AEE"/>
    <w:rsid w:val="00722F9A"/>
    <w:rsid w:val="00733510"/>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023B"/>
    <w:rsid w:val="00931264"/>
    <w:rsid w:val="00942A4B"/>
    <w:rsid w:val="00961D59"/>
    <w:rsid w:val="009B2CE4"/>
    <w:rsid w:val="009B2D55"/>
    <w:rsid w:val="009C0343"/>
    <w:rsid w:val="009E0D11"/>
    <w:rsid w:val="009F5EE9"/>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C2B12"/>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C58AB"/>
    <w:rsid w:val="00DD1874"/>
    <w:rsid w:val="00DD63BD"/>
    <w:rsid w:val="00DF05DB"/>
    <w:rsid w:val="00DF7E20"/>
    <w:rsid w:val="00E172C6"/>
    <w:rsid w:val="00E24309"/>
    <w:rsid w:val="00E53D82"/>
    <w:rsid w:val="00E9330A"/>
    <w:rsid w:val="00EE6B97"/>
    <w:rsid w:val="00F12C3B"/>
    <w:rsid w:val="00F12DEF"/>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8B159"/>
  <w15:docId w15:val="{294A9495-D027-4115-A94B-8F2B8B1B3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3351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33510"/>
    <w:rPr>
      <w:rFonts w:ascii="Calibri" w:hAnsi="Calibri" w:cs="Calibri"/>
      <w:noProof/>
      <w:lang w:val="en-US"/>
    </w:rPr>
  </w:style>
  <w:style w:type="paragraph" w:customStyle="1" w:styleId="EndNoteBibliography">
    <w:name w:val="EndNote Bibliography"/>
    <w:basedOn w:val="Normal"/>
    <w:link w:val="EndNoteBibliographyChar"/>
    <w:rsid w:val="00733510"/>
    <w:rPr>
      <w:rFonts w:ascii="Calibri" w:hAnsi="Calibri" w:cs="Calibri"/>
      <w:noProof/>
      <w:lang w:val="en-US"/>
    </w:rPr>
  </w:style>
  <w:style w:type="character" w:customStyle="1" w:styleId="EndNoteBibliographyChar">
    <w:name w:val="EndNote Bibliography Char"/>
    <w:basedOn w:val="DefaultParagraphFont"/>
    <w:link w:val="EndNoteBibliography"/>
    <w:rsid w:val="0073351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54</TotalTime>
  <Pages>3</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2018-12-03T12:57:00Z</cp:lastPrinted>
  <dcterms:created xsi:type="dcterms:W3CDTF">2018-11-22T13:32:00Z</dcterms:created>
  <dcterms:modified xsi:type="dcterms:W3CDTF">2018-12-03T13:44:00Z</dcterms:modified>
</cp:coreProperties>
</file>