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EF02A3" w14:textId="24A3855F" w:rsidR="00201AC2" w:rsidRPr="001A40E2" w:rsidRDefault="0063217C" w:rsidP="00201AC2">
      <w:pPr>
        <w:spacing w:after="180"/>
        <w:rPr>
          <w:b/>
          <w:sz w:val="44"/>
          <w:szCs w:val="44"/>
        </w:rPr>
      </w:pPr>
      <w:r w:rsidRPr="00076EBC">
        <w:rPr>
          <w:b/>
          <w:sz w:val="44"/>
          <w:szCs w:val="44"/>
        </w:rPr>
        <w:t>Burning magnesium</w:t>
      </w:r>
    </w:p>
    <w:p w14:paraId="2D44FCDC" w14:textId="77777777" w:rsidR="00201AC2" w:rsidRDefault="00201AC2" w:rsidP="00201AC2">
      <w:pPr>
        <w:spacing w:after="180"/>
      </w:pPr>
    </w:p>
    <w:p w14:paraId="42D48CFD" w14:textId="67D5EAC2" w:rsidR="007C26E1" w:rsidRDefault="0063217C" w:rsidP="00201AC2">
      <w:pPr>
        <w:spacing w:after="180"/>
      </w:pPr>
      <w:r>
        <w:rPr>
          <w:noProof/>
        </w:rPr>
        <w:drawing>
          <wp:inline distT="0" distB="0" distL="0" distR="0" wp14:anchorId="149C0C24" wp14:editId="1D491ABF">
            <wp:extent cx="2809875" cy="1698619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agnesium_ribbon_burning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146" t="17703" r="16408"/>
                    <a:stretch/>
                  </pic:blipFill>
                  <pic:spPr bwMode="auto">
                    <a:xfrm>
                      <a:off x="0" y="0"/>
                      <a:ext cx="2812380" cy="17001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3F1A490" w14:textId="77777777" w:rsidR="0042094D" w:rsidRDefault="0042094D" w:rsidP="0042094D">
      <w:pPr>
        <w:spacing w:after="180"/>
      </w:pPr>
    </w:p>
    <w:p w14:paraId="72274A21" w14:textId="05CDD762" w:rsidR="00542B6E" w:rsidRDefault="00542B6E" w:rsidP="00201AC2">
      <w:pPr>
        <w:pStyle w:val="ListParagraph"/>
        <w:numPr>
          <w:ilvl w:val="0"/>
          <w:numId w:val="3"/>
        </w:numPr>
        <w:spacing w:after="180"/>
        <w:ind w:left="567" w:hanging="567"/>
        <w:contextualSpacing w:val="0"/>
      </w:pPr>
      <w:r>
        <w:t>A small piece of magnesium is held in a Bunsen burner flame.</w:t>
      </w:r>
    </w:p>
    <w:p w14:paraId="44CC8FD6" w14:textId="4200F4C6" w:rsidR="00542B6E" w:rsidRDefault="00542B6E" w:rsidP="00542B6E">
      <w:pPr>
        <w:pStyle w:val="ListParagraph"/>
        <w:spacing w:after="180"/>
        <w:ind w:left="567"/>
        <w:contextualSpacing w:val="0"/>
      </w:pPr>
      <w:r>
        <w:t>The</w:t>
      </w:r>
      <w:r w:rsidR="004A7241">
        <w:t xml:space="preserve"> magnesium burns with a bright white flame.</w:t>
      </w:r>
      <w:r w:rsidR="00597BDD">
        <w:t xml:space="preserve"> A chemical reaction takes place.</w:t>
      </w:r>
    </w:p>
    <w:p w14:paraId="33811CE4" w14:textId="39BB1670" w:rsidR="00542B6E" w:rsidRPr="0063217C" w:rsidRDefault="00542B6E" w:rsidP="00542B6E">
      <w:pPr>
        <w:spacing w:after="180"/>
        <w:ind w:firstLine="567"/>
      </w:pPr>
      <w:r>
        <w:t>What</w:t>
      </w:r>
      <w:r w:rsidR="00597BDD">
        <w:t xml:space="preserve"> </w:t>
      </w:r>
      <w:r>
        <w:t>other substance does the magnesium react with?</w:t>
      </w:r>
    </w:p>
    <w:p w14:paraId="7B3E1DC8" w14:textId="77777777" w:rsidR="00542B6E" w:rsidRDefault="00542B6E" w:rsidP="00542B6E">
      <w:pPr>
        <w:pStyle w:val="ListParagraph"/>
        <w:spacing w:after="180"/>
        <w:contextualSpacing w:val="0"/>
      </w:pPr>
      <w:r>
        <w:t xml:space="preserve">A </w:t>
      </w:r>
      <w:r>
        <w:tab/>
        <w:t>heat</w:t>
      </w:r>
    </w:p>
    <w:p w14:paraId="19098263" w14:textId="3CBCB237" w:rsidR="00542B6E" w:rsidRDefault="00542B6E" w:rsidP="00542B6E">
      <w:pPr>
        <w:pStyle w:val="ListParagraph"/>
        <w:spacing w:after="180"/>
        <w:contextualSpacing w:val="0"/>
      </w:pPr>
      <w:r>
        <w:t>B</w:t>
      </w:r>
      <w:r>
        <w:tab/>
        <w:t>air</w:t>
      </w:r>
    </w:p>
    <w:p w14:paraId="1CDBC5D7" w14:textId="2E0DC006" w:rsidR="00542B6E" w:rsidRDefault="00542B6E" w:rsidP="00542B6E">
      <w:pPr>
        <w:pStyle w:val="ListParagraph"/>
        <w:spacing w:after="180"/>
        <w:contextualSpacing w:val="0"/>
      </w:pPr>
      <w:r>
        <w:t>C</w:t>
      </w:r>
      <w:r>
        <w:tab/>
        <w:t>oxygen</w:t>
      </w:r>
    </w:p>
    <w:p w14:paraId="36419396" w14:textId="608C6A10" w:rsidR="00542B6E" w:rsidRDefault="00542B6E" w:rsidP="00542B6E">
      <w:pPr>
        <w:pStyle w:val="ListParagraph"/>
        <w:spacing w:after="180"/>
        <w:contextualSpacing w:val="0"/>
      </w:pPr>
      <w:r>
        <w:t>D</w:t>
      </w:r>
      <w:r>
        <w:tab/>
        <w:t>fire</w:t>
      </w:r>
    </w:p>
    <w:p w14:paraId="26D1589A" w14:textId="77777777" w:rsidR="00CF1237" w:rsidRDefault="00CF1237" w:rsidP="00CF1237">
      <w:pPr>
        <w:pStyle w:val="ListParagraph"/>
        <w:spacing w:after="180"/>
        <w:ind w:left="567"/>
        <w:contextualSpacing w:val="0"/>
      </w:pPr>
    </w:p>
    <w:p w14:paraId="178617BB" w14:textId="0E492306" w:rsidR="00CF1237" w:rsidRPr="00CF1237" w:rsidRDefault="00CF1237" w:rsidP="00CF1237">
      <w:pPr>
        <w:pStyle w:val="ListParagraph"/>
        <w:spacing w:after="180"/>
        <w:ind w:left="567"/>
        <w:contextualSpacing w:val="0"/>
        <w:rPr>
          <w:b/>
        </w:rPr>
      </w:pPr>
      <w:r w:rsidRPr="00CF1237">
        <w:rPr>
          <w:b/>
        </w:rPr>
        <w:t>NEVER look directly at the flame.</w:t>
      </w:r>
    </w:p>
    <w:p w14:paraId="2A6A5EF0" w14:textId="77777777" w:rsidR="00542B6E" w:rsidRDefault="00542B6E" w:rsidP="00542B6E">
      <w:pPr>
        <w:pStyle w:val="ListParagraph"/>
        <w:spacing w:after="180"/>
        <w:ind w:left="567"/>
        <w:contextualSpacing w:val="0"/>
      </w:pPr>
    </w:p>
    <w:p w14:paraId="6F31A584" w14:textId="3F800E7C" w:rsidR="00201AC2" w:rsidRDefault="003B6C5D" w:rsidP="00201AC2">
      <w:pPr>
        <w:pStyle w:val="ListParagraph"/>
        <w:numPr>
          <w:ilvl w:val="0"/>
          <w:numId w:val="3"/>
        </w:numPr>
        <w:spacing w:after="180"/>
        <w:ind w:left="567" w:hanging="567"/>
        <w:contextualSpacing w:val="0"/>
      </w:pPr>
      <w:r>
        <w:t>Which of the following provide evidence that a new substance has formed?</w:t>
      </w:r>
    </w:p>
    <w:p w14:paraId="0F1988F0" w14:textId="38A13DCE" w:rsidR="00542B6E" w:rsidRDefault="00542B6E" w:rsidP="00542B6E">
      <w:pPr>
        <w:pStyle w:val="ListParagraph"/>
        <w:spacing w:after="180"/>
        <w:ind w:left="567"/>
        <w:contextualSpacing w:val="0"/>
      </w:pPr>
      <w:r>
        <w:t>A</w:t>
      </w:r>
      <w:r>
        <w:tab/>
      </w:r>
      <w:r>
        <w:tab/>
        <w:t>a white flame</w:t>
      </w:r>
    </w:p>
    <w:p w14:paraId="1CCCEAAB" w14:textId="0C3E29EA" w:rsidR="00542B6E" w:rsidRDefault="00542B6E" w:rsidP="00542B6E">
      <w:pPr>
        <w:pStyle w:val="ListParagraph"/>
        <w:spacing w:after="180"/>
        <w:ind w:left="567"/>
        <w:contextualSpacing w:val="0"/>
      </w:pPr>
      <w:r>
        <w:t>B</w:t>
      </w:r>
      <w:r>
        <w:tab/>
      </w:r>
      <w:r>
        <w:tab/>
      </w:r>
      <w:r w:rsidR="00966682">
        <w:t>disappearance of magnesium</w:t>
      </w:r>
    </w:p>
    <w:p w14:paraId="1A9B934B" w14:textId="339C9263" w:rsidR="00542B6E" w:rsidRDefault="00542B6E" w:rsidP="00542B6E">
      <w:pPr>
        <w:pStyle w:val="ListParagraph"/>
        <w:spacing w:after="180"/>
        <w:ind w:left="567"/>
        <w:contextualSpacing w:val="0"/>
      </w:pPr>
      <w:r>
        <w:t>C</w:t>
      </w:r>
      <w:r>
        <w:tab/>
      </w:r>
      <w:r>
        <w:tab/>
      </w:r>
      <w:r w:rsidR="00966682">
        <w:t>appearance of a white solid</w:t>
      </w:r>
      <w:r w:rsidR="00966682">
        <w:tab/>
      </w:r>
      <w:r w:rsidR="00966682">
        <w:tab/>
      </w:r>
    </w:p>
    <w:p w14:paraId="36DF8C3A" w14:textId="7B7558D8" w:rsidR="00542B6E" w:rsidRPr="0063217C" w:rsidRDefault="00542B6E" w:rsidP="00542B6E">
      <w:pPr>
        <w:pStyle w:val="ListParagraph"/>
        <w:spacing w:after="180"/>
        <w:ind w:left="567"/>
        <w:contextualSpacing w:val="0"/>
      </w:pPr>
      <w:r>
        <w:t>D</w:t>
      </w:r>
      <w:r>
        <w:tab/>
      </w:r>
      <w:r>
        <w:tab/>
      </w:r>
      <w:r w:rsidR="00966682">
        <w:t xml:space="preserve">white smoke </w:t>
      </w:r>
    </w:p>
    <w:p w14:paraId="573BA118" w14:textId="77777777" w:rsidR="00CF16DB" w:rsidRDefault="00CF16DB" w:rsidP="00CF16DB">
      <w:pPr>
        <w:spacing w:after="180"/>
      </w:pPr>
    </w:p>
    <w:p w14:paraId="702A59D5" w14:textId="77777777" w:rsidR="00201AC2" w:rsidRPr="00201AC2" w:rsidRDefault="00201AC2" w:rsidP="006F3279">
      <w:pPr>
        <w:spacing w:after="240"/>
        <w:rPr>
          <w:szCs w:val="18"/>
        </w:rPr>
      </w:pPr>
    </w:p>
    <w:p w14:paraId="23C52BC1" w14:textId="77777777" w:rsidR="00201AC2" w:rsidRPr="00201AC2" w:rsidRDefault="00201AC2" w:rsidP="006F3279">
      <w:pPr>
        <w:spacing w:after="240"/>
        <w:rPr>
          <w:szCs w:val="18"/>
        </w:rPr>
      </w:pPr>
    </w:p>
    <w:p w14:paraId="5E2C49D4" w14:textId="77777777"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64192520" w14:textId="284989B2" w:rsidR="00287876" w:rsidRPr="006F3279" w:rsidRDefault="00323334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Chemistry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 xml:space="preserve">Big idea </w:t>
      </w:r>
      <w:r w:rsidR="0063217C">
        <w:rPr>
          <w:i/>
          <w:sz w:val="18"/>
          <w:szCs w:val="18"/>
        </w:rPr>
        <w:t>CCR: Chemical reactions</w:t>
      </w:r>
      <w:r w:rsidR="0007651D">
        <w:rPr>
          <w:i/>
          <w:sz w:val="18"/>
          <w:szCs w:val="18"/>
        </w:rPr>
        <w:t xml:space="preserve"> &gt; Topic </w:t>
      </w:r>
      <w:r w:rsidR="0063217C">
        <w:rPr>
          <w:i/>
          <w:sz w:val="18"/>
          <w:szCs w:val="18"/>
        </w:rPr>
        <w:t>CCR1: Chemical change</w:t>
      </w:r>
      <w:r w:rsidR="006F3279" w:rsidRPr="00CA4B46">
        <w:rPr>
          <w:i/>
          <w:sz w:val="18"/>
          <w:szCs w:val="18"/>
        </w:rPr>
        <w:t xml:space="preserve">&gt; </w:t>
      </w:r>
      <w:r w:rsidR="0007651D">
        <w:rPr>
          <w:i/>
          <w:sz w:val="18"/>
          <w:szCs w:val="18"/>
        </w:rPr>
        <w:t>Key concept</w:t>
      </w:r>
      <w:r w:rsidR="006F3279" w:rsidRPr="00CA4B46">
        <w:rPr>
          <w:i/>
          <w:sz w:val="18"/>
          <w:szCs w:val="18"/>
        </w:rPr>
        <w:t xml:space="preserve"> </w:t>
      </w:r>
      <w:r w:rsidR="0063217C">
        <w:rPr>
          <w:i/>
          <w:sz w:val="18"/>
          <w:szCs w:val="18"/>
        </w:rPr>
        <w:t>CCR1.</w:t>
      </w:r>
      <w:r w:rsidR="0063217C" w:rsidRPr="0063217C">
        <w:rPr>
          <w:i/>
          <w:sz w:val="18"/>
          <w:szCs w:val="18"/>
        </w:rPr>
        <w:t>1</w:t>
      </w:r>
      <w:r w:rsidR="006F3279" w:rsidRPr="0063217C">
        <w:rPr>
          <w:i/>
          <w:sz w:val="18"/>
          <w:szCs w:val="18"/>
        </w:rPr>
        <w:t xml:space="preserve">: </w:t>
      </w:r>
      <w:r w:rsidR="0063217C" w:rsidRPr="0063217C">
        <w:rPr>
          <w:i/>
          <w:sz w:val="18"/>
          <w:szCs w:val="18"/>
        </w:rPr>
        <w:t>Formation of new substances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571C6AF7" w14:textId="77777777" w:rsidTr="00323334">
        <w:tc>
          <w:tcPr>
            <w:tcW w:w="12021" w:type="dxa"/>
            <w:shd w:val="clear" w:color="auto" w:fill="FABF8F" w:themeFill="accent6" w:themeFillTint="99"/>
          </w:tcPr>
          <w:p w14:paraId="33B23808" w14:textId="77777777" w:rsidR="006F3279" w:rsidRPr="00CA4B46" w:rsidRDefault="007C26E1" w:rsidP="00781BC6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FA5B3A">
              <w:rPr>
                <w:b/>
                <w:sz w:val="40"/>
                <w:szCs w:val="40"/>
              </w:rPr>
              <w:t>question</w:t>
            </w:r>
          </w:p>
        </w:tc>
      </w:tr>
      <w:tr w:rsidR="006F3279" w14:paraId="57D5FEC3" w14:textId="77777777" w:rsidTr="00323334">
        <w:tc>
          <w:tcPr>
            <w:tcW w:w="12021" w:type="dxa"/>
            <w:shd w:val="clear" w:color="auto" w:fill="FBD4B4" w:themeFill="accent6" w:themeFillTint="66"/>
          </w:tcPr>
          <w:p w14:paraId="78405A52" w14:textId="33C7FE12" w:rsidR="006F3279" w:rsidRPr="00CA4B46" w:rsidRDefault="0063217C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 w:rsidRPr="00076EBC">
              <w:rPr>
                <w:b/>
                <w:sz w:val="40"/>
                <w:szCs w:val="40"/>
              </w:rPr>
              <w:t>Burning magnesium</w:t>
            </w:r>
          </w:p>
        </w:tc>
      </w:tr>
    </w:tbl>
    <w:p w14:paraId="479B6C29" w14:textId="77777777" w:rsidR="006F3279" w:rsidRDefault="006F3279" w:rsidP="00E172C6">
      <w:pPr>
        <w:spacing w:after="180"/>
        <w:rPr>
          <w:b/>
        </w:rPr>
      </w:pPr>
    </w:p>
    <w:p w14:paraId="30913B42" w14:textId="77777777" w:rsidR="00402E34" w:rsidRPr="00402E34" w:rsidRDefault="00402E34" w:rsidP="00E172C6">
      <w:pPr>
        <w:spacing w:after="180"/>
        <w:rPr>
          <w:b/>
          <w:color w:val="E36C0A" w:themeColor="accent6" w:themeShade="BF"/>
        </w:rPr>
      </w:pPr>
      <w:r w:rsidRPr="00402E34">
        <w:rPr>
          <w:b/>
          <w:color w:val="E36C0A" w:themeColor="accent6" w:themeShade="BF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FA5B3A" w14:paraId="0EF072B2" w14:textId="77777777" w:rsidTr="003F16F9">
        <w:trPr>
          <w:trHeight w:val="340"/>
        </w:trPr>
        <w:tc>
          <w:tcPr>
            <w:tcW w:w="2196" w:type="dxa"/>
          </w:tcPr>
          <w:p w14:paraId="4E9B2F10" w14:textId="77777777" w:rsidR="00FA5B3A" w:rsidRDefault="00FA5B3A" w:rsidP="00FA5B3A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14:paraId="32695BB8" w14:textId="4C6F8A1A" w:rsidR="00FA5B3A" w:rsidRPr="00076EBC" w:rsidRDefault="0063217C" w:rsidP="00FA5B3A">
            <w:pPr>
              <w:spacing w:before="60" w:after="60"/>
            </w:pPr>
            <w:r w:rsidRPr="00076EBC">
              <w:t>During a chemical reaction a new substance (or substances) are formed</w:t>
            </w:r>
            <w:r w:rsidR="00CF1237">
              <w:t xml:space="preserve"> with different properties</w:t>
            </w:r>
            <w:r w:rsidRPr="00076EBC">
              <w:t>.</w:t>
            </w:r>
          </w:p>
        </w:tc>
      </w:tr>
      <w:tr w:rsidR="00FA5B3A" w14:paraId="1AF7C5B0" w14:textId="77777777" w:rsidTr="003F16F9">
        <w:trPr>
          <w:trHeight w:val="340"/>
        </w:trPr>
        <w:tc>
          <w:tcPr>
            <w:tcW w:w="2196" w:type="dxa"/>
          </w:tcPr>
          <w:p w14:paraId="396CC9C4" w14:textId="77777777" w:rsidR="00FA5B3A" w:rsidRDefault="00FA5B3A" w:rsidP="00FA5B3A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14:paraId="1D853966" w14:textId="02459DE2" w:rsidR="00FA5B3A" w:rsidRPr="00076EBC" w:rsidRDefault="00E2754C" w:rsidP="00FA5B3A">
            <w:pPr>
              <w:spacing w:before="60" w:after="60"/>
            </w:pPr>
            <w:r w:rsidRPr="00076EBC">
              <w:t>Explain observations of a chemical reaction in terms of the formation of a new substance (or substances).</w:t>
            </w:r>
          </w:p>
        </w:tc>
      </w:tr>
      <w:tr w:rsidR="00FA5B3A" w14:paraId="09FE39CE" w14:textId="77777777" w:rsidTr="003F16F9">
        <w:trPr>
          <w:trHeight w:val="340"/>
        </w:trPr>
        <w:tc>
          <w:tcPr>
            <w:tcW w:w="2196" w:type="dxa"/>
          </w:tcPr>
          <w:p w14:paraId="2E67BD4A" w14:textId="77777777" w:rsidR="00FA5B3A" w:rsidRDefault="007F5D5D" w:rsidP="00FA5B3A">
            <w:pPr>
              <w:spacing w:before="60" w:after="60"/>
            </w:pPr>
            <w:r>
              <w:t>Question</w:t>
            </w:r>
            <w:r w:rsidR="00FA5B3A">
              <w:t xml:space="preserve"> type:</w:t>
            </w:r>
          </w:p>
        </w:tc>
        <w:tc>
          <w:tcPr>
            <w:tcW w:w="6820" w:type="dxa"/>
          </w:tcPr>
          <w:p w14:paraId="5CD59D3E" w14:textId="3D67316D" w:rsidR="00FA5B3A" w:rsidRPr="00076EBC" w:rsidRDefault="00CF1237" w:rsidP="00FA5B3A">
            <w:pPr>
              <w:spacing w:before="60" w:after="60"/>
            </w:pPr>
            <w:r>
              <w:t>s</w:t>
            </w:r>
            <w:r w:rsidR="00E2754C" w:rsidRPr="00076EBC">
              <w:t>imple multiple choice</w:t>
            </w:r>
          </w:p>
        </w:tc>
      </w:tr>
      <w:tr w:rsidR="00FA5B3A" w14:paraId="7EB7C826" w14:textId="77777777" w:rsidTr="003F16F9">
        <w:trPr>
          <w:trHeight w:val="340"/>
        </w:trPr>
        <w:tc>
          <w:tcPr>
            <w:tcW w:w="2196" w:type="dxa"/>
          </w:tcPr>
          <w:p w14:paraId="78FC44FC" w14:textId="77777777" w:rsidR="00FA5B3A" w:rsidRDefault="00FA5B3A" w:rsidP="00FA5B3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14:paraId="00EF7DBF" w14:textId="5FDA3CE1" w:rsidR="00FA5B3A" w:rsidRPr="00076EBC" w:rsidRDefault="00BF0706" w:rsidP="00FA5B3A">
            <w:pPr>
              <w:spacing w:before="60" w:after="60"/>
            </w:pPr>
            <w:r>
              <w:t>s</w:t>
            </w:r>
            <w:r w:rsidR="00966682" w:rsidRPr="00076EBC">
              <w:t>ubstance,</w:t>
            </w:r>
            <w:r>
              <w:t xml:space="preserve"> chemical change, chemical reaction</w:t>
            </w:r>
          </w:p>
        </w:tc>
      </w:tr>
    </w:tbl>
    <w:p w14:paraId="6B8649BF" w14:textId="77777777" w:rsidR="00E172C6" w:rsidRDefault="00E172C6" w:rsidP="00E172C6">
      <w:pPr>
        <w:spacing w:after="180"/>
      </w:pPr>
    </w:p>
    <w:p w14:paraId="4C6E6066" w14:textId="70891028" w:rsidR="00C05571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What does the research say</w:t>
      </w:r>
      <w:r w:rsidR="00C05571" w:rsidRPr="00323334">
        <w:rPr>
          <w:b/>
          <w:color w:val="E36C0A" w:themeColor="accent6" w:themeShade="BF"/>
          <w:sz w:val="24"/>
        </w:rPr>
        <w:t>?</w:t>
      </w:r>
    </w:p>
    <w:p w14:paraId="3E9B5AC5" w14:textId="1BE16529" w:rsidR="00147CB9" w:rsidRDefault="00147CB9" w:rsidP="00147CB9">
      <w:pPr>
        <w:spacing w:after="180"/>
      </w:pPr>
      <w:r w:rsidRPr="00CD6489">
        <w:t xml:space="preserve">Research </w:t>
      </w:r>
      <w:r w:rsidRPr="00CD6489">
        <w:fldChar w:fldCharType="begin"/>
      </w:r>
      <w:r w:rsidRPr="00CD6489">
        <w:instrText xml:space="preserve"> ADDIN EN.CITE &lt;EndNote&gt;&lt;Cite&gt;&lt;Author&gt;Stavridou&lt;/Author&gt;&lt;Year&gt;1998&lt;/Year&gt;&lt;IDText&gt;Conceptual reorganization and the construction of the chemical reaction concept during secondary education.&lt;/IDText&gt;&lt;DisplayText&gt;(Stavridou and Solomonidou, 1998)&lt;/DisplayText&gt;&lt;record&gt;&lt;titles&gt;&lt;title&gt;Conceptual reorganization and the construction of the chemical reaction concept during secondary education.&lt;/title&gt;&lt;secondary-title&gt;International Journal of Science Education&lt;/secondary-title&gt;&lt;/titles&gt;&lt;pages&gt;205-221&lt;/pages&gt;&lt;number&gt;2&lt;/number&gt;&lt;contributors&gt;&lt;authors&gt;&lt;author&gt;Stavridou, Heleni&lt;/author&gt;&lt;author&gt;Solomonidou, Christina&lt;/author&gt;&lt;/authors&gt;&lt;/contributors&gt;&lt;added-date format="utc"&gt;1536664131&lt;/added-date&gt;&lt;ref-type name="Journal Article"&gt;17&lt;/ref-type&gt;&lt;dates&gt;&lt;year&gt;1998&lt;/year&gt;&lt;/dates&gt;&lt;rec-number&gt;18&lt;/rec-number&gt;&lt;last-updated-date format="utc"&gt;1536664224&lt;/last-updated-date&gt;&lt;volume&gt;20&lt;/volume&gt;&lt;/record&gt;&lt;/Cite&gt;&lt;/EndNote&gt;</w:instrText>
      </w:r>
      <w:r w:rsidRPr="00CD6489">
        <w:fldChar w:fldCharType="separate"/>
      </w:r>
      <w:r w:rsidRPr="00CD6489">
        <w:rPr>
          <w:noProof/>
        </w:rPr>
        <w:t>(Stavridou and Solomonidou, 1998)</w:t>
      </w:r>
      <w:r w:rsidRPr="00CD6489">
        <w:fldChar w:fldCharType="end"/>
      </w:r>
      <w:r w:rsidRPr="00CD6489">
        <w:t xml:space="preserve"> investigated how student thinking about chemical reactions develops. Their research showed that initially </w:t>
      </w:r>
      <w:r>
        <w:t xml:space="preserve">many </w:t>
      </w:r>
      <w:r w:rsidRPr="00CD6489">
        <w:t xml:space="preserve">students did not understand chemical reactions as changes, rather </w:t>
      </w:r>
      <w:r>
        <w:t xml:space="preserve">they </w:t>
      </w:r>
      <w:r w:rsidR="00C512D6">
        <w:t>considered th</w:t>
      </w:r>
      <w:r w:rsidR="00CF1237">
        <w:t>em</w:t>
      </w:r>
      <w:r w:rsidR="00C512D6">
        <w:t xml:space="preserve"> to be</w:t>
      </w:r>
      <w:r w:rsidRPr="00CD6489">
        <w:t xml:space="preserve"> ‘events’. Their focus was on the most obvious</w:t>
      </w:r>
      <w:r w:rsidR="00317914">
        <w:t xml:space="preserve"> observable</w:t>
      </w:r>
      <w:r w:rsidRPr="00CD6489">
        <w:t xml:space="preserve"> feature such as a colour change, gas release or explosion. </w:t>
      </w:r>
      <w:r>
        <w:t xml:space="preserve">The idea of the formation of a new substance </w:t>
      </w:r>
      <w:r w:rsidR="00317914">
        <w:t>did appear to develop later.</w:t>
      </w:r>
    </w:p>
    <w:p w14:paraId="553DCAD6" w14:textId="2563268B" w:rsidR="00147CB9" w:rsidRPr="00966682" w:rsidRDefault="00966682" w:rsidP="00026DEC">
      <w:pPr>
        <w:spacing w:after="180"/>
      </w:pPr>
      <w:r w:rsidRPr="00966682">
        <w:t xml:space="preserve">An article </w:t>
      </w:r>
      <w:r>
        <w:fldChar w:fldCharType="begin"/>
      </w:r>
      <w:r w:rsidRPr="00966682">
        <w:instrText xml:space="preserve"> ADDIN EN.CITE &lt;EndNote&gt;&lt;Cite&gt;&lt;Author&gt;de Vos&lt;/Author&gt;&lt;Year&gt;1985&lt;/Year&gt;&lt;IDText&gt;A new road to reactions (part 1)&lt;/IDText&gt;&lt;DisplayText&gt;(de Vos and Verdonk, 1985)&lt;/DisplayText&gt;&lt;record&gt;&lt;titles&gt;&lt;title&gt;A new road to reactions (part 1)&lt;/title&gt;&lt;secondary-title&gt;Journal of Chemical Education&lt;/secondary-title&gt;&lt;/titles&gt;&lt;pages&gt;238-240&lt;/pages&gt;&lt;number&gt;3&lt;/number&gt;&lt;contributors&gt;&lt;authors&gt;&lt;author&gt;de Vos, Wobbe&lt;/author&gt;&lt;author&gt;Verdonk, Adri H.&lt;/author&gt;&lt;/authors&gt;&lt;/contributors&gt;&lt;added-date format="utc"&gt;1537267421&lt;/added-date&gt;&lt;ref-type name="Journal Article"&gt;17&lt;/ref-type&gt;&lt;dates&gt;&lt;year&gt;1985&lt;/year&gt;&lt;/dates&gt;&lt;rec-number&gt;23&lt;/rec-number&gt;&lt;last-updated-date format="utc"&gt;1537267497&lt;/last-updated-date&gt;&lt;volume&gt;62&lt;/volume&gt;&lt;/record&gt;&lt;/Cite&gt;&lt;/EndNote&gt;</w:instrText>
      </w:r>
      <w:r>
        <w:fldChar w:fldCharType="separate"/>
      </w:r>
      <w:r w:rsidRPr="00966682">
        <w:rPr>
          <w:noProof/>
        </w:rPr>
        <w:t>(de Vos and Verdonk, 1985)</w:t>
      </w:r>
      <w:r>
        <w:fldChar w:fldCharType="end"/>
      </w:r>
      <w:r w:rsidRPr="00966682">
        <w:t xml:space="preserve"> describes how more</w:t>
      </w:r>
      <w:r>
        <w:t xml:space="preserve"> ‘spectacular’ reactions may distract students from making observations that provide evidence that a new substance is formed. For example, when magnesium burns with a bright white flame, students</w:t>
      </w:r>
      <w:r w:rsidR="00317914">
        <w:t xml:space="preserve"> may </w:t>
      </w:r>
      <w:r>
        <w:t>pay attention to the flame and not the white substance (magnesium oxide) that forms as the product.</w:t>
      </w:r>
    </w:p>
    <w:p w14:paraId="42362EC4" w14:textId="77777777" w:rsidR="007A748B" w:rsidRPr="00323334" w:rsidRDefault="007A748B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 xml:space="preserve">Ways to use this </w:t>
      </w:r>
      <w:r w:rsidR="00C1460B">
        <w:rPr>
          <w:b/>
          <w:color w:val="E36C0A" w:themeColor="accent6" w:themeShade="BF"/>
          <w:sz w:val="24"/>
        </w:rPr>
        <w:t>question</w:t>
      </w:r>
    </w:p>
    <w:p w14:paraId="33ACF9C2" w14:textId="125A5667" w:rsidR="00402E34" w:rsidRPr="00597BDD" w:rsidRDefault="00597BDD" w:rsidP="00402E34">
      <w:pPr>
        <w:spacing w:after="180"/>
      </w:pPr>
      <w:r w:rsidRPr="00597BDD">
        <w:t>This question can be undertaken as a paper and pencil exercise but it is preferable for students to be able to (safely) observe the reaction and more importantly the end product.</w:t>
      </w:r>
    </w:p>
    <w:p w14:paraId="0DF6582D" w14:textId="444329DF" w:rsidR="00BB44B4" w:rsidRPr="00323334" w:rsidRDefault="00402E34" w:rsidP="00BB44B4">
      <w:pPr>
        <w:spacing w:after="180"/>
        <w:rPr>
          <w:b/>
          <w:color w:val="E36C0A" w:themeColor="accent6" w:themeShade="BF"/>
          <w:sz w:val="24"/>
        </w:rPr>
      </w:pPr>
      <w:r w:rsidRPr="00597BDD">
        <w:rPr>
          <w:b/>
          <w:color w:val="E36C0A" w:themeColor="accent6" w:themeShade="BF"/>
          <w:sz w:val="24"/>
        </w:rPr>
        <w:t>Equipment</w:t>
      </w:r>
      <w:r w:rsidR="00FA5B3A" w:rsidRPr="00597BDD">
        <w:rPr>
          <w:b/>
          <w:color w:val="E36C0A" w:themeColor="accent6" w:themeShade="BF"/>
          <w:sz w:val="24"/>
        </w:rPr>
        <w:t xml:space="preserve"> </w:t>
      </w:r>
    </w:p>
    <w:p w14:paraId="3EA181E0" w14:textId="77777777" w:rsidR="00402E34" w:rsidRDefault="00402E34" w:rsidP="00402E34">
      <w:pPr>
        <w:spacing w:after="180"/>
      </w:pPr>
      <w:r w:rsidRPr="00C57FA2">
        <w:t>For each student/pair/group:</w:t>
      </w:r>
    </w:p>
    <w:p w14:paraId="55004BCF" w14:textId="50A5D46A" w:rsidR="00402E34" w:rsidRPr="00597BDD" w:rsidRDefault="00597BDD" w:rsidP="00402E34">
      <w:pPr>
        <w:pStyle w:val="ListParagraph"/>
        <w:numPr>
          <w:ilvl w:val="0"/>
          <w:numId w:val="1"/>
        </w:numPr>
        <w:spacing w:after="180"/>
      </w:pPr>
      <w:r>
        <w:t>s</w:t>
      </w:r>
      <w:r w:rsidR="004A7241" w:rsidRPr="00597BDD">
        <w:t xml:space="preserve">mall </w:t>
      </w:r>
      <w:r w:rsidRPr="00597BDD">
        <w:t xml:space="preserve">pre- cut </w:t>
      </w:r>
      <w:r w:rsidR="004A7241" w:rsidRPr="00597BDD">
        <w:t>piece of magnesium ribbon</w:t>
      </w:r>
    </w:p>
    <w:p w14:paraId="53DB664E" w14:textId="23804FA3" w:rsidR="004A7241" w:rsidRPr="00597BDD" w:rsidRDefault="00597BDD" w:rsidP="00402E34">
      <w:pPr>
        <w:pStyle w:val="ListParagraph"/>
        <w:numPr>
          <w:ilvl w:val="0"/>
          <w:numId w:val="1"/>
        </w:numPr>
        <w:spacing w:after="180"/>
      </w:pPr>
      <w:r>
        <w:t>t</w:t>
      </w:r>
      <w:r w:rsidR="004A7241" w:rsidRPr="00597BDD">
        <w:t>ongs</w:t>
      </w:r>
    </w:p>
    <w:p w14:paraId="339D2E12" w14:textId="17A12720" w:rsidR="004A7241" w:rsidRDefault="00597BDD" w:rsidP="00402E34">
      <w:pPr>
        <w:pStyle w:val="ListParagraph"/>
        <w:numPr>
          <w:ilvl w:val="0"/>
          <w:numId w:val="1"/>
        </w:numPr>
        <w:spacing w:after="180"/>
      </w:pPr>
      <w:r>
        <w:t>B</w:t>
      </w:r>
      <w:r w:rsidR="004A7241">
        <w:t>unsen burner and heat proof mat</w:t>
      </w:r>
    </w:p>
    <w:p w14:paraId="55EACC3B" w14:textId="79863056" w:rsidR="004A7241" w:rsidRDefault="00597BDD" w:rsidP="004A7241">
      <w:pPr>
        <w:pStyle w:val="ListParagraph"/>
        <w:numPr>
          <w:ilvl w:val="0"/>
          <w:numId w:val="1"/>
        </w:numPr>
        <w:spacing w:after="180"/>
      </w:pPr>
      <w:r>
        <w:t>e</w:t>
      </w:r>
      <w:r w:rsidR="004A7241">
        <w:t>ye pro</w:t>
      </w:r>
      <w:r>
        <w:t>tection and filter</w:t>
      </w:r>
    </w:p>
    <w:p w14:paraId="56729457" w14:textId="77777777" w:rsidR="004A7241" w:rsidRPr="0010427F" w:rsidRDefault="004A7241" w:rsidP="004A7241">
      <w:pPr>
        <w:spacing w:after="180"/>
        <w:rPr>
          <w:b/>
          <w:color w:val="E36C0A" w:themeColor="accent6" w:themeShade="BF"/>
          <w:sz w:val="24"/>
        </w:rPr>
      </w:pPr>
      <w:bookmarkStart w:id="0" w:name="_Hlk525123529"/>
      <w:r w:rsidRPr="0010427F">
        <w:rPr>
          <w:b/>
          <w:color w:val="E36C0A" w:themeColor="accent6" w:themeShade="BF"/>
          <w:sz w:val="24"/>
        </w:rPr>
        <w:t>Technician notes</w:t>
      </w:r>
    </w:p>
    <w:p w14:paraId="4433329F" w14:textId="30F297FC" w:rsidR="00597BDD" w:rsidRDefault="00597BDD" w:rsidP="004A7241">
      <w:pPr>
        <w:spacing w:after="180"/>
      </w:pPr>
      <w:r>
        <w:t>See CLEAPSS Hazcard for advice including th</w:t>
      </w:r>
      <w:r w:rsidR="00317914">
        <w:t>e</w:t>
      </w:r>
      <w:r>
        <w:t xml:space="preserve"> steps</w:t>
      </w:r>
      <w:r w:rsidR="00317914">
        <w:t xml:space="preserve"> that</w:t>
      </w:r>
      <w:r>
        <w:t xml:space="preserve"> should be taken to prevent theft of magnesium ribbon. Reels of magnesium should not be left out in the laboratory. It is preferable to provide a limited number of pre-cut lengths of ribbon to be handed out to students. </w:t>
      </w:r>
    </w:p>
    <w:p w14:paraId="5B8FD4C1" w14:textId="37E1E514" w:rsidR="00317914" w:rsidRDefault="00317914" w:rsidP="004A7241">
      <w:pPr>
        <w:spacing w:after="180"/>
      </w:pPr>
    </w:p>
    <w:p w14:paraId="701DF87E" w14:textId="77777777" w:rsidR="00317914" w:rsidRPr="00511020" w:rsidRDefault="00317914" w:rsidP="004A7241">
      <w:pPr>
        <w:spacing w:after="180"/>
      </w:pPr>
    </w:p>
    <w:p w14:paraId="312932CA" w14:textId="77777777" w:rsidR="004A7241" w:rsidRPr="00FB40FC" w:rsidRDefault="004A7241" w:rsidP="004A7241">
      <w:pPr>
        <w:spacing w:after="180"/>
        <w:rPr>
          <w:b/>
          <w:color w:val="E36C0A" w:themeColor="accent6" w:themeShade="BF"/>
          <w:sz w:val="24"/>
        </w:rPr>
      </w:pPr>
      <w:r w:rsidRPr="0010427F">
        <w:rPr>
          <w:b/>
          <w:color w:val="E36C0A" w:themeColor="accent6" w:themeShade="BF"/>
          <w:sz w:val="24"/>
        </w:rPr>
        <w:t>Health and safety</w:t>
      </w:r>
    </w:p>
    <w:p w14:paraId="5B7C9D67" w14:textId="77777777" w:rsidR="00714F1D" w:rsidRDefault="00714F1D" w:rsidP="00714F1D">
      <w:pPr>
        <w:spacing w:after="180"/>
        <w:rPr>
          <w:b/>
          <w:color w:val="76923C" w:themeColor="accent3" w:themeShade="BF"/>
          <w:sz w:val="24"/>
        </w:rPr>
      </w:pPr>
      <w:bookmarkStart w:id="1" w:name="_GoBack"/>
      <w:bookmarkEnd w:id="0"/>
      <w:r w:rsidRPr="002454AC">
        <w:t xml:space="preserve">Practical work should be carried out in accordance with local health and safety </w:t>
      </w:r>
      <w:r>
        <w:t>requirements</w:t>
      </w:r>
      <w:r w:rsidRPr="002454AC">
        <w:t>, guidance from manufacturers and sup</w:t>
      </w:r>
      <w:r>
        <w:t>p</w:t>
      </w:r>
      <w:r w:rsidRPr="002454AC">
        <w:t>liers, and guidance available from CLEAPSS</w:t>
      </w:r>
      <w:r>
        <w:t>.</w:t>
      </w:r>
    </w:p>
    <w:bookmarkEnd w:id="1"/>
    <w:p w14:paraId="0B087812" w14:textId="47C2579F" w:rsidR="004A7241" w:rsidRDefault="004A7241" w:rsidP="004A7241">
      <w:pPr>
        <w:spacing w:after="180"/>
      </w:pPr>
      <w:r>
        <w:t>Due to the intense white light produced by burning magnesium suitable eye protection must be worn. See up-to-date CLEAPSS Hazcard for guidance on what type of filter is suitable.</w:t>
      </w:r>
    </w:p>
    <w:p w14:paraId="05A8557E" w14:textId="1D71BCE2" w:rsidR="004A7241" w:rsidRPr="00FB40FC" w:rsidRDefault="00597BDD" w:rsidP="004A7241">
      <w:pPr>
        <w:spacing w:after="180"/>
      </w:pPr>
      <w:r>
        <w:t>You should NEVER look at magnesium directly when it is burning. The magnesium oxide produced will initially be very hot.</w:t>
      </w:r>
    </w:p>
    <w:p w14:paraId="6F3DA668" w14:textId="77777777" w:rsidR="00E172C6" w:rsidRPr="00323334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Expected answers</w:t>
      </w:r>
    </w:p>
    <w:p w14:paraId="2B25C650" w14:textId="7E8FDA59" w:rsidR="00BF6C8A" w:rsidRDefault="00076EBC" w:rsidP="00BF6C8A">
      <w:pPr>
        <w:spacing w:after="180"/>
      </w:pPr>
      <w:r w:rsidRPr="00076EBC">
        <w:t>1C, 2C</w:t>
      </w:r>
    </w:p>
    <w:p w14:paraId="6335BF81" w14:textId="77777777" w:rsidR="006A4440" w:rsidRPr="00323334" w:rsidRDefault="004C5D20" w:rsidP="00BF6C8A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How to respond - w</w:t>
      </w:r>
      <w:r w:rsidR="006A4440" w:rsidRPr="00323334">
        <w:rPr>
          <w:b/>
          <w:color w:val="E36C0A" w:themeColor="accent6" w:themeShade="BF"/>
          <w:sz w:val="24"/>
        </w:rPr>
        <w:t>h</w:t>
      </w:r>
      <w:r w:rsidRPr="00323334">
        <w:rPr>
          <w:b/>
          <w:color w:val="E36C0A" w:themeColor="accent6" w:themeShade="BF"/>
          <w:sz w:val="24"/>
        </w:rPr>
        <w:t>at</w:t>
      </w:r>
      <w:r w:rsidR="006A4440" w:rsidRPr="00323334">
        <w:rPr>
          <w:b/>
          <w:color w:val="E36C0A" w:themeColor="accent6" w:themeShade="BF"/>
          <w:sz w:val="24"/>
        </w:rPr>
        <w:t xml:space="preserve"> next?</w:t>
      </w:r>
    </w:p>
    <w:p w14:paraId="2000ACE7" w14:textId="3FDC0122" w:rsidR="004F039C" w:rsidRPr="00076EBC" w:rsidRDefault="00076EBC" w:rsidP="006A4440">
      <w:pPr>
        <w:spacing w:after="180"/>
      </w:pPr>
      <w:r w:rsidRPr="00076EBC">
        <w:t>An answer of option A or D in question 1 indicates that the student has an incorrect understanding of what a substance is and mistakenly classes ‘heat’ or ‘fire’ as a substance. A student that selects option B may be unaware that air is in fact a mixture of substances of which only the oxygen reacts.</w:t>
      </w:r>
    </w:p>
    <w:p w14:paraId="4BF82C8C" w14:textId="58C4F97D" w:rsidR="00076EBC" w:rsidRPr="00076EBC" w:rsidRDefault="00076EBC" w:rsidP="006A4440">
      <w:pPr>
        <w:spacing w:after="180"/>
      </w:pPr>
      <w:r w:rsidRPr="00076EBC">
        <w:t xml:space="preserve">A student answering A for question 2 </w:t>
      </w:r>
      <w:r w:rsidR="00961B23">
        <w:t>may be</w:t>
      </w:r>
      <w:r w:rsidRPr="00076EBC">
        <w:t xml:space="preserve"> focusing on the most dramatic observation of the experiment. Whilst the white flame does provide evidence that a chemical reaction has taken place it does not provide direct evidence for the presence of a new substance. </w:t>
      </w:r>
      <w:r w:rsidR="00317914" w:rsidRPr="00076EBC">
        <w:t>Similarly,</w:t>
      </w:r>
      <w:r w:rsidRPr="00076EBC">
        <w:t xml:space="preserve"> the apparent disappearance of magnesium (option B) is a consequence of a chemical reaction but it is the appearance of a new white substance in both solid form (option C) and as particles in white smoke (option D) that is evidence that a new substance has been produced.</w:t>
      </w:r>
    </w:p>
    <w:p w14:paraId="54F5E91E" w14:textId="17A40934" w:rsidR="005F1A7B" w:rsidRPr="00BF0706" w:rsidRDefault="004F039C" w:rsidP="006A4440">
      <w:pPr>
        <w:spacing w:after="180"/>
      </w:pPr>
      <w:r w:rsidRPr="004F039C">
        <w:t>If students have mis</w:t>
      </w:r>
      <w:r w:rsidR="00BF0706">
        <w:t>understanding</w:t>
      </w:r>
      <w:r w:rsidR="00961B23">
        <w:t>s</w:t>
      </w:r>
      <w:r w:rsidR="00BF0706">
        <w:t xml:space="preserve"> about chemical reactions then it may be beneficial, when a new </w:t>
      </w:r>
      <w:r w:rsidR="00BF0706" w:rsidRPr="00BF0706">
        <w:t xml:space="preserve">reaction is encountered, </w:t>
      </w:r>
      <w:r w:rsidR="002E5626">
        <w:t xml:space="preserve">to encourage students to identify </w:t>
      </w:r>
      <w:r w:rsidR="00BF0706" w:rsidRPr="00BF0706">
        <w:t xml:space="preserve">macroscopic evidence for the formation of a new substance or substances. </w:t>
      </w:r>
      <w:r w:rsidRPr="00BF0706">
        <w:t xml:space="preserve"> The following </w:t>
      </w:r>
      <w:r w:rsidR="005F1A7B" w:rsidRPr="00BF0706">
        <w:t xml:space="preserve">BEST </w:t>
      </w:r>
      <w:r w:rsidR="004C5D20" w:rsidRPr="00BF0706">
        <w:t xml:space="preserve">‘response </w:t>
      </w:r>
      <w:r w:rsidR="00C1460B" w:rsidRPr="00BF0706">
        <w:t>activities</w:t>
      </w:r>
      <w:r w:rsidR="004C5D20" w:rsidRPr="00BF0706">
        <w:t>’</w:t>
      </w:r>
      <w:r w:rsidR="005F1A7B" w:rsidRPr="00BF0706">
        <w:t xml:space="preserve"> </w:t>
      </w:r>
      <w:r w:rsidR="004C5D20" w:rsidRPr="00BF0706">
        <w:t>c</w:t>
      </w:r>
      <w:r w:rsidR="005F1A7B" w:rsidRPr="00BF0706">
        <w:t xml:space="preserve">ould </w:t>
      </w:r>
      <w:r w:rsidR="004C5D20" w:rsidRPr="00BF0706">
        <w:t>be used in follow-up to this diagnostic question</w:t>
      </w:r>
      <w:r w:rsidRPr="00BF0706">
        <w:t>:</w:t>
      </w:r>
    </w:p>
    <w:p w14:paraId="78FCFD82" w14:textId="16FFBC80" w:rsidR="00A6111E" w:rsidRPr="00BF0706" w:rsidRDefault="00961B23" w:rsidP="00402E34">
      <w:pPr>
        <w:pStyle w:val="ListParagraph"/>
        <w:numPr>
          <w:ilvl w:val="0"/>
          <w:numId w:val="1"/>
        </w:numPr>
        <w:spacing w:after="180"/>
      </w:pPr>
      <w:r>
        <w:t>Reacting</w:t>
      </w:r>
      <w:r w:rsidR="00BF0706" w:rsidRPr="00BF0706">
        <w:t xml:space="preserve"> elements</w:t>
      </w:r>
    </w:p>
    <w:p w14:paraId="1C966DB9" w14:textId="77777777" w:rsidR="003117F6" w:rsidRPr="00323334" w:rsidRDefault="00CC78A5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Acknowledgments</w:t>
      </w:r>
    </w:p>
    <w:p w14:paraId="51FC11AC" w14:textId="03ED9F2D" w:rsidR="00D278E8" w:rsidRPr="00BF0706" w:rsidRDefault="00D278E8" w:rsidP="00E172C6">
      <w:pPr>
        <w:spacing w:after="180"/>
      </w:pPr>
      <w:r w:rsidRPr="00BF0706">
        <w:t xml:space="preserve">Developed </w:t>
      </w:r>
      <w:r w:rsidR="0015356E" w:rsidRPr="00BF0706">
        <w:t xml:space="preserve">by </w:t>
      </w:r>
      <w:r w:rsidR="001549AD" w:rsidRPr="00BF0706">
        <w:t xml:space="preserve">Helen Harden </w:t>
      </w:r>
      <w:r w:rsidR="0015356E" w:rsidRPr="00BF0706">
        <w:t>(UYSEG)</w:t>
      </w:r>
    </w:p>
    <w:p w14:paraId="71DCA8DD" w14:textId="63228868" w:rsidR="00CF16DB" w:rsidRPr="00BF0706" w:rsidRDefault="00D278E8" w:rsidP="0063217C">
      <w:pPr>
        <w:pStyle w:val="Heading1"/>
        <w:rPr>
          <w:rFonts w:asciiTheme="minorHAnsi" w:eastAsiaTheme="minorHAnsi" w:hAnsiTheme="minorHAnsi" w:cs="Arial"/>
          <w:b w:val="0"/>
          <w:bCs w:val="0"/>
          <w:kern w:val="0"/>
          <w:sz w:val="22"/>
          <w:szCs w:val="22"/>
          <w:lang w:eastAsia="en-US"/>
        </w:rPr>
      </w:pPr>
      <w:r w:rsidRPr="00BF0706">
        <w:rPr>
          <w:rFonts w:asciiTheme="minorHAnsi" w:eastAsiaTheme="minorHAnsi" w:hAnsiTheme="minorHAnsi" w:cs="Arial"/>
          <w:b w:val="0"/>
          <w:bCs w:val="0"/>
          <w:kern w:val="0"/>
          <w:sz w:val="22"/>
          <w:szCs w:val="22"/>
          <w:lang w:eastAsia="en-US"/>
        </w:rPr>
        <w:t xml:space="preserve">Images: </w:t>
      </w:r>
      <w:r w:rsidR="0063217C" w:rsidRPr="00BF0706">
        <w:rPr>
          <w:rFonts w:asciiTheme="minorHAnsi" w:eastAsiaTheme="minorHAnsi" w:hAnsiTheme="minorHAnsi" w:cs="Arial"/>
          <w:b w:val="0"/>
          <w:bCs w:val="0"/>
          <w:kern w:val="0"/>
          <w:sz w:val="22"/>
          <w:szCs w:val="22"/>
          <w:lang w:eastAsia="en-US"/>
        </w:rPr>
        <w:t xml:space="preserve"> Capt. John Yossarian [CC BY-SA 3.0  (https://creativecommons.org/licenses/by-sa/3.0) or GFDL (http://www.gnu.org/copyleft/fdl.html)], from Wikimedia Commons</w:t>
      </w:r>
    </w:p>
    <w:p w14:paraId="597A64C8" w14:textId="77777777" w:rsidR="003117F6" w:rsidRPr="00323334" w:rsidRDefault="003117F6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References</w:t>
      </w:r>
    </w:p>
    <w:p w14:paraId="1920F345" w14:textId="77777777" w:rsidR="00966682" w:rsidRPr="00966682" w:rsidRDefault="00E2754C" w:rsidP="00966682">
      <w:pPr>
        <w:pStyle w:val="EndNoteBibliography"/>
      </w:pPr>
      <w:r>
        <w:fldChar w:fldCharType="begin"/>
      </w:r>
      <w:r w:rsidRPr="00CF1237">
        <w:rPr>
          <w:lang w:val="en-GB"/>
        </w:rPr>
        <w:instrText xml:space="preserve"> ADDIN EN.REFLIST </w:instrText>
      </w:r>
      <w:r>
        <w:fldChar w:fldCharType="separate"/>
      </w:r>
      <w:r w:rsidR="00966682" w:rsidRPr="00CF1237">
        <w:rPr>
          <w:lang w:val="en-GB"/>
        </w:rPr>
        <w:t xml:space="preserve">de Vos, W. and Verdonk, A. H. (1985). </w:t>
      </w:r>
      <w:r w:rsidR="00966682" w:rsidRPr="00966682">
        <w:t xml:space="preserve">A new road to reactions (part 1). </w:t>
      </w:r>
      <w:r w:rsidR="00966682" w:rsidRPr="00966682">
        <w:rPr>
          <w:i/>
        </w:rPr>
        <w:t>Journal of Chemical Education,</w:t>
      </w:r>
      <w:r w:rsidR="00966682" w:rsidRPr="00966682">
        <w:t xml:space="preserve"> 62(3)</w:t>
      </w:r>
      <w:r w:rsidR="00966682" w:rsidRPr="00966682">
        <w:rPr>
          <w:b/>
        </w:rPr>
        <w:t>,</w:t>
      </w:r>
      <w:r w:rsidR="00966682" w:rsidRPr="00966682">
        <w:t xml:space="preserve"> 238-240.</w:t>
      </w:r>
    </w:p>
    <w:p w14:paraId="2A83F0C6" w14:textId="77777777" w:rsidR="00966682" w:rsidRPr="00966682" w:rsidRDefault="00966682" w:rsidP="00966682">
      <w:pPr>
        <w:pStyle w:val="EndNoteBibliography"/>
      </w:pPr>
      <w:r w:rsidRPr="00966682">
        <w:t xml:space="preserve">Stavridou, H. and Solomonidou, C. (1998). Conceptual reorganization and the construction of the chemical reaction concept during secondary education. </w:t>
      </w:r>
      <w:r w:rsidRPr="00966682">
        <w:rPr>
          <w:i/>
        </w:rPr>
        <w:t>International Journal of Science Education,</w:t>
      </w:r>
      <w:r w:rsidRPr="00966682">
        <w:t xml:space="preserve"> 20(2)</w:t>
      </w:r>
      <w:r w:rsidRPr="00966682">
        <w:rPr>
          <w:b/>
        </w:rPr>
        <w:t>,</w:t>
      </w:r>
      <w:r w:rsidRPr="00966682">
        <w:t xml:space="preserve"> 205-221.</w:t>
      </w:r>
    </w:p>
    <w:p w14:paraId="47793076" w14:textId="3CABEBDA" w:rsidR="00B46FF9" w:rsidRDefault="00E2754C" w:rsidP="00E24309">
      <w:pPr>
        <w:spacing w:after="180"/>
      </w:pPr>
      <w:r>
        <w:fldChar w:fldCharType="end"/>
      </w:r>
    </w:p>
    <w:sectPr w:rsidR="00B46FF9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777BA2" w14:textId="77777777" w:rsidR="00AA4539" w:rsidRDefault="00AA4539" w:rsidP="000B473B">
      <w:r>
        <w:separator/>
      </w:r>
    </w:p>
  </w:endnote>
  <w:endnote w:type="continuationSeparator" w:id="0">
    <w:p w14:paraId="382A46A2" w14:textId="77777777" w:rsidR="00AA4539" w:rsidRDefault="00AA4539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B600D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1494C62F" wp14:editId="2A83C2BB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E1355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C1460B">
      <w:rPr>
        <w:noProof/>
      </w:rPr>
      <w:t>1</w:t>
    </w:r>
    <w:r>
      <w:rPr>
        <w:noProof/>
      </w:rPr>
      <w:fldChar w:fldCharType="end"/>
    </w:r>
  </w:p>
  <w:p w14:paraId="6700BF5E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C1460B">
      <w:rPr>
        <w:sz w:val="16"/>
        <w:szCs w:val="16"/>
      </w:rPr>
      <w:t>question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22BA6187" w14:textId="77777777"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>© University of York Science Education Group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585BC6" w14:textId="77777777" w:rsidR="00AA4539" w:rsidRDefault="00AA4539" w:rsidP="000B473B">
      <w:r>
        <w:separator/>
      </w:r>
    </w:p>
  </w:footnote>
  <w:footnote w:type="continuationSeparator" w:id="0">
    <w:p w14:paraId="345E9F11" w14:textId="77777777" w:rsidR="00AA4539" w:rsidRDefault="00AA4539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07C3EA" w14:textId="77777777"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5B414913" wp14:editId="729D50EA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8361A3F" wp14:editId="6E999277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E5A7C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3BD4F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1BD2489E" wp14:editId="6D389037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2E017E60" wp14:editId="0A59EE0A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EE6EE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9189A"/>
    <w:multiLevelType w:val="hybridMultilevel"/>
    <w:tmpl w:val="AFACFAA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C1460B"/>
    <w:rsid w:val="00015578"/>
    <w:rsid w:val="00024731"/>
    <w:rsid w:val="00026DEC"/>
    <w:rsid w:val="000505CA"/>
    <w:rsid w:val="0007651D"/>
    <w:rsid w:val="00076EBC"/>
    <w:rsid w:val="0009089A"/>
    <w:rsid w:val="000947E2"/>
    <w:rsid w:val="00095E04"/>
    <w:rsid w:val="000B45C3"/>
    <w:rsid w:val="000B473B"/>
    <w:rsid w:val="000D0E89"/>
    <w:rsid w:val="000E2689"/>
    <w:rsid w:val="00142613"/>
    <w:rsid w:val="00144DA7"/>
    <w:rsid w:val="00147CB9"/>
    <w:rsid w:val="0015356E"/>
    <w:rsid w:val="001549AD"/>
    <w:rsid w:val="00161D3F"/>
    <w:rsid w:val="001915D4"/>
    <w:rsid w:val="001A1F51"/>
    <w:rsid w:val="001A1FED"/>
    <w:rsid w:val="001A40E2"/>
    <w:rsid w:val="001C4805"/>
    <w:rsid w:val="00201AC2"/>
    <w:rsid w:val="00214608"/>
    <w:rsid w:val="0021607B"/>
    <w:rsid w:val="002178AC"/>
    <w:rsid w:val="0022547C"/>
    <w:rsid w:val="00242736"/>
    <w:rsid w:val="0025410A"/>
    <w:rsid w:val="0027553E"/>
    <w:rsid w:val="0028012F"/>
    <w:rsid w:val="002828DF"/>
    <w:rsid w:val="00287876"/>
    <w:rsid w:val="00292C53"/>
    <w:rsid w:val="00294E22"/>
    <w:rsid w:val="002963A5"/>
    <w:rsid w:val="002C22EA"/>
    <w:rsid w:val="002C59BA"/>
    <w:rsid w:val="002E5626"/>
    <w:rsid w:val="00301AA9"/>
    <w:rsid w:val="003117F6"/>
    <w:rsid w:val="00317914"/>
    <w:rsid w:val="00323334"/>
    <w:rsid w:val="003533B8"/>
    <w:rsid w:val="003752BE"/>
    <w:rsid w:val="003A346A"/>
    <w:rsid w:val="003B2917"/>
    <w:rsid w:val="003B541B"/>
    <w:rsid w:val="003B6C5D"/>
    <w:rsid w:val="003E2B2F"/>
    <w:rsid w:val="003E6046"/>
    <w:rsid w:val="003F16F9"/>
    <w:rsid w:val="00402E34"/>
    <w:rsid w:val="0041042A"/>
    <w:rsid w:val="0042094D"/>
    <w:rsid w:val="00430C1F"/>
    <w:rsid w:val="00442595"/>
    <w:rsid w:val="0045323E"/>
    <w:rsid w:val="004A7241"/>
    <w:rsid w:val="004B0EE1"/>
    <w:rsid w:val="004C5D20"/>
    <w:rsid w:val="004D0D83"/>
    <w:rsid w:val="004E1DF1"/>
    <w:rsid w:val="004E5592"/>
    <w:rsid w:val="004F039C"/>
    <w:rsid w:val="0050055B"/>
    <w:rsid w:val="00524710"/>
    <w:rsid w:val="00542B6E"/>
    <w:rsid w:val="00555342"/>
    <w:rsid w:val="005560E2"/>
    <w:rsid w:val="00597BDD"/>
    <w:rsid w:val="005A452E"/>
    <w:rsid w:val="005A6EE7"/>
    <w:rsid w:val="005B3BB1"/>
    <w:rsid w:val="005F1A7B"/>
    <w:rsid w:val="0063217C"/>
    <w:rsid w:val="006355D8"/>
    <w:rsid w:val="00642ECD"/>
    <w:rsid w:val="006502A0"/>
    <w:rsid w:val="006772F5"/>
    <w:rsid w:val="00695159"/>
    <w:rsid w:val="006A4440"/>
    <w:rsid w:val="006A53D6"/>
    <w:rsid w:val="006B0615"/>
    <w:rsid w:val="006D166B"/>
    <w:rsid w:val="006F3279"/>
    <w:rsid w:val="006F6C6B"/>
    <w:rsid w:val="00704AEE"/>
    <w:rsid w:val="00714F1D"/>
    <w:rsid w:val="00722F9A"/>
    <w:rsid w:val="00754539"/>
    <w:rsid w:val="00781BC6"/>
    <w:rsid w:val="007A3C86"/>
    <w:rsid w:val="007A683E"/>
    <w:rsid w:val="007A748B"/>
    <w:rsid w:val="007C26E1"/>
    <w:rsid w:val="007D1D65"/>
    <w:rsid w:val="007E0A9E"/>
    <w:rsid w:val="007E5309"/>
    <w:rsid w:val="007F5D5D"/>
    <w:rsid w:val="00800DE1"/>
    <w:rsid w:val="00813F47"/>
    <w:rsid w:val="008450D6"/>
    <w:rsid w:val="00845283"/>
    <w:rsid w:val="00856FCA"/>
    <w:rsid w:val="00873B8C"/>
    <w:rsid w:val="00880E3B"/>
    <w:rsid w:val="008A405F"/>
    <w:rsid w:val="008C7F34"/>
    <w:rsid w:val="008E580C"/>
    <w:rsid w:val="0090047A"/>
    <w:rsid w:val="00925026"/>
    <w:rsid w:val="00931264"/>
    <w:rsid w:val="00942A4B"/>
    <w:rsid w:val="00950CB9"/>
    <w:rsid w:val="00961B23"/>
    <w:rsid w:val="00961D59"/>
    <w:rsid w:val="00966682"/>
    <w:rsid w:val="0097784F"/>
    <w:rsid w:val="009B2CE4"/>
    <w:rsid w:val="009B2D55"/>
    <w:rsid w:val="009C0343"/>
    <w:rsid w:val="009E0D11"/>
    <w:rsid w:val="00A109B4"/>
    <w:rsid w:val="00A24A16"/>
    <w:rsid w:val="00A37D14"/>
    <w:rsid w:val="00A42C0B"/>
    <w:rsid w:val="00A6111E"/>
    <w:rsid w:val="00A6168B"/>
    <w:rsid w:val="00A62028"/>
    <w:rsid w:val="00AA4539"/>
    <w:rsid w:val="00AA6236"/>
    <w:rsid w:val="00AB6AE7"/>
    <w:rsid w:val="00AD21F5"/>
    <w:rsid w:val="00AD7E96"/>
    <w:rsid w:val="00B06225"/>
    <w:rsid w:val="00B15856"/>
    <w:rsid w:val="00B23C7A"/>
    <w:rsid w:val="00B305F5"/>
    <w:rsid w:val="00B46FF9"/>
    <w:rsid w:val="00B47E1D"/>
    <w:rsid w:val="00B75483"/>
    <w:rsid w:val="00BA7952"/>
    <w:rsid w:val="00BB44B4"/>
    <w:rsid w:val="00BF0706"/>
    <w:rsid w:val="00BF0BBF"/>
    <w:rsid w:val="00BF1AE0"/>
    <w:rsid w:val="00BF4C76"/>
    <w:rsid w:val="00BF6C8A"/>
    <w:rsid w:val="00BF6FA6"/>
    <w:rsid w:val="00C05571"/>
    <w:rsid w:val="00C1460B"/>
    <w:rsid w:val="00C246CE"/>
    <w:rsid w:val="00C512D6"/>
    <w:rsid w:val="00C54711"/>
    <w:rsid w:val="00C57FA2"/>
    <w:rsid w:val="00CC2E4D"/>
    <w:rsid w:val="00CC78A5"/>
    <w:rsid w:val="00CC7B16"/>
    <w:rsid w:val="00CE15FE"/>
    <w:rsid w:val="00CF1237"/>
    <w:rsid w:val="00CF16DB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760D4"/>
    <w:rsid w:val="00DC4A4E"/>
    <w:rsid w:val="00DD1874"/>
    <w:rsid w:val="00DD63BD"/>
    <w:rsid w:val="00DF05DB"/>
    <w:rsid w:val="00DF7E20"/>
    <w:rsid w:val="00E172C6"/>
    <w:rsid w:val="00E24309"/>
    <w:rsid w:val="00E2754C"/>
    <w:rsid w:val="00E53D82"/>
    <w:rsid w:val="00E9330A"/>
    <w:rsid w:val="00EB1BC9"/>
    <w:rsid w:val="00EE6B97"/>
    <w:rsid w:val="00F12C3B"/>
    <w:rsid w:val="00F26884"/>
    <w:rsid w:val="00F56B10"/>
    <w:rsid w:val="00F72ECC"/>
    <w:rsid w:val="00F8355F"/>
    <w:rsid w:val="00FA3196"/>
    <w:rsid w:val="00FA5B3A"/>
    <w:rsid w:val="00F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209FBD"/>
  <w15:docId w15:val="{7D67B1D9-38F9-4150-9904-110DE17C9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paragraph" w:styleId="Heading1">
    <w:name w:val="heading 1"/>
    <w:basedOn w:val="Normal"/>
    <w:link w:val="Heading1Char"/>
    <w:uiPriority w:val="9"/>
    <w:qFormat/>
    <w:rsid w:val="001549AD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549AD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styleId="Hyperlink">
    <w:name w:val="Hyperlink"/>
    <w:basedOn w:val="DefaultParagraphFont"/>
    <w:uiPriority w:val="99"/>
    <w:unhideWhenUsed/>
    <w:rsid w:val="001549A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49AD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E2754C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E2754C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E2754C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E2754C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7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953</Words>
  <Characters>5433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Images:  Capt. John Yossarian [CC BY-SA 3.0  (https://creativecommons.org/licens</vt:lpstr>
    </vt:vector>
  </TitlesOfParts>
  <Company>The University of York</Company>
  <LinksUpToDate>false</LinksUpToDate>
  <CharactersWithSpaces>6374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HEC Harden</cp:lastModifiedBy>
  <cp:revision>6</cp:revision>
  <cp:lastPrinted>2018-10-04T15:15:00Z</cp:lastPrinted>
  <dcterms:created xsi:type="dcterms:W3CDTF">2018-09-20T11:34:00Z</dcterms:created>
  <dcterms:modified xsi:type="dcterms:W3CDTF">2018-11-27T10:08:00Z</dcterms:modified>
</cp:coreProperties>
</file>