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17E0E" w14:textId="3FA2DA7C" w:rsidR="00201AC2" w:rsidRPr="007F6C7C" w:rsidRDefault="001728E5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Reacting</w:t>
      </w:r>
      <w:r w:rsidR="007F6C7C" w:rsidRPr="007F6C7C">
        <w:rPr>
          <w:b/>
          <w:sz w:val="44"/>
          <w:szCs w:val="44"/>
        </w:rPr>
        <w:t xml:space="preserve"> elements</w:t>
      </w:r>
    </w:p>
    <w:p w14:paraId="3E3D8E11" w14:textId="77777777" w:rsidR="00201AC2" w:rsidRPr="007F6C7C" w:rsidRDefault="00201AC2" w:rsidP="00201AC2">
      <w:pPr>
        <w:spacing w:after="180"/>
      </w:pPr>
    </w:p>
    <w:p w14:paraId="7A501E7E" w14:textId="6FB62FCB" w:rsidR="00B23B31" w:rsidRPr="007F6C7C" w:rsidRDefault="007F6C7C" w:rsidP="00201AC2">
      <w:pPr>
        <w:spacing w:after="180"/>
      </w:pPr>
      <w:r w:rsidRPr="007F6C7C">
        <w:t xml:space="preserve">When elements react, they </w:t>
      </w:r>
      <w:r w:rsidR="0079401D">
        <w:t>form a</w:t>
      </w:r>
      <w:r w:rsidRPr="007F6C7C">
        <w:t xml:space="preserve"> compound.</w:t>
      </w:r>
    </w:p>
    <w:p w14:paraId="42DE6C1F" w14:textId="414C7525" w:rsidR="00201AC2" w:rsidRDefault="00FA1608" w:rsidP="00201AC2">
      <w:pPr>
        <w:pStyle w:val="ListParagraph"/>
        <w:numPr>
          <w:ilvl w:val="0"/>
          <w:numId w:val="2"/>
        </w:numPr>
        <w:spacing w:after="180"/>
        <w:ind w:left="567" w:hanging="567"/>
        <w:contextualSpacing w:val="0"/>
      </w:pPr>
      <w:r>
        <w:t>Iron reacts with sulfur</w:t>
      </w:r>
      <w:r w:rsidR="00826262">
        <w:t>. This makes</w:t>
      </w:r>
      <w:r>
        <w:t xml:space="preserve"> iron sulfide.</w:t>
      </w:r>
    </w:p>
    <w:p w14:paraId="7FB591A5" w14:textId="77777777" w:rsidR="00FA1608" w:rsidRDefault="00FA1608" w:rsidP="00FA1608">
      <w:pPr>
        <w:pStyle w:val="ListParagraph"/>
        <w:numPr>
          <w:ilvl w:val="1"/>
          <w:numId w:val="2"/>
        </w:numPr>
        <w:spacing w:after="180"/>
        <w:contextualSpacing w:val="0"/>
      </w:pPr>
    </w:p>
    <w:p w14:paraId="5A40785F" w14:textId="73A155D5" w:rsidR="007F6C7C" w:rsidRDefault="007F6C7C" w:rsidP="00FA1608">
      <w:pPr>
        <w:pStyle w:val="ListParagraph"/>
        <w:numPr>
          <w:ilvl w:val="2"/>
          <w:numId w:val="2"/>
        </w:numPr>
        <w:spacing w:after="180"/>
        <w:contextualSpacing w:val="0"/>
      </w:pPr>
      <w:r w:rsidRPr="007F6C7C">
        <w:t xml:space="preserve">Write </w:t>
      </w:r>
      <w:r w:rsidR="00267CF5">
        <w:t xml:space="preserve">down the </w:t>
      </w:r>
      <w:r w:rsidR="00FA1608">
        <w:t>state and colour of iron, sulfur and iron sulfide in the table below.</w:t>
      </w:r>
    </w:p>
    <w:p w14:paraId="0F66C5FE" w14:textId="43D86150" w:rsidR="00FA1608" w:rsidRDefault="00FA1608" w:rsidP="00FA1608">
      <w:pPr>
        <w:pStyle w:val="ListParagraph"/>
        <w:numPr>
          <w:ilvl w:val="2"/>
          <w:numId w:val="2"/>
        </w:numPr>
        <w:spacing w:after="180"/>
        <w:contextualSpacing w:val="0"/>
      </w:pPr>
      <w:r>
        <w:t>Add a tick if the substance is magn</w:t>
      </w:r>
      <w:r w:rsidR="00A74A7C">
        <w:t>etic.</w:t>
      </w:r>
    </w:p>
    <w:tbl>
      <w:tblPr>
        <w:tblStyle w:val="TableGrid"/>
        <w:tblpPr w:leftFromText="180" w:rightFromText="180" w:vertAnchor="text" w:horzAnchor="margin" w:tblpXSpec="right" w:tblpY="-35"/>
        <w:tblW w:w="0" w:type="auto"/>
        <w:tblLook w:val="04A0" w:firstRow="1" w:lastRow="0" w:firstColumn="1" w:lastColumn="0" w:noHBand="0" w:noVBand="1"/>
      </w:tblPr>
      <w:tblGrid>
        <w:gridCol w:w="1272"/>
        <w:gridCol w:w="2098"/>
        <w:gridCol w:w="2113"/>
        <w:gridCol w:w="2120"/>
      </w:tblGrid>
      <w:tr w:rsidR="00FA1608" w14:paraId="3864ED88" w14:textId="77777777" w:rsidTr="00FA1608">
        <w:tc>
          <w:tcPr>
            <w:tcW w:w="1272" w:type="dxa"/>
          </w:tcPr>
          <w:p w14:paraId="7061D9EC" w14:textId="77777777" w:rsidR="00FA1608" w:rsidRDefault="00FA1608" w:rsidP="00FA1608">
            <w:pPr>
              <w:pStyle w:val="ListParagraph"/>
              <w:spacing w:after="180"/>
              <w:ind w:left="0"/>
              <w:contextualSpacing w:val="0"/>
            </w:pPr>
          </w:p>
        </w:tc>
        <w:tc>
          <w:tcPr>
            <w:tcW w:w="2098" w:type="dxa"/>
          </w:tcPr>
          <w:p w14:paraId="74F21C88" w14:textId="77777777" w:rsidR="00FA1608" w:rsidRDefault="00FA1608" w:rsidP="00FA1608">
            <w:pPr>
              <w:pStyle w:val="ListParagraph"/>
              <w:spacing w:after="180"/>
              <w:ind w:left="0"/>
              <w:contextualSpacing w:val="0"/>
            </w:pPr>
            <w:r>
              <w:t xml:space="preserve">iron </w:t>
            </w:r>
          </w:p>
        </w:tc>
        <w:tc>
          <w:tcPr>
            <w:tcW w:w="2113" w:type="dxa"/>
          </w:tcPr>
          <w:p w14:paraId="073D7988" w14:textId="77777777" w:rsidR="00FA1608" w:rsidRDefault="00FA1608" w:rsidP="00FA1608">
            <w:pPr>
              <w:pStyle w:val="ListParagraph"/>
              <w:spacing w:after="180"/>
              <w:ind w:left="0"/>
              <w:contextualSpacing w:val="0"/>
            </w:pPr>
            <w:r>
              <w:t>sulfur</w:t>
            </w:r>
          </w:p>
        </w:tc>
        <w:tc>
          <w:tcPr>
            <w:tcW w:w="2120" w:type="dxa"/>
          </w:tcPr>
          <w:p w14:paraId="5C6C0E14" w14:textId="77777777" w:rsidR="00FA1608" w:rsidRDefault="00FA1608" w:rsidP="00FA1608">
            <w:pPr>
              <w:pStyle w:val="ListParagraph"/>
              <w:spacing w:after="180"/>
              <w:ind w:left="0"/>
              <w:contextualSpacing w:val="0"/>
            </w:pPr>
            <w:r>
              <w:t>iron sulfide</w:t>
            </w:r>
          </w:p>
        </w:tc>
      </w:tr>
      <w:tr w:rsidR="00FA1608" w14:paraId="215BBEF8" w14:textId="77777777" w:rsidTr="00FA1608">
        <w:tc>
          <w:tcPr>
            <w:tcW w:w="1272" w:type="dxa"/>
          </w:tcPr>
          <w:p w14:paraId="12F95333" w14:textId="77777777" w:rsidR="00FA1608" w:rsidRDefault="00FA1608" w:rsidP="00FA1608">
            <w:pPr>
              <w:pStyle w:val="ListParagraph"/>
              <w:spacing w:after="180"/>
              <w:ind w:left="0"/>
              <w:contextualSpacing w:val="0"/>
            </w:pPr>
            <w:r>
              <w:t>state</w:t>
            </w:r>
          </w:p>
        </w:tc>
        <w:tc>
          <w:tcPr>
            <w:tcW w:w="2098" w:type="dxa"/>
          </w:tcPr>
          <w:p w14:paraId="01F98860" w14:textId="77777777" w:rsidR="00FA1608" w:rsidRDefault="00FA1608" w:rsidP="00FA1608">
            <w:pPr>
              <w:pStyle w:val="ListParagraph"/>
              <w:spacing w:after="180"/>
              <w:ind w:left="0"/>
              <w:contextualSpacing w:val="0"/>
            </w:pPr>
          </w:p>
        </w:tc>
        <w:tc>
          <w:tcPr>
            <w:tcW w:w="2113" w:type="dxa"/>
          </w:tcPr>
          <w:p w14:paraId="5CF16ADE" w14:textId="77777777" w:rsidR="00FA1608" w:rsidRDefault="00FA1608" w:rsidP="00FA1608">
            <w:pPr>
              <w:pStyle w:val="ListParagraph"/>
              <w:spacing w:after="180"/>
              <w:ind w:left="0"/>
              <w:contextualSpacing w:val="0"/>
            </w:pPr>
          </w:p>
        </w:tc>
        <w:tc>
          <w:tcPr>
            <w:tcW w:w="2120" w:type="dxa"/>
          </w:tcPr>
          <w:p w14:paraId="349DB5FF" w14:textId="77777777" w:rsidR="00FA1608" w:rsidRDefault="00FA1608" w:rsidP="00FA1608">
            <w:pPr>
              <w:pStyle w:val="ListParagraph"/>
              <w:spacing w:after="180"/>
              <w:ind w:left="0"/>
              <w:contextualSpacing w:val="0"/>
            </w:pPr>
          </w:p>
        </w:tc>
      </w:tr>
      <w:tr w:rsidR="00FA1608" w14:paraId="2D73ED0F" w14:textId="77777777" w:rsidTr="00FA1608">
        <w:tc>
          <w:tcPr>
            <w:tcW w:w="1272" w:type="dxa"/>
          </w:tcPr>
          <w:p w14:paraId="57BA06EF" w14:textId="77777777" w:rsidR="00FA1608" w:rsidRDefault="00FA1608" w:rsidP="00FA1608">
            <w:pPr>
              <w:pStyle w:val="ListParagraph"/>
              <w:spacing w:after="180"/>
              <w:ind w:left="0"/>
              <w:contextualSpacing w:val="0"/>
            </w:pPr>
            <w:r>
              <w:t>colour</w:t>
            </w:r>
          </w:p>
        </w:tc>
        <w:tc>
          <w:tcPr>
            <w:tcW w:w="2098" w:type="dxa"/>
          </w:tcPr>
          <w:p w14:paraId="16A8ECAC" w14:textId="77777777" w:rsidR="00FA1608" w:rsidRDefault="00FA1608" w:rsidP="00FA1608">
            <w:pPr>
              <w:pStyle w:val="ListParagraph"/>
              <w:spacing w:after="180"/>
              <w:ind w:left="0"/>
              <w:contextualSpacing w:val="0"/>
            </w:pPr>
          </w:p>
        </w:tc>
        <w:tc>
          <w:tcPr>
            <w:tcW w:w="2113" w:type="dxa"/>
          </w:tcPr>
          <w:p w14:paraId="698C40E6" w14:textId="77777777" w:rsidR="00FA1608" w:rsidRDefault="00FA1608" w:rsidP="00FA1608">
            <w:pPr>
              <w:pStyle w:val="ListParagraph"/>
              <w:spacing w:after="180"/>
              <w:ind w:left="0"/>
              <w:contextualSpacing w:val="0"/>
            </w:pPr>
          </w:p>
        </w:tc>
        <w:tc>
          <w:tcPr>
            <w:tcW w:w="2120" w:type="dxa"/>
          </w:tcPr>
          <w:p w14:paraId="44A29D28" w14:textId="77777777" w:rsidR="00FA1608" w:rsidRDefault="00FA1608" w:rsidP="00FA1608">
            <w:pPr>
              <w:pStyle w:val="ListParagraph"/>
              <w:spacing w:after="180"/>
              <w:ind w:left="0"/>
              <w:contextualSpacing w:val="0"/>
            </w:pPr>
          </w:p>
        </w:tc>
      </w:tr>
      <w:tr w:rsidR="00FA1608" w14:paraId="2C87E7DA" w14:textId="77777777" w:rsidTr="00FA1608">
        <w:tc>
          <w:tcPr>
            <w:tcW w:w="1272" w:type="dxa"/>
          </w:tcPr>
          <w:p w14:paraId="09A7DA17" w14:textId="6828D519" w:rsidR="00FA1608" w:rsidRDefault="00826262" w:rsidP="00FA1608">
            <w:pPr>
              <w:pStyle w:val="ListParagraph"/>
              <w:spacing w:after="180"/>
              <w:ind w:left="0"/>
              <w:contextualSpacing w:val="0"/>
            </w:pPr>
            <w:r>
              <w:t>m</w:t>
            </w:r>
            <w:r w:rsidR="00FA1608">
              <w:t>agnetic?</w:t>
            </w:r>
          </w:p>
        </w:tc>
        <w:tc>
          <w:tcPr>
            <w:tcW w:w="2098" w:type="dxa"/>
          </w:tcPr>
          <w:p w14:paraId="07666878" w14:textId="77777777" w:rsidR="00FA1608" w:rsidRDefault="00FA1608" w:rsidP="00FA1608">
            <w:pPr>
              <w:pStyle w:val="ListParagraph"/>
              <w:spacing w:after="180"/>
              <w:ind w:left="0"/>
              <w:contextualSpacing w:val="0"/>
            </w:pPr>
          </w:p>
        </w:tc>
        <w:tc>
          <w:tcPr>
            <w:tcW w:w="2113" w:type="dxa"/>
          </w:tcPr>
          <w:p w14:paraId="7EC27B56" w14:textId="77777777" w:rsidR="00FA1608" w:rsidRDefault="00FA1608" w:rsidP="00FA1608">
            <w:pPr>
              <w:pStyle w:val="ListParagraph"/>
              <w:spacing w:after="180"/>
              <w:ind w:left="0"/>
              <w:contextualSpacing w:val="0"/>
            </w:pPr>
          </w:p>
        </w:tc>
        <w:tc>
          <w:tcPr>
            <w:tcW w:w="2120" w:type="dxa"/>
          </w:tcPr>
          <w:p w14:paraId="060297D8" w14:textId="77777777" w:rsidR="00FA1608" w:rsidRDefault="00FA1608" w:rsidP="00FA1608">
            <w:pPr>
              <w:pStyle w:val="ListParagraph"/>
              <w:spacing w:after="180"/>
              <w:ind w:left="0"/>
              <w:contextualSpacing w:val="0"/>
            </w:pPr>
          </w:p>
        </w:tc>
      </w:tr>
    </w:tbl>
    <w:p w14:paraId="2AFEF1CC" w14:textId="1B040B20" w:rsidR="00FA1608" w:rsidRDefault="00FA1608" w:rsidP="00FA1608">
      <w:pPr>
        <w:pStyle w:val="ListParagraph"/>
        <w:numPr>
          <w:ilvl w:val="1"/>
          <w:numId w:val="2"/>
        </w:numPr>
        <w:spacing w:after="180"/>
        <w:contextualSpacing w:val="0"/>
      </w:pPr>
      <w:r>
        <w:t>Now watch the reaction between iron and sulfur.</w:t>
      </w:r>
    </w:p>
    <w:p w14:paraId="58D5C59B" w14:textId="362E8DFA" w:rsidR="00FA1608" w:rsidRDefault="00FA1608" w:rsidP="00FA1608">
      <w:pPr>
        <w:pStyle w:val="ListParagraph"/>
        <w:spacing w:after="180"/>
        <w:ind w:left="1440"/>
        <w:contextualSpacing w:val="0"/>
      </w:pPr>
      <w:r>
        <w:t>What evidence can you see that a new substance (iron sulfide) has been made?</w:t>
      </w:r>
    </w:p>
    <w:p w14:paraId="33097282" w14:textId="7BA76C4B" w:rsidR="00FA1608" w:rsidRDefault="00FA1608" w:rsidP="00FA1608">
      <w:pPr>
        <w:pStyle w:val="ListParagraph"/>
        <w:numPr>
          <w:ilvl w:val="0"/>
          <w:numId w:val="2"/>
        </w:numPr>
        <w:spacing w:after="180"/>
        <w:contextualSpacing w:val="0"/>
      </w:pPr>
      <w:r>
        <w:t>Sodium reacts with chlorine making sodium chloride.</w:t>
      </w:r>
    </w:p>
    <w:p w14:paraId="60F2684A" w14:textId="2D51FB4D" w:rsidR="00FA1608" w:rsidRDefault="00FA1608" w:rsidP="00FA1608">
      <w:pPr>
        <w:pStyle w:val="ListParagraph"/>
        <w:numPr>
          <w:ilvl w:val="1"/>
          <w:numId w:val="2"/>
        </w:numPr>
        <w:spacing w:after="180"/>
        <w:contextualSpacing w:val="0"/>
      </w:pPr>
      <w:r>
        <w:t xml:space="preserve">Write the state and colour of sodium, chlorine and sodium chloride in the table below. 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1272"/>
        <w:gridCol w:w="2098"/>
        <w:gridCol w:w="2113"/>
        <w:gridCol w:w="2120"/>
      </w:tblGrid>
      <w:tr w:rsidR="00FA1608" w14:paraId="44E39A5A" w14:textId="77777777" w:rsidTr="00734B41">
        <w:tc>
          <w:tcPr>
            <w:tcW w:w="1272" w:type="dxa"/>
          </w:tcPr>
          <w:p w14:paraId="18CB26D7" w14:textId="77777777" w:rsidR="00FA1608" w:rsidRDefault="00FA1608" w:rsidP="00734B41">
            <w:pPr>
              <w:pStyle w:val="ListParagraph"/>
              <w:spacing w:after="180"/>
              <w:ind w:left="0"/>
              <w:contextualSpacing w:val="0"/>
            </w:pPr>
          </w:p>
        </w:tc>
        <w:tc>
          <w:tcPr>
            <w:tcW w:w="2098" w:type="dxa"/>
          </w:tcPr>
          <w:p w14:paraId="449DBC0E" w14:textId="2292472E" w:rsidR="00FA1608" w:rsidRDefault="00FA1608" w:rsidP="00734B41">
            <w:pPr>
              <w:pStyle w:val="ListParagraph"/>
              <w:spacing w:after="180"/>
              <w:ind w:left="0"/>
              <w:contextualSpacing w:val="0"/>
            </w:pPr>
            <w:r>
              <w:t>sodium</w:t>
            </w:r>
          </w:p>
        </w:tc>
        <w:tc>
          <w:tcPr>
            <w:tcW w:w="2113" w:type="dxa"/>
          </w:tcPr>
          <w:p w14:paraId="72443688" w14:textId="768E1407" w:rsidR="00FA1608" w:rsidRDefault="00FA1608" w:rsidP="00734B41">
            <w:pPr>
              <w:pStyle w:val="ListParagraph"/>
              <w:spacing w:after="180"/>
              <w:ind w:left="0"/>
              <w:contextualSpacing w:val="0"/>
            </w:pPr>
            <w:r>
              <w:t>chlorine</w:t>
            </w:r>
          </w:p>
        </w:tc>
        <w:tc>
          <w:tcPr>
            <w:tcW w:w="2120" w:type="dxa"/>
          </w:tcPr>
          <w:p w14:paraId="3DECEA41" w14:textId="6B046511" w:rsidR="00FA1608" w:rsidRDefault="00FA1608" w:rsidP="00734B41">
            <w:pPr>
              <w:pStyle w:val="ListParagraph"/>
              <w:spacing w:after="180"/>
              <w:ind w:left="0"/>
              <w:contextualSpacing w:val="0"/>
            </w:pPr>
            <w:r>
              <w:t>sodium chloride</w:t>
            </w:r>
          </w:p>
        </w:tc>
      </w:tr>
      <w:tr w:rsidR="00FA1608" w14:paraId="6E655845" w14:textId="77777777" w:rsidTr="00734B41">
        <w:tc>
          <w:tcPr>
            <w:tcW w:w="1272" w:type="dxa"/>
          </w:tcPr>
          <w:p w14:paraId="6AA54742" w14:textId="77777777" w:rsidR="00FA1608" w:rsidRDefault="00FA1608" w:rsidP="00734B41">
            <w:pPr>
              <w:pStyle w:val="ListParagraph"/>
              <w:spacing w:after="180"/>
              <w:ind w:left="0"/>
              <w:contextualSpacing w:val="0"/>
            </w:pPr>
            <w:r>
              <w:t>state</w:t>
            </w:r>
          </w:p>
        </w:tc>
        <w:tc>
          <w:tcPr>
            <w:tcW w:w="2098" w:type="dxa"/>
          </w:tcPr>
          <w:p w14:paraId="61ABA3A3" w14:textId="77777777" w:rsidR="00FA1608" w:rsidRDefault="00FA1608" w:rsidP="00734B41">
            <w:pPr>
              <w:pStyle w:val="ListParagraph"/>
              <w:spacing w:after="180"/>
              <w:ind w:left="0"/>
              <w:contextualSpacing w:val="0"/>
            </w:pPr>
          </w:p>
        </w:tc>
        <w:tc>
          <w:tcPr>
            <w:tcW w:w="2113" w:type="dxa"/>
          </w:tcPr>
          <w:p w14:paraId="10B19D4D" w14:textId="77777777" w:rsidR="00FA1608" w:rsidRDefault="00FA1608" w:rsidP="00734B41">
            <w:pPr>
              <w:pStyle w:val="ListParagraph"/>
              <w:spacing w:after="180"/>
              <w:ind w:left="0"/>
              <w:contextualSpacing w:val="0"/>
            </w:pPr>
          </w:p>
        </w:tc>
        <w:tc>
          <w:tcPr>
            <w:tcW w:w="2120" w:type="dxa"/>
          </w:tcPr>
          <w:p w14:paraId="08EC5AD5" w14:textId="77777777" w:rsidR="00FA1608" w:rsidRDefault="00FA1608" w:rsidP="00734B41">
            <w:pPr>
              <w:pStyle w:val="ListParagraph"/>
              <w:spacing w:after="180"/>
              <w:ind w:left="0"/>
              <w:contextualSpacing w:val="0"/>
            </w:pPr>
          </w:p>
        </w:tc>
      </w:tr>
      <w:tr w:rsidR="00FA1608" w14:paraId="0B3AD3B2" w14:textId="77777777" w:rsidTr="00734B41">
        <w:tc>
          <w:tcPr>
            <w:tcW w:w="1272" w:type="dxa"/>
          </w:tcPr>
          <w:p w14:paraId="40F8466D" w14:textId="77777777" w:rsidR="00FA1608" w:rsidRDefault="00FA1608" w:rsidP="00734B41">
            <w:pPr>
              <w:pStyle w:val="ListParagraph"/>
              <w:spacing w:after="180"/>
              <w:ind w:left="0"/>
              <w:contextualSpacing w:val="0"/>
            </w:pPr>
            <w:r>
              <w:t>colour</w:t>
            </w:r>
          </w:p>
        </w:tc>
        <w:tc>
          <w:tcPr>
            <w:tcW w:w="2098" w:type="dxa"/>
          </w:tcPr>
          <w:p w14:paraId="0FB2AB14" w14:textId="77777777" w:rsidR="00FA1608" w:rsidRDefault="00FA1608" w:rsidP="00734B41">
            <w:pPr>
              <w:pStyle w:val="ListParagraph"/>
              <w:spacing w:after="180"/>
              <w:ind w:left="0"/>
              <w:contextualSpacing w:val="0"/>
            </w:pPr>
          </w:p>
        </w:tc>
        <w:tc>
          <w:tcPr>
            <w:tcW w:w="2113" w:type="dxa"/>
          </w:tcPr>
          <w:p w14:paraId="5459CBD2" w14:textId="77777777" w:rsidR="00FA1608" w:rsidRDefault="00FA1608" w:rsidP="00734B41">
            <w:pPr>
              <w:pStyle w:val="ListParagraph"/>
              <w:spacing w:after="180"/>
              <w:ind w:left="0"/>
              <w:contextualSpacing w:val="0"/>
            </w:pPr>
          </w:p>
        </w:tc>
        <w:tc>
          <w:tcPr>
            <w:tcW w:w="2120" w:type="dxa"/>
          </w:tcPr>
          <w:p w14:paraId="13ED21EA" w14:textId="77777777" w:rsidR="00FA1608" w:rsidRDefault="00FA1608" w:rsidP="00734B41">
            <w:pPr>
              <w:pStyle w:val="ListParagraph"/>
              <w:spacing w:after="180"/>
              <w:ind w:left="0"/>
              <w:contextualSpacing w:val="0"/>
            </w:pPr>
          </w:p>
        </w:tc>
      </w:tr>
    </w:tbl>
    <w:p w14:paraId="2D13C1DB" w14:textId="77777777" w:rsidR="00FA1608" w:rsidRDefault="00FA1608" w:rsidP="00FA1608">
      <w:pPr>
        <w:pStyle w:val="ListParagraph"/>
        <w:spacing w:after="180"/>
        <w:ind w:left="1440"/>
        <w:contextualSpacing w:val="0"/>
      </w:pPr>
    </w:p>
    <w:p w14:paraId="262EA49D" w14:textId="6BEE3913" w:rsidR="00FA1608" w:rsidRDefault="00FA1608" w:rsidP="00FA1608">
      <w:pPr>
        <w:pStyle w:val="ListParagraph"/>
        <w:numPr>
          <w:ilvl w:val="1"/>
          <w:numId w:val="2"/>
        </w:numPr>
        <w:spacing w:after="180"/>
        <w:contextualSpacing w:val="0"/>
      </w:pPr>
      <w:r>
        <w:t>Now watch the reaction between sodium and chlorine.</w:t>
      </w:r>
    </w:p>
    <w:p w14:paraId="2D107528" w14:textId="23B5D549" w:rsidR="00FA1608" w:rsidRDefault="00FA1608" w:rsidP="00FA1608">
      <w:pPr>
        <w:pStyle w:val="ListParagraph"/>
        <w:spacing w:after="180"/>
        <w:ind w:left="1440"/>
        <w:contextualSpacing w:val="0"/>
      </w:pPr>
      <w:r>
        <w:t>What evidence can you see that a new substance (sodium chloride) has been made?</w:t>
      </w:r>
    </w:p>
    <w:p w14:paraId="766CD530" w14:textId="77777777" w:rsidR="00FA1608" w:rsidRDefault="00FA1608" w:rsidP="007F6C7C">
      <w:pPr>
        <w:pStyle w:val="ListParagraph"/>
        <w:spacing w:after="180"/>
        <w:ind w:left="567"/>
        <w:contextualSpacing w:val="0"/>
      </w:pPr>
    </w:p>
    <w:p w14:paraId="04709DC6" w14:textId="77777777" w:rsidR="00201AC2" w:rsidRPr="00201AC2" w:rsidRDefault="00201AC2" w:rsidP="006F3279">
      <w:pPr>
        <w:spacing w:after="240"/>
        <w:rPr>
          <w:szCs w:val="18"/>
        </w:rPr>
      </w:pPr>
    </w:p>
    <w:p w14:paraId="6F615585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7"/>
          <w:footerReference w:type="default" r:id="rId8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041AD00C" w14:textId="0A8474B5" w:rsidR="00287876" w:rsidRPr="006F3279" w:rsidRDefault="001C2E59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</w:t>
      </w:r>
      <w:r w:rsidR="0020595E">
        <w:rPr>
          <w:i/>
          <w:sz w:val="18"/>
          <w:szCs w:val="18"/>
        </w:rPr>
        <w:t>CCR: Chemical</w:t>
      </w:r>
      <w:r w:rsidR="00640DC3">
        <w:rPr>
          <w:i/>
          <w:sz w:val="18"/>
          <w:szCs w:val="18"/>
        </w:rPr>
        <w:t xml:space="preserve"> reactions</w:t>
      </w:r>
      <w:r>
        <w:rPr>
          <w:i/>
          <w:sz w:val="18"/>
          <w:szCs w:val="18"/>
        </w:rPr>
        <w:t xml:space="preserve"> &gt; Topic </w:t>
      </w:r>
      <w:r w:rsidR="00640DC3">
        <w:rPr>
          <w:i/>
          <w:sz w:val="18"/>
          <w:szCs w:val="18"/>
        </w:rPr>
        <w:t>CCR1: Chemical change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="00640DC3">
        <w:rPr>
          <w:i/>
          <w:sz w:val="18"/>
          <w:szCs w:val="18"/>
        </w:rPr>
        <w:t>CCR1.1: Formation of new substances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4B445246" w14:textId="77777777" w:rsidTr="001C2E59">
        <w:tc>
          <w:tcPr>
            <w:tcW w:w="12021" w:type="dxa"/>
            <w:shd w:val="clear" w:color="auto" w:fill="FABF8F" w:themeFill="accent6" w:themeFillTint="99"/>
          </w:tcPr>
          <w:p w14:paraId="13AC123C" w14:textId="77777777" w:rsidR="006F3279" w:rsidRPr="00CA4B46" w:rsidRDefault="00806B12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6A320F">
              <w:rPr>
                <w:b/>
                <w:sz w:val="40"/>
                <w:szCs w:val="40"/>
              </w:rPr>
              <w:t>activity</w:t>
            </w:r>
          </w:p>
        </w:tc>
      </w:tr>
      <w:tr w:rsidR="006F3279" w14:paraId="23D4C145" w14:textId="77777777" w:rsidTr="00640DC3">
        <w:tc>
          <w:tcPr>
            <w:tcW w:w="12021" w:type="dxa"/>
            <w:shd w:val="clear" w:color="auto" w:fill="auto"/>
          </w:tcPr>
          <w:p w14:paraId="17153667" w14:textId="56DD3616" w:rsidR="006F3279" w:rsidRPr="00CA4B46" w:rsidRDefault="001728E5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Reacting</w:t>
            </w:r>
            <w:r w:rsidR="00640DC3" w:rsidRPr="00640DC3">
              <w:rPr>
                <w:b/>
                <w:sz w:val="40"/>
                <w:szCs w:val="40"/>
              </w:rPr>
              <w:t xml:space="preserve"> elements</w:t>
            </w:r>
          </w:p>
        </w:tc>
      </w:tr>
    </w:tbl>
    <w:p w14:paraId="34074238" w14:textId="77777777" w:rsidR="006F3279" w:rsidRDefault="006F3279" w:rsidP="00E172C6">
      <w:pPr>
        <w:spacing w:after="180"/>
        <w:rPr>
          <w:b/>
        </w:rPr>
      </w:pPr>
    </w:p>
    <w:p w14:paraId="15842321" w14:textId="77777777" w:rsidR="00456227" w:rsidRPr="001C2E59" w:rsidRDefault="00456227" w:rsidP="00456227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6A320F" w14:paraId="71A0038A" w14:textId="77777777" w:rsidTr="003F16F9">
        <w:trPr>
          <w:trHeight w:val="340"/>
        </w:trPr>
        <w:tc>
          <w:tcPr>
            <w:tcW w:w="2196" w:type="dxa"/>
          </w:tcPr>
          <w:p w14:paraId="09447917" w14:textId="77777777" w:rsidR="006A320F" w:rsidRDefault="006A320F" w:rsidP="006A320F">
            <w:pPr>
              <w:spacing w:before="60" w:after="60"/>
            </w:pPr>
            <w:r>
              <w:t>Learning objective:</w:t>
            </w:r>
          </w:p>
        </w:tc>
        <w:tc>
          <w:tcPr>
            <w:tcW w:w="6820" w:type="dxa"/>
          </w:tcPr>
          <w:p w14:paraId="22E62180" w14:textId="73F4B0E0" w:rsidR="006A320F" w:rsidRPr="00640DC3" w:rsidRDefault="00640DC3" w:rsidP="006A320F">
            <w:pPr>
              <w:spacing w:before="60" w:after="60"/>
            </w:pPr>
            <w:r w:rsidRPr="00640DC3">
              <w:t>During a chemical reaction a new substance (or substances) are formed</w:t>
            </w:r>
            <w:r w:rsidR="00826262">
              <w:t xml:space="preserve"> with different properties</w:t>
            </w:r>
            <w:r w:rsidR="00A74A7C">
              <w:t>.</w:t>
            </w:r>
          </w:p>
        </w:tc>
      </w:tr>
      <w:tr w:rsidR="006A320F" w14:paraId="3E0C892D" w14:textId="77777777" w:rsidTr="003F16F9">
        <w:trPr>
          <w:trHeight w:val="340"/>
        </w:trPr>
        <w:tc>
          <w:tcPr>
            <w:tcW w:w="2196" w:type="dxa"/>
          </w:tcPr>
          <w:p w14:paraId="22B4AF62" w14:textId="77777777" w:rsidR="006A320F" w:rsidRDefault="006A320F" w:rsidP="006A320F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08B90BF6" w14:textId="6914F571" w:rsidR="006A320F" w:rsidRPr="00640DC3" w:rsidRDefault="00640DC3" w:rsidP="006A320F">
            <w:pPr>
              <w:spacing w:before="60" w:after="60"/>
            </w:pPr>
            <w:r w:rsidRPr="00640DC3">
              <w:t xml:space="preserve">Explain, at a macroscopic level, a reaction in which elements </w:t>
            </w:r>
            <w:r w:rsidR="00A74A7C" w:rsidRPr="00640DC3">
              <w:t>combine. (</w:t>
            </w:r>
            <w:r w:rsidRPr="00640DC3">
              <w:t>e.g. oxidation)</w:t>
            </w:r>
          </w:p>
        </w:tc>
      </w:tr>
      <w:tr w:rsidR="006A320F" w14:paraId="664CE8C6" w14:textId="77777777" w:rsidTr="003F16F9">
        <w:trPr>
          <w:trHeight w:val="340"/>
        </w:trPr>
        <w:tc>
          <w:tcPr>
            <w:tcW w:w="2196" w:type="dxa"/>
          </w:tcPr>
          <w:p w14:paraId="01F74EA8" w14:textId="77777777" w:rsidR="006A320F" w:rsidRDefault="00E03772" w:rsidP="006A320F">
            <w:pPr>
              <w:spacing w:before="60" w:after="60"/>
            </w:pPr>
            <w:r>
              <w:t>Activity</w:t>
            </w:r>
            <w:r w:rsidR="006A320F">
              <w:t xml:space="preserve"> type:</w:t>
            </w:r>
          </w:p>
        </w:tc>
        <w:tc>
          <w:tcPr>
            <w:tcW w:w="6820" w:type="dxa"/>
          </w:tcPr>
          <w:p w14:paraId="07912534" w14:textId="5D7D373B" w:rsidR="006A320F" w:rsidRPr="007742C5" w:rsidRDefault="007742C5" w:rsidP="006A320F">
            <w:pPr>
              <w:spacing w:before="60" w:after="60"/>
            </w:pPr>
            <w:r w:rsidRPr="007742C5">
              <w:t>challenge to thinking - demonstration</w:t>
            </w:r>
          </w:p>
        </w:tc>
      </w:tr>
      <w:tr w:rsidR="006A320F" w14:paraId="3194E1D7" w14:textId="77777777" w:rsidTr="003F16F9">
        <w:trPr>
          <w:trHeight w:val="340"/>
        </w:trPr>
        <w:tc>
          <w:tcPr>
            <w:tcW w:w="2196" w:type="dxa"/>
          </w:tcPr>
          <w:p w14:paraId="2F8ADD32" w14:textId="77777777" w:rsidR="006A320F" w:rsidRDefault="006A320F" w:rsidP="006A320F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7D549995" w14:textId="7D140712" w:rsidR="006A320F" w:rsidRPr="007742C5" w:rsidRDefault="007742C5" w:rsidP="006A320F">
            <w:pPr>
              <w:spacing w:before="60" w:after="60"/>
            </w:pPr>
            <w:r w:rsidRPr="007742C5">
              <w:t>substance, state</w:t>
            </w:r>
          </w:p>
        </w:tc>
      </w:tr>
    </w:tbl>
    <w:p w14:paraId="37A8C08F" w14:textId="77777777" w:rsidR="00E172C6" w:rsidRDefault="00E172C6" w:rsidP="00E172C6">
      <w:pPr>
        <w:spacing w:after="180"/>
      </w:pPr>
    </w:p>
    <w:p w14:paraId="5FF0046A" w14:textId="1F7D1949" w:rsidR="006A320F" w:rsidRPr="00640DC3" w:rsidRDefault="006A320F" w:rsidP="006A320F">
      <w:pPr>
        <w:spacing w:after="180"/>
      </w:pPr>
      <w:r>
        <w:t xml:space="preserve">This activity can help develop students’ understanding by addressing the </w:t>
      </w:r>
      <w:r w:rsidR="00A74A7C">
        <w:t>misunderstandings</w:t>
      </w:r>
      <w:r>
        <w:t xml:space="preserve"> revealed by the </w:t>
      </w:r>
      <w:r w:rsidRPr="00640DC3">
        <w:t>following diagnostic question:</w:t>
      </w:r>
    </w:p>
    <w:p w14:paraId="15E647E1" w14:textId="707C58A1" w:rsidR="00456227" w:rsidRPr="00640DC3" w:rsidRDefault="00640DC3" w:rsidP="00456227">
      <w:pPr>
        <w:pStyle w:val="ListParagraph"/>
        <w:numPr>
          <w:ilvl w:val="0"/>
          <w:numId w:val="1"/>
        </w:numPr>
        <w:spacing w:after="180"/>
      </w:pPr>
      <w:r w:rsidRPr="00640DC3">
        <w:t>Burning magnesium</w:t>
      </w:r>
    </w:p>
    <w:p w14:paraId="5E97F034" w14:textId="77777777" w:rsidR="00F72ECC" w:rsidRDefault="00F72ECC" w:rsidP="00F72ECC"/>
    <w:p w14:paraId="05E6E957" w14:textId="77777777" w:rsidR="00C05571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What does the research say</w:t>
      </w:r>
      <w:r w:rsidR="00C05571" w:rsidRPr="001C2E59">
        <w:rPr>
          <w:b/>
          <w:color w:val="E36C0A" w:themeColor="accent6" w:themeShade="BF"/>
          <w:sz w:val="24"/>
        </w:rPr>
        <w:t>?</w:t>
      </w:r>
    </w:p>
    <w:p w14:paraId="7BE6DCA3" w14:textId="370D8532" w:rsidR="00640DC3" w:rsidRDefault="00640DC3" w:rsidP="00640DC3">
      <w:pPr>
        <w:spacing w:after="180"/>
      </w:pPr>
      <w:r w:rsidRPr="00CD6489">
        <w:t xml:space="preserve">Research </w:t>
      </w:r>
      <w:r w:rsidRPr="00CD6489">
        <w:fldChar w:fldCharType="begin"/>
      </w:r>
      <w:r w:rsidRPr="00CD6489">
        <w:instrText xml:space="preserve"> ADDIN EN.CITE &lt;EndNote&gt;&lt;Cite&gt;&lt;Author&gt;Stavridou&lt;/Author&gt;&lt;Year&gt;1998&lt;/Year&gt;&lt;IDText&gt;Conceptual reorganization and the construction of the chemical reaction concept during secondary education.&lt;/IDText&gt;&lt;DisplayText&gt;(Stavridou and Solomonidou, 1998)&lt;/DisplayText&gt;&lt;record&gt;&lt;titles&gt;&lt;title&gt;Conceptual reorganization and the construction of the chemical reaction concept during secondary education.&lt;/title&gt;&lt;secondary-title&gt;International Journal of Science Education&lt;/secondary-title&gt;&lt;/titles&gt;&lt;pages&gt;205-221&lt;/pages&gt;&lt;number&gt;2&lt;/number&gt;&lt;contributors&gt;&lt;authors&gt;&lt;author&gt;Stavridou, Heleni&lt;/author&gt;&lt;author&gt;Solomonidou, Christina&lt;/author&gt;&lt;/authors&gt;&lt;/contributors&gt;&lt;added-date format="utc"&gt;1536664131&lt;/added-date&gt;&lt;ref-type name="Journal Article"&gt;17&lt;/ref-type&gt;&lt;dates&gt;&lt;year&gt;1998&lt;/year&gt;&lt;/dates&gt;&lt;rec-number&gt;18&lt;/rec-number&gt;&lt;last-updated-date format="utc"&gt;1536664224&lt;/last-updated-date&gt;&lt;volume&gt;20&lt;/volume&gt;&lt;/record&gt;&lt;/Cite&gt;&lt;/EndNote&gt;</w:instrText>
      </w:r>
      <w:r w:rsidRPr="00CD6489">
        <w:fldChar w:fldCharType="separate"/>
      </w:r>
      <w:r w:rsidRPr="00CD6489">
        <w:rPr>
          <w:noProof/>
        </w:rPr>
        <w:t>(Stavridou and Solomonidou, 1998)</w:t>
      </w:r>
      <w:r w:rsidRPr="00CD6489">
        <w:fldChar w:fldCharType="end"/>
      </w:r>
      <w:r w:rsidRPr="00CD6489">
        <w:t xml:space="preserve"> investigated how student thinking about chemical reactions develops. Their research showed that initially </w:t>
      </w:r>
      <w:r>
        <w:t xml:space="preserve">many </w:t>
      </w:r>
      <w:r w:rsidRPr="00CD6489">
        <w:t xml:space="preserve">students did not understand chemical reactions as changes, rather </w:t>
      </w:r>
      <w:r>
        <w:t xml:space="preserve">they </w:t>
      </w:r>
      <w:r w:rsidR="00A74A7C">
        <w:t>considered them to be</w:t>
      </w:r>
      <w:r w:rsidRPr="00CD6489">
        <w:t xml:space="preserve"> ‘events’. Their focus was on the most obvious</w:t>
      </w:r>
      <w:r w:rsidR="00A74A7C">
        <w:t xml:space="preserve"> observable</w:t>
      </w:r>
      <w:r w:rsidRPr="00CD6489">
        <w:t xml:space="preserve"> feature such as a colour change, gas release or explosion. </w:t>
      </w:r>
      <w:r>
        <w:t xml:space="preserve">The idea of the formation of a new substance </w:t>
      </w:r>
      <w:r w:rsidR="00A74A7C">
        <w:t>did appear to develop later.</w:t>
      </w:r>
    </w:p>
    <w:p w14:paraId="62AB5991" w14:textId="77777777" w:rsidR="00640DC3" w:rsidRPr="00966682" w:rsidRDefault="00640DC3" w:rsidP="00640DC3">
      <w:pPr>
        <w:spacing w:after="180"/>
      </w:pPr>
      <w:r w:rsidRPr="00966682">
        <w:t xml:space="preserve">An article </w:t>
      </w:r>
      <w:r>
        <w:fldChar w:fldCharType="begin"/>
      </w:r>
      <w:r w:rsidRPr="00966682">
        <w:instrText xml:space="preserve"> ADDIN EN.CITE &lt;EndNote&gt;&lt;Cite&gt;&lt;Author&gt;de Vos&lt;/Author&gt;&lt;Year&gt;1985&lt;/Year&gt;&lt;IDText&gt;A new road to reactions (part 1)&lt;/IDText&gt;&lt;DisplayText&gt;(de Vos and Verdonk, 1985)&lt;/DisplayText&gt;&lt;record&gt;&lt;titles&gt;&lt;title&gt;A new road to reactions (part 1)&lt;/title&gt;&lt;secondary-title&gt;Journal of Chemical Education&lt;/secondary-title&gt;&lt;/titles&gt;&lt;pages&gt;238-240&lt;/pages&gt;&lt;number&gt;3&lt;/number&gt;&lt;contributors&gt;&lt;authors&gt;&lt;author&gt;de Vos, Wobbe&lt;/author&gt;&lt;author&gt;Verdonk, Adri H.&lt;/author&gt;&lt;/authors&gt;&lt;/contributors&gt;&lt;added-date format="utc"&gt;1537267421&lt;/added-date&gt;&lt;ref-type name="Journal Article"&gt;17&lt;/ref-type&gt;&lt;dates&gt;&lt;year&gt;1985&lt;/year&gt;&lt;/dates&gt;&lt;rec-number&gt;23&lt;/rec-number&gt;&lt;last-updated-date format="utc"&gt;1537267497&lt;/last-updated-date&gt;&lt;volume&gt;62&lt;/volume&gt;&lt;/record&gt;&lt;/Cite&gt;&lt;/EndNote&gt;</w:instrText>
      </w:r>
      <w:r>
        <w:fldChar w:fldCharType="separate"/>
      </w:r>
      <w:r w:rsidRPr="00966682">
        <w:rPr>
          <w:noProof/>
        </w:rPr>
        <w:t>(de Vos and Verdonk, 1985)</w:t>
      </w:r>
      <w:r>
        <w:fldChar w:fldCharType="end"/>
      </w:r>
      <w:r w:rsidRPr="00966682">
        <w:t xml:space="preserve"> describes how more</w:t>
      </w:r>
      <w:r>
        <w:t xml:space="preserve"> ‘spectacular’ reactions may distract students from making observations that provide evidence that a new substance is formed. For example, when magnesium burns with a bright white flame, students pay attention to the flame and not the white substance (magnesium oxide) that forms as the product.</w:t>
      </w:r>
    </w:p>
    <w:p w14:paraId="374862A2" w14:textId="77777777" w:rsidR="007A748B" w:rsidRPr="001C2E59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Ways to use this</w:t>
      </w:r>
      <w:r w:rsidR="00CF6578">
        <w:rPr>
          <w:b/>
          <w:color w:val="E36C0A" w:themeColor="accent6" w:themeShade="BF"/>
          <w:sz w:val="24"/>
        </w:rPr>
        <w:t xml:space="preserve"> activity</w:t>
      </w:r>
    </w:p>
    <w:p w14:paraId="6EFCA303" w14:textId="2227EF8C" w:rsidR="00456227" w:rsidRPr="00640DC3" w:rsidRDefault="00267CF5" w:rsidP="00456227">
      <w:pPr>
        <w:spacing w:after="180"/>
      </w:pPr>
      <w:r w:rsidRPr="00640DC3">
        <w:t>Students would benefit from observing real-life samples of the elements and compounds however images could be used as an alternative.</w:t>
      </w:r>
    </w:p>
    <w:p w14:paraId="2C5298F6" w14:textId="174B62C9" w:rsidR="007742C5" w:rsidRDefault="00267CF5" w:rsidP="007742C5">
      <w:pPr>
        <w:spacing w:after="180"/>
      </w:pPr>
      <w:r w:rsidRPr="00640DC3">
        <w:t>Similarly</w:t>
      </w:r>
      <w:r w:rsidR="00640DC3">
        <w:t>,</w:t>
      </w:r>
      <w:r w:rsidRPr="00640DC3">
        <w:t xml:space="preserve"> it would be preferable for students to be able to observe a demonstration of the two reactions.</w:t>
      </w:r>
      <w:r w:rsidR="007742C5">
        <w:t xml:space="preserve"> This would give you the opportunity to explore and extend your students’ understanding through a structured teacher</w:t>
      </w:r>
      <w:r w:rsidR="00826262">
        <w:t>-l</w:t>
      </w:r>
      <w:r w:rsidR="007742C5">
        <w:t xml:space="preserve">ed discussion.  </w:t>
      </w:r>
    </w:p>
    <w:p w14:paraId="77C2F054" w14:textId="74D7A95D" w:rsidR="007742C5" w:rsidRDefault="007742C5" w:rsidP="007742C5">
      <w:r>
        <w:t xml:space="preserve">Carefully selected questions could be used to encourage students to make links between their observations and the idea that a new substance is formed when the elements </w:t>
      </w:r>
      <w:r w:rsidR="00826262">
        <w:t>react</w:t>
      </w:r>
      <w:r>
        <w:t>.</w:t>
      </w:r>
    </w:p>
    <w:p w14:paraId="11DE28DC" w14:textId="77777777" w:rsidR="007742C5" w:rsidRDefault="007742C5" w:rsidP="007742C5">
      <w:pPr>
        <w:spacing w:after="120"/>
        <w:rPr>
          <w:i/>
        </w:rPr>
      </w:pPr>
    </w:p>
    <w:p w14:paraId="4E07E28C" w14:textId="3DD0E496" w:rsidR="007742C5" w:rsidRPr="00001055" w:rsidRDefault="007742C5" w:rsidP="007742C5">
      <w:pPr>
        <w:spacing w:after="120"/>
        <w:rPr>
          <w:i/>
        </w:rPr>
      </w:pPr>
      <w:r w:rsidRPr="00001055">
        <w:rPr>
          <w:i/>
        </w:rPr>
        <w:t>Differentiation</w:t>
      </w:r>
    </w:p>
    <w:p w14:paraId="4D4D5F6C" w14:textId="7F6F3C08" w:rsidR="007742C5" w:rsidRPr="00640DC3" w:rsidRDefault="007742C5" w:rsidP="007742C5">
      <w:pPr>
        <w:spacing w:after="120"/>
      </w:pPr>
      <w:r>
        <w:t xml:space="preserve">You could challenge different individuals by asking them follow-up questions to clarify or to extend their original answer.  If a student is having difficulty with a particular question, it is often helpful to break it into smaller </w:t>
      </w:r>
      <w:r w:rsidRPr="009531B2">
        <w:rPr>
          <w:i/>
        </w:rPr>
        <w:t>chunks</w:t>
      </w:r>
      <w:r>
        <w:t xml:space="preserve">, to lead them to a fuller answer.  This technique models more thorough </w:t>
      </w:r>
      <w:r w:rsidR="00A74A7C">
        <w:t>answers and</w:t>
      </w:r>
      <w:r>
        <w:t xml:space="preserve"> can be used to support an open classroom culture in which students are encouraged to ‘have a go’.</w:t>
      </w:r>
    </w:p>
    <w:p w14:paraId="287D8BAA" w14:textId="0D0E2ABF" w:rsidR="002D7B1B" w:rsidRDefault="00456227" w:rsidP="002D7B1B">
      <w:pPr>
        <w:spacing w:after="180"/>
        <w:rPr>
          <w:highlight w:val="yellow"/>
        </w:rPr>
      </w:pPr>
      <w:r w:rsidRPr="006A320F">
        <w:rPr>
          <w:b/>
          <w:color w:val="E36C0A" w:themeColor="accent6" w:themeShade="BF"/>
        </w:rPr>
        <w:t>Equipment</w:t>
      </w:r>
      <w:r w:rsidR="006A320F" w:rsidRPr="006A320F">
        <w:rPr>
          <w:b/>
          <w:color w:val="76923C" w:themeColor="accent3" w:themeShade="BF"/>
        </w:rPr>
        <w:t xml:space="preserve"> </w:t>
      </w:r>
    </w:p>
    <w:p w14:paraId="49AAC8A2" w14:textId="0DD65721" w:rsidR="002D7B1B" w:rsidRDefault="002D7B1B" w:rsidP="002D7B1B">
      <w:pPr>
        <w:spacing w:after="180"/>
      </w:pPr>
      <w:r>
        <w:t>Full details of equipment and materials needed to demonstrate the chemical reactions may be found on the Royal Society of Chemistry’s Learn Chemistry website</w:t>
      </w:r>
    </w:p>
    <w:p w14:paraId="7C74E359" w14:textId="1B581676" w:rsidR="00826262" w:rsidRDefault="00A74A7C" w:rsidP="00A74A7C">
      <w:pPr>
        <w:spacing w:after="180"/>
      </w:pPr>
      <w:r>
        <w:t xml:space="preserve">Iron </w:t>
      </w:r>
      <w:r w:rsidR="00826262">
        <w:t>and sulfur reaction:</w:t>
      </w:r>
    </w:p>
    <w:p w14:paraId="4C767F1D" w14:textId="1089404F" w:rsidR="00A74A7C" w:rsidRDefault="00A74A7C" w:rsidP="00A74A7C">
      <w:pPr>
        <w:spacing w:after="180"/>
      </w:pPr>
      <w:r>
        <w:t xml:space="preserve"> </w:t>
      </w:r>
      <w:hyperlink r:id="rId9" w:history="1">
        <w:r w:rsidRPr="00792D75">
          <w:rPr>
            <w:rStyle w:val="Hyperlink"/>
          </w:rPr>
          <w:t>http://www.rsc.org/learn-chemistry/resource/res00000713/iron-and-sulfur-reaction?cmpid=CMP00005161</w:t>
        </w:r>
      </w:hyperlink>
      <w:r>
        <w:t xml:space="preserve"> </w:t>
      </w:r>
    </w:p>
    <w:p w14:paraId="62619E47" w14:textId="71F19898" w:rsidR="00826262" w:rsidRDefault="00826262" w:rsidP="002D7B1B">
      <w:pPr>
        <w:spacing w:after="180"/>
      </w:pPr>
      <w:r>
        <w:t>S</w:t>
      </w:r>
      <w:r w:rsidR="00134CEA">
        <w:t xml:space="preserve">odium </w:t>
      </w:r>
      <w:r>
        <w:t>and</w:t>
      </w:r>
      <w:r w:rsidR="00134CEA">
        <w:t xml:space="preserve"> chlorine</w:t>
      </w:r>
      <w:r>
        <w:t xml:space="preserve"> reaction:</w:t>
      </w:r>
      <w:r w:rsidR="00134CEA">
        <w:t xml:space="preserve"> </w:t>
      </w:r>
    </w:p>
    <w:p w14:paraId="01413ABC" w14:textId="5CA649B4" w:rsidR="00134CEA" w:rsidRDefault="00826262" w:rsidP="002D7B1B">
      <w:pPr>
        <w:spacing w:after="180"/>
      </w:pPr>
      <w:hyperlink r:id="rId10" w:history="1">
        <w:r w:rsidRPr="00E3580F">
          <w:rPr>
            <w:rStyle w:val="Hyperlink"/>
          </w:rPr>
          <w:t>http://www.rsc.org/learn-chemistry/resource/res00000732/heating-group-1-metals-in-air-and-in-chlorine</w:t>
        </w:r>
      </w:hyperlink>
      <w:r w:rsidR="00134CEA">
        <w:t xml:space="preserve"> </w:t>
      </w:r>
    </w:p>
    <w:p w14:paraId="5DD508B6" w14:textId="375AD2D2" w:rsidR="002D7B1B" w:rsidRDefault="002D7B1B" w:rsidP="002D7B1B">
      <w:pPr>
        <w:spacing w:after="180"/>
      </w:pPr>
      <w:r>
        <w:t>An instructional video for teachers that includes the reaction between sodium and chlorine (</w:t>
      </w:r>
      <w:r w:rsidR="00C054C9">
        <w:t>at 4.39) and between iron and sulfur (at 7.20) may be found at</w:t>
      </w:r>
    </w:p>
    <w:p w14:paraId="7D3149EC" w14:textId="21BDE530" w:rsidR="00C054C9" w:rsidRDefault="00483FED" w:rsidP="002D7B1B">
      <w:pPr>
        <w:spacing w:after="180"/>
      </w:pPr>
      <w:hyperlink r:id="rId11" w:anchor="!cmpid=CMP00005162" w:history="1">
        <w:r w:rsidR="00C054C9" w:rsidRPr="00792D75">
          <w:rPr>
            <w:rStyle w:val="Hyperlink"/>
          </w:rPr>
          <w:t>http://www.rsc.org/learn-chemistry/resource/res00000713/iron-and-sulfur-reaction#!cmpid=CMP00005162</w:t>
        </w:r>
      </w:hyperlink>
      <w:r w:rsidR="00C054C9">
        <w:t xml:space="preserve"> </w:t>
      </w:r>
    </w:p>
    <w:p w14:paraId="6C5E90F7" w14:textId="02EC3DE8" w:rsidR="00267CF5" w:rsidRDefault="00267CF5" w:rsidP="00267CF5">
      <w:pPr>
        <w:spacing w:after="180"/>
        <w:rPr>
          <w:b/>
          <w:color w:val="E36C0A" w:themeColor="accent6" w:themeShade="BF"/>
          <w:sz w:val="24"/>
        </w:rPr>
      </w:pPr>
      <w:r w:rsidRPr="0010427F">
        <w:rPr>
          <w:b/>
          <w:color w:val="E36C0A" w:themeColor="accent6" w:themeShade="BF"/>
          <w:sz w:val="24"/>
        </w:rPr>
        <w:t>Health and safety</w:t>
      </w:r>
    </w:p>
    <w:p w14:paraId="76A30147" w14:textId="77777777" w:rsidR="00267CF5" w:rsidRDefault="00267CF5" w:rsidP="00267CF5">
      <w:pPr>
        <w:spacing w:after="180"/>
      </w:pPr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 xml:space="preserve">. </w:t>
      </w:r>
    </w:p>
    <w:p w14:paraId="03B9743F" w14:textId="2A116DA5" w:rsidR="00267CF5" w:rsidRPr="00640DC3" w:rsidRDefault="00267CF5" w:rsidP="00267CF5">
      <w:pPr>
        <w:spacing w:after="180"/>
      </w:pPr>
      <w:r>
        <w:t>It is important for teachers to practise the demonstrations if they have not carried them out before.</w:t>
      </w:r>
    </w:p>
    <w:p w14:paraId="0716E1AB" w14:textId="379698BB" w:rsidR="00E172C6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Expected answers</w:t>
      </w:r>
    </w:p>
    <w:p w14:paraId="276E0711" w14:textId="4311D571" w:rsidR="00A74A7C" w:rsidRPr="00A74A7C" w:rsidRDefault="00A74A7C" w:rsidP="00026DEC">
      <w:pPr>
        <w:spacing w:after="180"/>
      </w:pPr>
      <w:r w:rsidRPr="00A74A7C">
        <w:t>1</w:t>
      </w:r>
    </w:p>
    <w:tbl>
      <w:tblPr>
        <w:tblStyle w:val="TableGrid"/>
        <w:tblpPr w:leftFromText="180" w:rightFromText="180" w:vertAnchor="text" w:horzAnchor="margin" w:tblpY="-35"/>
        <w:tblW w:w="0" w:type="auto"/>
        <w:tblLook w:val="04A0" w:firstRow="1" w:lastRow="0" w:firstColumn="1" w:lastColumn="0" w:noHBand="0" w:noVBand="1"/>
      </w:tblPr>
      <w:tblGrid>
        <w:gridCol w:w="1272"/>
        <w:gridCol w:w="2098"/>
        <w:gridCol w:w="2113"/>
        <w:gridCol w:w="2120"/>
      </w:tblGrid>
      <w:tr w:rsidR="0058450C" w14:paraId="1A221B8C" w14:textId="77777777" w:rsidTr="0058450C">
        <w:tc>
          <w:tcPr>
            <w:tcW w:w="1272" w:type="dxa"/>
          </w:tcPr>
          <w:p w14:paraId="5E763B51" w14:textId="77777777" w:rsidR="0058450C" w:rsidRDefault="0058450C" w:rsidP="0058450C">
            <w:pPr>
              <w:pStyle w:val="ListParagraph"/>
              <w:spacing w:after="180"/>
              <w:ind w:left="0"/>
              <w:contextualSpacing w:val="0"/>
            </w:pPr>
          </w:p>
        </w:tc>
        <w:tc>
          <w:tcPr>
            <w:tcW w:w="2098" w:type="dxa"/>
          </w:tcPr>
          <w:p w14:paraId="78CE7926" w14:textId="77777777" w:rsidR="0058450C" w:rsidRDefault="0058450C" w:rsidP="0058450C">
            <w:pPr>
              <w:pStyle w:val="ListParagraph"/>
              <w:spacing w:after="180"/>
              <w:ind w:left="0"/>
              <w:contextualSpacing w:val="0"/>
            </w:pPr>
            <w:r>
              <w:t xml:space="preserve">iron </w:t>
            </w:r>
          </w:p>
        </w:tc>
        <w:tc>
          <w:tcPr>
            <w:tcW w:w="2113" w:type="dxa"/>
          </w:tcPr>
          <w:p w14:paraId="240AA822" w14:textId="77777777" w:rsidR="0058450C" w:rsidRDefault="0058450C" w:rsidP="0058450C">
            <w:pPr>
              <w:pStyle w:val="ListParagraph"/>
              <w:spacing w:after="180"/>
              <w:ind w:left="0"/>
              <w:contextualSpacing w:val="0"/>
            </w:pPr>
            <w:r>
              <w:t>sulfur</w:t>
            </w:r>
          </w:p>
        </w:tc>
        <w:tc>
          <w:tcPr>
            <w:tcW w:w="2120" w:type="dxa"/>
          </w:tcPr>
          <w:p w14:paraId="47E0E79C" w14:textId="77777777" w:rsidR="0058450C" w:rsidRDefault="0058450C" w:rsidP="0058450C">
            <w:pPr>
              <w:pStyle w:val="ListParagraph"/>
              <w:spacing w:after="180"/>
              <w:ind w:left="0"/>
              <w:contextualSpacing w:val="0"/>
            </w:pPr>
            <w:r>
              <w:t>iron sulfide</w:t>
            </w:r>
          </w:p>
        </w:tc>
      </w:tr>
      <w:tr w:rsidR="0058450C" w14:paraId="476E20BA" w14:textId="77777777" w:rsidTr="0058450C">
        <w:tc>
          <w:tcPr>
            <w:tcW w:w="1272" w:type="dxa"/>
          </w:tcPr>
          <w:p w14:paraId="29879577" w14:textId="77777777" w:rsidR="0058450C" w:rsidRDefault="0058450C" w:rsidP="0058450C">
            <w:pPr>
              <w:pStyle w:val="ListParagraph"/>
              <w:spacing w:after="180"/>
              <w:ind w:left="0"/>
              <w:contextualSpacing w:val="0"/>
            </w:pPr>
            <w:r>
              <w:t>state</w:t>
            </w:r>
          </w:p>
        </w:tc>
        <w:tc>
          <w:tcPr>
            <w:tcW w:w="2098" w:type="dxa"/>
          </w:tcPr>
          <w:p w14:paraId="517DB445" w14:textId="6738CD14" w:rsidR="0058450C" w:rsidRDefault="0058450C" w:rsidP="0058450C">
            <w:pPr>
              <w:pStyle w:val="ListParagraph"/>
              <w:spacing w:after="180"/>
              <w:ind w:left="0"/>
              <w:contextualSpacing w:val="0"/>
            </w:pPr>
            <w:r>
              <w:t>solid</w:t>
            </w:r>
          </w:p>
        </w:tc>
        <w:tc>
          <w:tcPr>
            <w:tcW w:w="2113" w:type="dxa"/>
          </w:tcPr>
          <w:p w14:paraId="5E79A430" w14:textId="3C8C92D8" w:rsidR="0058450C" w:rsidRDefault="0058450C" w:rsidP="0058450C">
            <w:pPr>
              <w:pStyle w:val="ListParagraph"/>
              <w:spacing w:after="180"/>
              <w:ind w:left="0"/>
              <w:contextualSpacing w:val="0"/>
            </w:pPr>
            <w:r>
              <w:t>solid</w:t>
            </w:r>
          </w:p>
        </w:tc>
        <w:tc>
          <w:tcPr>
            <w:tcW w:w="2120" w:type="dxa"/>
          </w:tcPr>
          <w:p w14:paraId="7B9CBF91" w14:textId="7C3CE535" w:rsidR="0058450C" w:rsidRDefault="0058450C" w:rsidP="0058450C">
            <w:pPr>
              <w:pStyle w:val="ListParagraph"/>
              <w:spacing w:after="180"/>
              <w:ind w:left="0"/>
              <w:contextualSpacing w:val="0"/>
            </w:pPr>
            <w:r>
              <w:t>solid</w:t>
            </w:r>
          </w:p>
        </w:tc>
      </w:tr>
      <w:tr w:rsidR="0058450C" w14:paraId="11FBA01F" w14:textId="77777777" w:rsidTr="0058450C">
        <w:tc>
          <w:tcPr>
            <w:tcW w:w="1272" w:type="dxa"/>
          </w:tcPr>
          <w:p w14:paraId="66EA4D92" w14:textId="77777777" w:rsidR="0058450C" w:rsidRDefault="0058450C" w:rsidP="0058450C">
            <w:pPr>
              <w:pStyle w:val="ListParagraph"/>
              <w:spacing w:after="180"/>
              <w:ind w:left="0"/>
              <w:contextualSpacing w:val="0"/>
            </w:pPr>
            <w:r>
              <w:t>colour</w:t>
            </w:r>
          </w:p>
        </w:tc>
        <w:tc>
          <w:tcPr>
            <w:tcW w:w="2098" w:type="dxa"/>
          </w:tcPr>
          <w:p w14:paraId="45AEB740" w14:textId="5BD687A9" w:rsidR="0058450C" w:rsidRDefault="00826262" w:rsidP="0058450C">
            <w:pPr>
              <w:pStyle w:val="ListParagraph"/>
              <w:spacing w:after="180"/>
              <w:ind w:left="0"/>
              <w:contextualSpacing w:val="0"/>
            </w:pPr>
            <w:r>
              <w:t>s</w:t>
            </w:r>
            <w:r w:rsidR="00A74A7C">
              <w:t>ilver</w:t>
            </w:r>
            <w:r>
              <w:t>-</w:t>
            </w:r>
            <w:r w:rsidR="00A74A7C">
              <w:t xml:space="preserve"> g</w:t>
            </w:r>
            <w:r w:rsidR="008020EE">
              <w:t>rey</w:t>
            </w:r>
          </w:p>
        </w:tc>
        <w:tc>
          <w:tcPr>
            <w:tcW w:w="2113" w:type="dxa"/>
          </w:tcPr>
          <w:p w14:paraId="5AB8EA97" w14:textId="5D8E4FFD" w:rsidR="0058450C" w:rsidRDefault="00826262" w:rsidP="0058450C">
            <w:pPr>
              <w:pStyle w:val="ListParagraph"/>
              <w:spacing w:after="180"/>
              <w:ind w:left="0"/>
              <w:contextualSpacing w:val="0"/>
            </w:pPr>
            <w:r>
              <w:t>y</w:t>
            </w:r>
            <w:r w:rsidR="00A74A7C">
              <w:t>ellow</w:t>
            </w:r>
          </w:p>
        </w:tc>
        <w:tc>
          <w:tcPr>
            <w:tcW w:w="2120" w:type="dxa"/>
          </w:tcPr>
          <w:p w14:paraId="030C829E" w14:textId="7B0E9BC1" w:rsidR="0058450C" w:rsidRDefault="00826262" w:rsidP="0058450C">
            <w:pPr>
              <w:pStyle w:val="ListParagraph"/>
              <w:spacing w:after="180"/>
              <w:ind w:left="0"/>
              <w:contextualSpacing w:val="0"/>
            </w:pPr>
            <w:r>
              <w:t>b</w:t>
            </w:r>
            <w:r w:rsidR="00A74A7C">
              <w:t>lack</w:t>
            </w:r>
          </w:p>
        </w:tc>
      </w:tr>
      <w:tr w:rsidR="0058450C" w14:paraId="0A4E23DD" w14:textId="77777777" w:rsidTr="0058450C">
        <w:tc>
          <w:tcPr>
            <w:tcW w:w="1272" w:type="dxa"/>
          </w:tcPr>
          <w:p w14:paraId="7D3A8BFE" w14:textId="3DCD90DA" w:rsidR="0058450C" w:rsidRDefault="00826262" w:rsidP="0058450C">
            <w:pPr>
              <w:pStyle w:val="ListParagraph"/>
              <w:spacing w:after="180"/>
              <w:ind w:left="0"/>
              <w:contextualSpacing w:val="0"/>
            </w:pPr>
            <w:r>
              <w:t>m</w:t>
            </w:r>
            <w:r w:rsidR="0058450C">
              <w:t>agnetic?</w:t>
            </w:r>
          </w:p>
        </w:tc>
        <w:tc>
          <w:tcPr>
            <w:tcW w:w="2098" w:type="dxa"/>
          </w:tcPr>
          <w:p w14:paraId="4A199219" w14:textId="2C59C511" w:rsidR="0058450C" w:rsidRDefault="00A74A7C" w:rsidP="0058450C">
            <w:pPr>
              <w:pStyle w:val="ListParagraph"/>
              <w:spacing w:after="180"/>
              <w:ind w:left="0"/>
              <w:contextualSpacing w:val="0"/>
            </w:pPr>
            <w:r>
              <w:sym w:font="Wingdings" w:char="F0FC"/>
            </w:r>
          </w:p>
        </w:tc>
        <w:tc>
          <w:tcPr>
            <w:tcW w:w="2113" w:type="dxa"/>
          </w:tcPr>
          <w:p w14:paraId="5206A89D" w14:textId="0AE9EFC0" w:rsidR="0058450C" w:rsidRDefault="00A74A7C" w:rsidP="0058450C">
            <w:pPr>
              <w:pStyle w:val="ListParagraph"/>
              <w:spacing w:after="180"/>
              <w:ind w:left="0"/>
              <w:contextualSpacing w:val="0"/>
            </w:pPr>
            <w:r>
              <w:t>X</w:t>
            </w:r>
          </w:p>
        </w:tc>
        <w:tc>
          <w:tcPr>
            <w:tcW w:w="2120" w:type="dxa"/>
          </w:tcPr>
          <w:p w14:paraId="647F7F93" w14:textId="4B9F52AB" w:rsidR="0058450C" w:rsidRDefault="00A74A7C" w:rsidP="0058450C">
            <w:pPr>
              <w:pStyle w:val="ListParagraph"/>
              <w:spacing w:after="180"/>
              <w:ind w:left="0"/>
              <w:contextualSpacing w:val="0"/>
            </w:pPr>
            <w:r>
              <w:t>X</w:t>
            </w:r>
          </w:p>
        </w:tc>
      </w:tr>
    </w:tbl>
    <w:p w14:paraId="5579EA37" w14:textId="5C6A9BCE" w:rsidR="00FA1608" w:rsidRDefault="00FA1608" w:rsidP="00026DEC">
      <w:pPr>
        <w:spacing w:after="180"/>
        <w:rPr>
          <w:b/>
          <w:color w:val="E36C0A" w:themeColor="accent6" w:themeShade="BF"/>
          <w:sz w:val="24"/>
        </w:rPr>
      </w:pPr>
    </w:p>
    <w:p w14:paraId="00E80A4D" w14:textId="60DFE4FE" w:rsidR="0058450C" w:rsidRDefault="0058450C" w:rsidP="00026DEC">
      <w:pPr>
        <w:spacing w:after="180"/>
        <w:rPr>
          <w:b/>
          <w:color w:val="E36C0A" w:themeColor="accent6" w:themeShade="BF"/>
          <w:sz w:val="24"/>
        </w:rPr>
      </w:pPr>
    </w:p>
    <w:p w14:paraId="0860C6E2" w14:textId="77777777" w:rsidR="0058450C" w:rsidRDefault="0058450C" w:rsidP="00026DEC">
      <w:pPr>
        <w:spacing w:after="180"/>
        <w:rPr>
          <w:b/>
          <w:color w:val="E36C0A" w:themeColor="accent6" w:themeShade="BF"/>
          <w:sz w:val="24"/>
        </w:rPr>
      </w:pPr>
    </w:p>
    <w:p w14:paraId="47DFBD48" w14:textId="3A33539F" w:rsidR="00FA1608" w:rsidRDefault="00FA1608" w:rsidP="00026DEC">
      <w:pPr>
        <w:spacing w:after="180"/>
        <w:rPr>
          <w:b/>
          <w:color w:val="E36C0A" w:themeColor="accent6" w:themeShade="BF"/>
          <w:sz w:val="24"/>
        </w:rPr>
      </w:pPr>
    </w:p>
    <w:p w14:paraId="5E1BCB02" w14:textId="78CB4A6F" w:rsidR="00A74A7C" w:rsidRPr="00A74A7C" w:rsidRDefault="00A74A7C" w:rsidP="00026DEC">
      <w:pPr>
        <w:spacing w:after="180"/>
      </w:pPr>
      <w:r w:rsidRPr="00A74A7C">
        <w:t>Evidence:</w:t>
      </w:r>
      <w:r>
        <w:t xml:space="preserve"> Black solid that is non-magnetic when tested (after cooling).</w:t>
      </w:r>
    </w:p>
    <w:p w14:paraId="153D172D" w14:textId="0D15466E" w:rsidR="00A74A7C" w:rsidRDefault="00A74A7C" w:rsidP="00026DEC">
      <w:pPr>
        <w:spacing w:after="180"/>
      </w:pPr>
      <w:r w:rsidRPr="00A74A7C">
        <w:t>2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272"/>
        <w:gridCol w:w="2098"/>
        <w:gridCol w:w="2113"/>
        <w:gridCol w:w="2120"/>
      </w:tblGrid>
      <w:tr w:rsidR="00A74A7C" w14:paraId="1312ABBD" w14:textId="77777777" w:rsidTr="00A74A7C">
        <w:tc>
          <w:tcPr>
            <w:tcW w:w="1272" w:type="dxa"/>
          </w:tcPr>
          <w:p w14:paraId="7BE5FC72" w14:textId="77777777" w:rsidR="00A74A7C" w:rsidRDefault="00A74A7C" w:rsidP="00734B41">
            <w:pPr>
              <w:pStyle w:val="ListParagraph"/>
              <w:spacing w:after="180"/>
              <w:ind w:left="0"/>
              <w:contextualSpacing w:val="0"/>
            </w:pPr>
          </w:p>
        </w:tc>
        <w:tc>
          <w:tcPr>
            <w:tcW w:w="2098" w:type="dxa"/>
          </w:tcPr>
          <w:p w14:paraId="41129B06" w14:textId="77777777" w:rsidR="00A74A7C" w:rsidRDefault="00A74A7C" w:rsidP="00734B41">
            <w:pPr>
              <w:pStyle w:val="ListParagraph"/>
              <w:spacing w:after="180"/>
              <w:ind w:left="0"/>
              <w:contextualSpacing w:val="0"/>
            </w:pPr>
            <w:r>
              <w:t>sodium</w:t>
            </w:r>
          </w:p>
        </w:tc>
        <w:tc>
          <w:tcPr>
            <w:tcW w:w="2113" w:type="dxa"/>
          </w:tcPr>
          <w:p w14:paraId="01D20788" w14:textId="77777777" w:rsidR="00A74A7C" w:rsidRDefault="00A74A7C" w:rsidP="00734B41">
            <w:pPr>
              <w:pStyle w:val="ListParagraph"/>
              <w:spacing w:after="180"/>
              <w:ind w:left="0"/>
              <w:contextualSpacing w:val="0"/>
            </w:pPr>
            <w:r>
              <w:t>chlorine</w:t>
            </w:r>
          </w:p>
        </w:tc>
        <w:tc>
          <w:tcPr>
            <w:tcW w:w="2120" w:type="dxa"/>
          </w:tcPr>
          <w:p w14:paraId="7177916B" w14:textId="77777777" w:rsidR="00A74A7C" w:rsidRDefault="00A74A7C" w:rsidP="00734B41">
            <w:pPr>
              <w:pStyle w:val="ListParagraph"/>
              <w:spacing w:after="180"/>
              <w:ind w:left="0"/>
              <w:contextualSpacing w:val="0"/>
            </w:pPr>
            <w:r>
              <w:t>sodium chloride</w:t>
            </w:r>
          </w:p>
        </w:tc>
      </w:tr>
      <w:tr w:rsidR="00A74A7C" w14:paraId="4310ADCA" w14:textId="77777777" w:rsidTr="00A74A7C">
        <w:tc>
          <w:tcPr>
            <w:tcW w:w="1272" w:type="dxa"/>
          </w:tcPr>
          <w:p w14:paraId="4E53316C" w14:textId="77777777" w:rsidR="00A74A7C" w:rsidRDefault="00A74A7C" w:rsidP="00734B41">
            <w:pPr>
              <w:pStyle w:val="ListParagraph"/>
              <w:spacing w:after="180"/>
              <w:ind w:left="0"/>
              <w:contextualSpacing w:val="0"/>
            </w:pPr>
            <w:r>
              <w:t>state</w:t>
            </w:r>
          </w:p>
        </w:tc>
        <w:tc>
          <w:tcPr>
            <w:tcW w:w="2098" w:type="dxa"/>
          </w:tcPr>
          <w:p w14:paraId="689BEC2D" w14:textId="1BA9AC29" w:rsidR="00A74A7C" w:rsidRDefault="00826262" w:rsidP="00734B41">
            <w:pPr>
              <w:pStyle w:val="ListParagraph"/>
              <w:spacing w:after="180"/>
              <w:ind w:left="0"/>
              <w:contextualSpacing w:val="0"/>
            </w:pPr>
            <w:r>
              <w:t>s</w:t>
            </w:r>
            <w:r w:rsidR="00A74A7C">
              <w:t>olid</w:t>
            </w:r>
          </w:p>
        </w:tc>
        <w:tc>
          <w:tcPr>
            <w:tcW w:w="2113" w:type="dxa"/>
          </w:tcPr>
          <w:p w14:paraId="40C0626C" w14:textId="67CA7459" w:rsidR="00A74A7C" w:rsidRDefault="00A74A7C" w:rsidP="00734B41">
            <w:pPr>
              <w:pStyle w:val="ListParagraph"/>
              <w:spacing w:after="180"/>
              <w:ind w:left="0"/>
              <w:contextualSpacing w:val="0"/>
            </w:pPr>
            <w:r>
              <w:t>gas</w:t>
            </w:r>
          </w:p>
        </w:tc>
        <w:tc>
          <w:tcPr>
            <w:tcW w:w="2120" w:type="dxa"/>
          </w:tcPr>
          <w:p w14:paraId="2F8CAE8A" w14:textId="362931A9" w:rsidR="00A74A7C" w:rsidRDefault="00A74A7C" w:rsidP="00734B41">
            <w:pPr>
              <w:pStyle w:val="ListParagraph"/>
              <w:spacing w:after="180"/>
              <w:ind w:left="0"/>
              <w:contextualSpacing w:val="0"/>
            </w:pPr>
            <w:r>
              <w:t>solid</w:t>
            </w:r>
          </w:p>
        </w:tc>
      </w:tr>
      <w:tr w:rsidR="00A74A7C" w14:paraId="6F9AA69F" w14:textId="77777777" w:rsidTr="00A74A7C">
        <w:tc>
          <w:tcPr>
            <w:tcW w:w="1272" w:type="dxa"/>
          </w:tcPr>
          <w:p w14:paraId="71E7E70F" w14:textId="77777777" w:rsidR="00A74A7C" w:rsidRDefault="00A74A7C" w:rsidP="00734B41">
            <w:pPr>
              <w:pStyle w:val="ListParagraph"/>
              <w:spacing w:after="180"/>
              <w:ind w:left="0"/>
              <w:contextualSpacing w:val="0"/>
            </w:pPr>
            <w:r>
              <w:t>colour</w:t>
            </w:r>
          </w:p>
        </w:tc>
        <w:tc>
          <w:tcPr>
            <w:tcW w:w="2098" w:type="dxa"/>
          </w:tcPr>
          <w:p w14:paraId="689831FE" w14:textId="573E65D4" w:rsidR="00A74A7C" w:rsidRDefault="00A74A7C" w:rsidP="00734B41">
            <w:pPr>
              <w:pStyle w:val="ListParagraph"/>
              <w:spacing w:after="180"/>
              <w:ind w:left="0"/>
              <w:contextualSpacing w:val="0"/>
            </w:pPr>
            <w:r>
              <w:t>g</w:t>
            </w:r>
            <w:r w:rsidR="00826262">
              <w:t>r</w:t>
            </w:r>
            <w:bookmarkStart w:id="0" w:name="_GoBack"/>
            <w:bookmarkEnd w:id="0"/>
            <w:r>
              <w:t>ey (shiny if cut)</w:t>
            </w:r>
          </w:p>
        </w:tc>
        <w:tc>
          <w:tcPr>
            <w:tcW w:w="2113" w:type="dxa"/>
          </w:tcPr>
          <w:p w14:paraId="31C2CDBE" w14:textId="01511386" w:rsidR="00A74A7C" w:rsidRDefault="00A74A7C" w:rsidP="00734B41">
            <w:pPr>
              <w:pStyle w:val="ListParagraph"/>
              <w:spacing w:after="180"/>
              <w:ind w:left="0"/>
              <w:contextualSpacing w:val="0"/>
            </w:pPr>
            <w:r>
              <w:t>yellow/green</w:t>
            </w:r>
          </w:p>
        </w:tc>
        <w:tc>
          <w:tcPr>
            <w:tcW w:w="2120" w:type="dxa"/>
          </w:tcPr>
          <w:p w14:paraId="195BBE27" w14:textId="5F042720" w:rsidR="00A74A7C" w:rsidRDefault="00A74A7C" w:rsidP="00734B41">
            <w:pPr>
              <w:pStyle w:val="ListParagraph"/>
              <w:spacing w:after="180"/>
              <w:ind w:left="0"/>
              <w:contextualSpacing w:val="0"/>
            </w:pPr>
            <w:r>
              <w:t>white</w:t>
            </w:r>
          </w:p>
        </w:tc>
      </w:tr>
    </w:tbl>
    <w:p w14:paraId="043B8EE8" w14:textId="26D73173" w:rsidR="00A74A7C" w:rsidRDefault="00A74A7C" w:rsidP="00026DEC">
      <w:pPr>
        <w:spacing w:after="180"/>
      </w:pPr>
    </w:p>
    <w:p w14:paraId="2890D954" w14:textId="74FEBCF9" w:rsidR="00A74A7C" w:rsidRPr="00A74A7C" w:rsidRDefault="00A74A7C" w:rsidP="00026DEC">
      <w:pPr>
        <w:spacing w:after="180"/>
      </w:pPr>
      <w:r>
        <w:t>Evidence: White smoke and formation of a white solid.</w:t>
      </w:r>
    </w:p>
    <w:p w14:paraId="435539C8" w14:textId="3FF93937" w:rsidR="00A74A7C" w:rsidRDefault="00A74A7C" w:rsidP="00026DEC">
      <w:pPr>
        <w:spacing w:after="180"/>
        <w:rPr>
          <w:b/>
          <w:color w:val="E36C0A" w:themeColor="accent6" w:themeShade="BF"/>
          <w:sz w:val="24"/>
        </w:rPr>
      </w:pPr>
    </w:p>
    <w:p w14:paraId="5714CB05" w14:textId="53BD6910" w:rsidR="00A74A7C" w:rsidRDefault="00A74A7C" w:rsidP="00026DEC">
      <w:pPr>
        <w:spacing w:after="180"/>
        <w:rPr>
          <w:b/>
          <w:color w:val="E36C0A" w:themeColor="accent6" w:themeShade="BF"/>
          <w:sz w:val="24"/>
        </w:rPr>
      </w:pPr>
    </w:p>
    <w:p w14:paraId="24747A62" w14:textId="77777777" w:rsidR="00A74A7C" w:rsidRPr="001C2E59" w:rsidRDefault="00A74A7C" w:rsidP="00026DEC">
      <w:pPr>
        <w:spacing w:after="180"/>
        <w:rPr>
          <w:b/>
          <w:color w:val="E36C0A" w:themeColor="accent6" w:themeShade="BF"/>
          <w:sz w:val="24"/>
        </w:rPr>
      </w:pPr>
    </w:p>
    <w:p w14:paraId="7AEEA0D7" w14:textId="77777777" w:rsidR="003117F6" w:rsidRPr="001C2E59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Acknowledgments</w:t>
      </w:r>
    </w:p>
    <w:p w14:paraId="0D997E4A" w14:textId="4D786B69" w:rsidR="0069312F" w:rsidRDefault="00D278E8" w:rsidP="00026DEC">
      <w:pPr>
        <w:spacing w:after="180"/>
      </w:pPr>
      <w:r w:rsidRPr="00640DC3">
        <w:t xml:space="preserve">Developed </w:t>
      </w:r>
      <w:r w:rsidR="0015356E" w:rsidRPr="00640DC3">
        <w:t xml:space="preserve">by </w:t>
      </w:r>
      <w:r w:rsidR="00640DC3" w:rsidRPr="00640DC3">
        <w:t>Helen Harden</w:t>
      </w:r>
      <w:r w:rsidR="0015356E" w:rsidRPr="00640DC3">
        <w:t xml:space="preserve"> (UYSEG)</w:t>
      </w:r>
      <w:r w:rsidR="00A74A7C">
        <w:t>.</w:t>
      </w:r>
    </w:p>
    <w:p w14:paraId="6A74C686" w14:textId="19BCBB98" w:rsidR="0079401D" w:rsidRDefault="00D278E8" w:rsidP="00026DEC">
      <w:pPr>
        <w:spacing w:after="180"/>
      </w:pPr>
      <w:r w:rsidRPr="00640DC3">
        <w:t xml:space="preserve">Images: </w:t>
      </w:r>
      <w:r w:rsidR="00A74A7C">
        <w:t>None</w:t>
      </w:r>
    </w:p>
    <w:p w14:paraId="3E34EB63" w14:textId="52772EE3" w:rsidR="00640DC3" w:rsidRDefault="008D7667" w:rsidP="00026DEC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t>References</w:t>
      </w:r>
    </w:p>
    <w:p w14:paraId="2760DAC4" w14:textId="77777777" w:rsidR="00640DC3" w:rsidRPr="00640DC3" w:rsidRDefault="00640DC3" w:rsidP="00640DC3">
      <w:pPr>
        <w:pStyle w:val="EndNoteBibliography"/>
      </w:pPr>
      <w:r>
        <w:rPr>
          <w:b/>
          <w:color w:val="E36C0A" w:themeColor="accent6" w:themeShade="BF"/>
          <w:sz w:val="24"/>
        </w:rPr>
        <w:fldChar w:fldCharType="begin"/>
      </w:r>
      <w:r w:rsidRPr="00826262">
        <w:rPr>
          <w:b/>
          <w:color w:val="E36C0A" w:themeColor="accent6" w:themeShade="BF"/>
          <w:sz w:val="24"/>
          <w:lang w:val="en-GB"/>
        </w:rPr>
        <w:instrText xml:space="preserve"> ADDIN EN.REFLIST </w:instrText>
      </w:r>
      <w:r>
        <w:rPr>
          <w:b/>
          <w:color w:val="E36C0A" w:themeColor="accent6" w:themeShade="BF"/>
          <w:sz w:val="24"/>
        </w:rPr>
        <w:fldChar w:fldCharType="separate"/>
      </w:r>
      <w:r w:rsidRPr="00826262">
        <w:rPr>
          <w:lang w:val="en-GB"/>
        </w:rPr>
        <w:t xml:space="preserve">de Vos, W. and Verdonk, A. H. (1985). </w:t>
      </w:r>
      <w:r w:rsidRPr="00640DC3">
        <w:t xml:space="preserve">A new road to reactions (part 1). </w:t>
      </w:r>
      <w:r w:rsidRPr="00640DC3">
        <w:rPr>
          <w:i/>
        </w:rPr>
        <w:t>Journal of Chemical Education,</w:t>
      </w:r>
      <w:r w:rsidRPr="00640DC3">
        <w:t xml:space="preserve"> 62(3)</w:t>
      </w:r>
      <w:r w:rsidRPr="00640DC3">
        <w:rPr>
          <w:b/>
        </w:rPr>
        <w:t>,</w:t>
      </w:r>
      <w:r w:rsidRPr="00640DC3">
        <w:t xml:space="preserve"> 238-240.</w:t>
      </w:r>
    </w:p>
    <w:p w14:paraId="16AA1CD4" w14:textId="77777777" w:rsidR="00640DC3" w:rsidRPr="00640DC3" w:rsidRDefault="00640DC3" w:rsidP="00640DC3">
      <w:pPr>
        <w:pStyle w:val="EndNoteBibliography"/>
      </w:pPr>
      <w:r w:rsidRPr="00640DC3">
        <w:t xml:space="preserve">Stavridou, H. and Solomonidou, C. (1998). Conceptual reorganization and the construction of the chemical reaction concept during secondary education. </w:t>
      </w:r>
      <w:r w:rsidRPr="00640DC3">
        <w:rPr>
          <w:i/>
        </w:rPr>
        <w:t>International Journal of Science Education,</w:t>
      </w:r>
      <w:r w:rsidRPr="00640DC3">
        <w:t xml:space="preserve"> 20(2)</w:t>
      </w:r>
      <w:r w:rsidRPr="00640DC3">
        <w:rPr>
          <w:b/>
        </w:rPr>
        <w:t>,</w:t>
      </w:r>
      <w:r w:rsidRPr="00640DC3">
        <w:t xml:space="preserve"> 205-221.</w:t>
      </w:r>
    </w:p>
    <w:p w14:paraId="13DBE04C" w14:textId="4C37E071" w:rsidR="003117F6" w:rsidRPr="001C2E59" w:rsidRDefault="00640DC3" w:rsidP="00026DEC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fldChar w:fldCharType="end"/>
      </w:r>
    </w:p>
    <w:sectPr w:rsidR="003117F6" w:rsidRPr="001C2E59" w:rsidSect="00642ECD">
      <w:head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502F0" w14:textId="77777777" w:rsidR="00483FED" w:rsidRDefault="00483FED" w:rsidP="000B473B">
      <w:r>
        <w:separator/>
      </w:r>
    </w:p>
  </w:endnote>
  <w:endnote w:type="continuationSeparator" w:id="0">
    <w:p w14:paraId="6DE36678" w14:textId="77777777" w:rsidR="00483FED" w:rsidRDefault="00483FED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038C6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9DC140E" wp14:editId="3AFA4AA2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3EAE8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8D7667">
      <w:rPr>
        <w:noProof/>
      </w:rPr>
      <w:t>3</w:t>
    </w:r>
    <w:r>
      <w:rPr>
        <w:noProof/>
      </w:rPr>
      <w:fldChar w:fldCharType="end"/>
    </w:r>
  </w:p>
  <w:p w14:paraId="440EC1F9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CF6578">
      <w:rPr>
        <w:sz w:val="16"/>
        <w:szCs w:val="16"/>
      </w:rPr>
      <w:t>activity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0534473A" w14:textId="32E21A49" w:rsidR="00F12C3B" w:rsidRPr="00201AC2" w:rsidRDefault="008D7667" w:rsidP="008D7667">
    <w:pPr>
      <w:pStyle w:val="Footer"/>
      <w:rPr>
        <w:sz w:val="16"/>
        <w:szCs w:val="16"/>
      </w:rPr>
    </w:pPr>
    <w:r w:rsidRPr="008D7667">
      <w:rPr>
        <w:sz w:val="16"/>
        <w:szCs w:val="16"/>
      </w:rPr>
      <w:t>© University of York Science Education Group. Distributed under a Creative Commons Attribution-</w:t>
    </w:r>
    <w:r w:rsidR="00A74A7C" w:rsidRPr="008D7667">
      <w:rPr>
        <w:sz w:val="16"/>
        <w:szCs w:val="16"/>
      </w:rPr>
      <w:t>Non-commercial</w:t>
    </w:r>
    <w:r w:rsidRPr="008D7667">
      <w:rPr>
        <w:sz w:val="16"/>
        <w:szCs w:val="16"/>
      </w:rPr>
      <w:t xml:space="preserve">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CEE6D" w14:textId="77777777" w:rsidR="00483FED" w:rsidRDefault="00483FED" w:rsidP="000B473B">
      <w:r>
        <w:separator/>
      </w:r>
    </w:p>
  </w:footnote>
  <w:footnote w:type="continuationSeparator" w:id="0">
    <w:p w14:paraId="19D7EDD2" w14:textId="77777777" w:rsidR="00483FED" w:rsidRDefault="00483FED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EBA45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14627876" wp14:editId="20B413BF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76647CD" wp14:editId="69DD4CE6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B9D0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2FE83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F0DF1C2" wp14:editId="45006F33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B6DB8F" wp14:editId="4E11C33B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CE0E4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E06D8"/>
    <w:multiLevelType w:val="hybridMultilevel"/>
    <w:tmpl w:val="80E655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8D7667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134CEA"/>
    <w:rsid w:val="00142613"/>
    <w:rsid w:val="00144DA7"/>
    <w:rsid w:val="0015356E"/>
    <w:rsid w:val="00161D3F"/>
    <w:rsid w:val="001728E5"/>
    <w:rsid w:val="001915D4"/>
    <w:rsid w:val="00194675"/>
    <w:rsid w:val="001A1FED"/>
    <w:rsid w:val="001A40E2"/>
    <w:rsid w:val="001A410F"/>
    <w:rsid w:val="001C2E59"/>
    <w:rsid w:val="001C4805"/>
    <w:rsid w:val="00201AC2"/>
    <w:rsid w:val="002040AB"/>
    <w:rsid w:val="0020595E"/>
    <w:rsid w:val="00214608"/>
    <w:rsid w:val="002178AC"/>
    <w:rsid w:val="0022547C"/>
    <w:rsid w:val="0025410A"/>
    <w:rsid w:val="00267CF5"/>
    <w:rsid w:val="0027553E"/>
    <w:rsid w:val="0028012F"/>
    <w:rsid w:val="002828DF"/>
    <w:rsid w:val="00287876"/>
    <w:rsid w:val="00292C53"/>
    <w:rsid w:val="00294E22"/>
    <w:rsid w:val="002C22EA"/>
    <w:rsid w:val="002C59BA"/>
    <w:rsid w:val="002D7B1B"/>
    <w:rsid w:val="002F41B2"/>
    <w:rsid w:val="00301AA9"/>
    <w:rsid w:val="003117F6"/>
    <w:rsid w:val="003533B8"/>
    <w:rsid w:val="003752BE"/>
    <w:rsid w:val="003A346A"/>
    <w:rsid w:val="003A50A4"/>
    <w:rsid w:val="003B2917"/>
    <w:rsid w:val="003B541B"/>
    <w:rsid w:val="003E2B2F"/>
    <w:rsid w:val="003E6046"/>
    <w:rsid w:val="003F16F9"/>
    <w:rsid w:val="00430C1F"/>
    <w:rsid w:val="00442595"/>
    <w:rsid w:val="0045323E"/>
    <w:rsid w:val="00456227"/>
    <w:rsid w:val="00483FED"/>
    <w:rsid w:val="004B0EE1"/>
    <w:rsid w:val="004D0D83"/>
    <w:rsid w:val="004E1DF1"/>
    <w:rsid w:val="004E5592"/>
    <w:rsid w:val="0050055B"/>
    <w:rsid w:val="00524710"/>
    <w:rsid w:val="00555342"/>
    <w:rsid w:val="005560E2"/>
    <w:rsid w:val="0058450C"/>
    <w:rsid w:val="005A452E"/>
    <w:rsid w:val="005A6EE7"/>
    <w:rsid w:val="005E07F2"/>
    <w:rsid w:val="005F1A7B"/>
    <w:rsid w:val="006355D8"/>
    <w:rsid w:val="00640DC3"/>
    <w:rsid w:val="00642ECD"/>
    <w:rsid w:val="006502A0"/>
    <w:rsid w:val="006772F5"/>
    <w:rsid w:val="0069312F"/>
    <w:rsid w:val="006A320F"/>
    <w:rsid w:val="006A4440"/>
    <w:rsid w:val="006B0615"/>
    <w:rsid w:val="006D166B"/>
    <w:rsid w:val="006F3279"/>
    <w:rsid w:val="00704AEE"/>
    <w:rsid w:val="00722F9A"/>
    <w:rsid w:val="00754539"/>
    <w:rsid w:val="007742C5"/>
    <w:rsid w:val="00781BC6"/>
    <w:rsid w:val="0079401D"/>
    <w:rsid w:val="007A3C86"/>
    <w:rsid w:val="007A683E"/>
    <w:rsid w:val="007A748B"/>
    <w:rsid w:val="007D1D65"/>
    <w:rsid w:val="007D43BD"/>
    <w:rsid w:val="007E0A9E"/>
    <w:rsid w:val="007E5309"/>
    <w:rsid w:val="007F6C7C"/>
    <w:rsid w:val="00800DE1"/>
    <w:rsid w:val="008020EE"/>
    <w:rsid w:val="00806B12"/>
    <w:rsid w:val="00810612"/>
    <w:rsid w:val="00813F47"/>
    <w:rsid w:val="00826262"/>
    <w:rsid w:val="008450D6"/>
    <w:rsid w:val="00856FCA"/>
    <w:rsid w:val="00873B8C"/>
    <w:rsid w:val="00880E3B"/>
    <w:rsid w:val="008A405F"/>
    <w:rsid w:val="008C7F34"/>
    <w:rsid w:val="008D7667"/>
    <w:rsid w:val="008E580C"/>
    <w:rsid w:val="0090047A"/>
    <w:rsid w:val="009158ED"/>
    <w:rsid w:val="00925026"/>
    <w:rsid w:val="00931264"/>
    <w:rsid w:val="00942A4B"/>
    <w:rsid w:val="00952D04"/>
    <w:rsid w:val="00961D59"/>
    <w:rsid w:val="009B2D55"/>
    <w:rsid w:val="009C0343"/>
    <w:rsid w:val="009E0D11"/>
    <w:rsid w:val="00A166F0"/>
    <w:rsid w:val="00A24A16"/>
    <w:rsid w:val="00A37D14"/>
    <w:rsid w:val="00A6111E"/>
    <w:rsid w:val="00A6168B"/>
    <w:rsid w:val="00A62028"/>
    <w:rsid w:val="00A74A7C"/>
    <w:rsid w:val="00A8151A"/>
    <w:rsid w:val="00AA6236"/>
    <w:rsid w:val="00AB6AE7"/>
    <w:rsid w:val="00AD21F5"/>
    <w:rsid w:val="00AD3C75"/>
    <w:rsid w:val="00AD68F9"/>
    <w:rsid w:val="00B06225"/>
    <w:rsid w:val="00B23B31"/>
    <w:rsid w:val="00B23C7A"/>
    <w:rsid w:val="00B305F5"/>
    <w:rsid w:val="00B42CCD"/>
    <w:rsid w:val="00B46FF9"/>
    <w:rsid w:val="00B50447"/>
    <w:rsid w:val="00B75483"/>
    <w:rsid w:val="00BA7952"/>
    <w:rsid w:val="00BB2CE7"/>
    <w:rsid w:val="00BB44B4"/>
    <w:rsid w:val="00BF0BBF"/>
    <w:rsid w:val="00BF6C8A"/>
    <w:rsid w:val="00C054C9"/>
    <w:rsid w:val="00C05571"/>
    <w:rsid w:val="00C246CE"/>
    <w:rsid w:val="00C37304"/>
    <w:rsid w:val="00C57FA2"/>
    <w:rsid w:val="00C80257"/>
    <w:rsid w:val="00CC2E4D"/>
    <w:rsid w:val="00CC78A5"/>
    <w:rsid w:val="00CC7B16"/>
    <w:rsid w:val="00CE15FE"/>
    <w:rsid w:val="00CF6578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3D50"/>
    <w:rsid w:val="00DC4A4E"/>
    <w:rsid w:val="00DD1874"/>
    <w:rsid w:val="00DD63BD"/>
    <w:rsid w:val="00E03772"/>
    <w:rsid w:val="00E172C6"/>
    <w:rsid w:val="00E24309"/>
    <w:rsid w:val="00E53D82"/>
    <w:rsid w:val="00E65BF3"/>
    <w:rsid w:val="00E9330A"/>
    <w:rsid w:val="00EE6B97"/>
    <w:rsid w:val="00F12C3B"/>
    <w:rsid w:val="00F26884"/>
    <w:rsid w:val="00F72ECC"/>
    <w:rsid w:val="00F8355F"/>
    <w:rsid w:val="00FA1608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555E04"/>
  <w15:docId w15:val="{116DBE88-2693-4C46-A89D-A255072F1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D7B1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7B1B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640DC3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40DC3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640DC3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40DC3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1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sc.org/learn-chemistry/resource/res00000713/iron-and-sulfur-reaction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rsc.org/learn-chemistry/resource/res00000732/heating-group-1-metals-in-air-and-in-chlori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sc.org/learn-chemistry/resource/res00000713/iron-and-sulfur-reaction?cmpid=CMP00005161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Fairhurst</dc:creator>
  <cp:keywords/>
  <dc:description/>
  <cp:lastModifiedBy>HEC Harden</cp:lastModifiedBy>
  <cp:revision>7</cp:revision>
  <cp:lastPrinted>2017-02-24T16:20:00Z</cp:lastPrinted>
  <dcterms:created xsi:type="dcterms:W3CDTF">2018-09-19T11:24:00Z</dcterms:created>
  <dcterms:modified xsi:type="dcterms:W3CDTF">2018-11-27T10:04:00Z</dcterms:modified>
</cp:coreProperties>
</file>