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7C1BF8" w14:textId="793AF573" w:rsidR="00201AC2" w:rsidRPr="000B51C9" w:rsidRDefault="000B51C9" w:rsidP="00201AC2">
      <w:pPr>
        <w:spacing w:after="180"/>
        <w:rPr>
          <w:b/>
          <w:sz w:val="44"/>
          <w:szCs w:val="44"/>
        </w:rPr>
      </w:pPr>
      <w:r w:rsidRPr="000B51C9">
        <w:rPr>
          <w:b/>
          <w:sz w:val="44"/>
          <w:szCs w:val="44"/>
        </w:rPr>
        <w:t>Grouping changes</w:t>
      </w:r>
    </w:p>
    <w:p w14:paraId="3149BEDA" w14:textId="77777777" w:rsidR="00201AC2" w:rsidRPr="000B51C9" w:rsidRDefault="00201AC2" w:rsidP="00201AC2">
      <w:pPr>
        <w:spacing w:after="180"/>
      </w:pPr>
    </w:p>
    <w:p w14:paraId="7EDD523D" w14:textId="6DE29F57" w:rsidR="000B51C9" w:rsidRPr="000B51C9" w:rsidRDefault="000B51C9" w:rsidP="00201AC2">
      <w:pPr>
        <w:spacing w:after="180"/>
      </w:pPr>
      <w:r w:rsidRPr="000B51C9">
        <w:t>Here is a list of changes.</w:t>
      </w:r>
    </w:p>
    <w:p w14:paraId="717CD412" w14:textId="77777777" w:rsidR="002A6DE0" w:rsidRDefault="000B51C9" w:rsidP="00201AC2">
      <w:pPr>
        <w:spacing w:after="180"/>
      </w:pPr>
      <w:r w:rsidRPr="000B51C9">
        <w:t>Sort the changes into groups</w:t>
      </w:r>
      <w:r w:rsidR="00D12E71">
        <w:t>.</w:t>
      </w:r>
      <w:r w:rsidRPr="000B51C9">
        <w:t xml:space="preserve"> </w:t>
      </w:r>
    </w:p>
    <w:p w14:paraId="0F99C884" w14:textId="30EAB1ED" w:rsidR="000B51C9" w:rsidRPr="000B51C9" w:rsidRDefault="002A6DE0" w:rsidP="00201AC2">
      <w:pPr>
        <w:spacing w:after="180"/>
      </w:pPr>
      <w:r>
        <w:t xml:space="preserve">Each </w:t>
      </w:r>
      <w:r w:rsidR="000B51C9" w:rsidRPr="000B51C9">
        <w:t xml:space="preserve">group </w:t>
      </w:r>
      <w:r>
        <w:t>must have</w:t>
      </w:r>
      <w:r w:rsidR="000B51C9" w:rsidRPr="000B51C9">
        <w:t xml:space="preserve"> something in common.</w:t>
      </w:r>
    </w:p>
    <w:p w14:paraId="1A6B7575" w14:textId="2785BEDB" w:rsidR="000B51C9" w:rsidRPr="000B51C9" w:rsidRDefault="000B51C9" w:rsidP="00201AC2">
      <w:pPr>
        <w:spacing w:after="180"/>
      </w:pPr>
    </w:p>
    <w:tbl>
      <w:tblPr>
        <w:tblStyle w:val="TableGrid"/>
        <w:tblW w:w="0" w:type="auto"/>
        <w:tblLook w:val="04A0" w:firstRow="1" w:lastRow="0" w:firstColumn="1" w:lastColumn="0" w:noHBand="0" w:noVBand="1"/>
      </w:tblPr>
      <w:tblGrid>
        <w:gridCol w:w="4508"/>
        <w:gridCol w:w="4508"/>
      </w:tblGrid>
      <w:tr w:rsidR="000B51C9" w:rsidRPr="000B51C9" w14:paraId="3B80A83D" w14:textId="77777777" w:rsidTr="000B51C9">
        <w:tc>
          <w:tcPr>
            <w:tcW w:w="4508" w:type="dxa"/>
          </w:tcPr>
          <w:p w14:paraId="4EA91486" w14:textId="77777777" w:rsidR="000B51C9" w:rsidRDefault="000B51C9" w:rsidP="000B51C9">
            <w:pPr>
              <w:spacing w:after="180"/>
              <w:jc w:val="center"/>
              <w:rPr>
                <w:sz w:val="36"/>
              </w:rPr>
            </w:pPr>
          </w:p>
          <w:p w14:paraId="5DC754C7" w14:textId="77777777" w:rsidR="000B51C9" w:rsidRDefault="000B51C9" w:rsidP="000B51C9">
            <w:pPr>
              <w:spacing w:after="180"/>
              <w:jc w:val="center"/>
              <w:rPr>
                <w:sz w:val="36"/>
              </w:rPr>
            </w:pPr>
            <w:r w:rsidRPr="000B51C9">
              <w:rPr>
                <w:sz w:val="36"/>
              </w:rPr>
              <w:t>wax melting</w:t>
            </w:r>
          </w:p>
          <w:p w14:paraId="1E76C73B" w14:textId="47853ECF" w:rsidR="000B51C9" w:rsidRPr="000B51C9" w:rsidRDefault="000B51C9" w:rsidP="000B51C9">
            <w:pPr>
              <w:spacing w:after="180"/>
              <w:jc w:val="center"/>
              <w:rPr>
                <w:sz w:val="36"/>
              </w:rPr>
            </w:pPr>
          </w:p>
        </w:tc>
        <w:tc>
          <w:tcPr>
            <w:tcW w:w="4508" w:type="dxa"/>
          </w:tcPr>
          <w:p w14:paraId="47C18174" w14:textId="77777777" w:rsidR="000B51C9" w:rsidRDefault="000B51C9" w:rsidP="000B51C9">
            <w:pPr>
              <w:spacing w:after="180"/>
              <w:jc w:val="center"/>
              <w:rPr>
                <w:sz w:val="36"/>
              </w:rPr>
            </w:pPr>
          </w:p>
          <w:p w14:paraId="4DC5E21F" w14:textId="430C3E5E" w:rsidR="000B51C9" w:rsidRPr="000B51C9" w:rsidRDefault="000B51C9" w:rsidP="000B51C9">
            <w:pPr>
              <w:spacing w:after="180"/>
              <w:jc w:val="center"/>
              <w:rPr>
                <w:sz w:val="36"/>
              </w:rPr>
            </w:pPr>
            <w:r w:rsidRPr="000B51C9">
              <w:rPr>
                <w:sz w:val="36"/>
              </w:rPr>
              <w:t>nail rusting</w:t>
            </w:r>
          </w:p>
        </w:tc>
      </w:tr>
      <w:tr w:rsidR="000B51C9" w:rsidRPr="000B51C9" w14:paraId="79F1D210" w14:textId="77777777" w:rsidTr="000B51C9">
        <w:tc>
          <w:tcPr>
            <w:tcW w:w="4508" w:type="dxa"/>
          </w:tcPr>
          <w:p w14:paraId="4B84DFEA" w14:textId="77777777" w:rsidR="000B51C9" w:rsidRDefault="000B51C9" w:rsidP="000B51C9">
            <w:pPr>
              <w:spacing w:after="180"/>
              <w:jc w:val="center"/>
              <w:rPr>
                <w:sz w:val="36"/>
              </w:rPr>
            </w:pPr>
          </w:p>
          <w:p w14:paraId="51C2F1FE" w14:textId="6BEBAE26" w:rsidR="000B51C9" w:rsidRPr="000B51C9" w:rsidRDefault="000B51C9" w:rsidP="000B51C9">
            <w:pPr>
              <w:spacing w:after="180"/>
              <w:jc w:val="center"/>
              <w:rPr>
                <w:sz w:val="36"/>
              </w:rPr>
            </w:pPr>
            <w:r w:rsidRPr="000B51C9">
              <w:rPr>
                <w:sz w:val="36"/>
              </w:rPr>
              <w:t>wood burning</w:t>
            </w:r>
          </w:p>
        </w:tc>
        <w:tc>
          <w:tcPr>
            <w:tcW w:w="4508" w:type="dxa"/>
          </w:tcPr>
          <w:p w14:paraId="7004317E" w14:textId="77777777" w:rsidR="000B51C9" w:rsidRDefault="000B51C9" w:rsidP="000B51C9">
            <w:pPr>
              <w:spacing w:after="180"/>
              <w:jc w:val="center"/>
              <w:rPr>
                <w:sz w:val="36"/>
              </w:rPr>
            </w:pPr>
          </w:p>
          <w:p w14:paraId="556CF5A9" w14:textId="50192744" w:rsidR="000B51C9" w:rsidRDefault="000B51C9" w:rsidP="000B51C9">
            <w:pPr>
              <w:spacing w:after="180"/>
              <w:jc w:val="center"/>
              <w:rPr>
                <w:sz w:val="36"/>
              </w:rPr>
            </w:pPr>
            <w:r w:rsidRPr="000B51C9">
              <w:rPr>
                <w:sz w:val="36"/>
              </w:rPr>
              <w:t>water boiling</w:t>
            </w:r>
          </w:p>
          <w:p w14:paraId="3ECA8234" w14:textId="122FF8EA" w:rsidR="000B51C9" w:rsidRPr="000B51C9" w:rsidRDefault="000B51C9" w:rsidP="000B51C9">
            <w:pPr>
              <w:spacing w:after="180"/>
              <w:rPr>
                <w:sz w:val="36"/>
              </w:rPr>
            </w:pPr>
          </w:p>
        </w:tc>
      </w:tr>
      <w:tr w:rsidR="000B51C9" w:rsidRPr="000B51C9" w14:paraId="58AB9ADB" w14:textId="77777777" w:rsidTr="000B51C9">
        <w:tc>
          <w:tcPr>
            <w:tcW w:w="4508" w:type="dxa"/>
          </w:tcPr>
          <w:p w14:paraId="5E44641F" w14:textId="77777777" w:rsidR="000B51C9" w:rsidRDefault="000B51C9" w:rsidP="000B51C9">
            <w:pPr>
              <w:spacing w:after="180"/>
              <w:jc w:val="center"/>
              <w:rPr>
                <w:sz w:val="36"/>
              </w:rPr>
            </w:pPr>
          </w:p>
          <w:p w14:paraId="29DFFAAF" w14:textId="77777777" w:rsidR="000B51C9" w:rsidRDefault="000B51C9" w:rsidP="000B51C9">
            <w:pPr>
              <w:spacing w:after="180"/>
              <w:jc w:val="center"/>
              <w:rPr>
                <w:sz w:val="36"/>
              </w:rPr>
            </w:pPr>
            <w:r w:rsidRPr="000B51C9">
              <w:rPr>
                <w:sz w:val="36"/>
              </w:rPr>
              <w:t>perfume evaporating</w:t>
            </w:r>
          </w:p>
          <w:p w14:paraId="4D14B376" w14:textId="00C1E7A3" w:rsidR="000B51C9" w:rsidRPr="000B51C9" w:rsidRDefault="000B51C9" w:rsidP="000B51C9">
            <w:pPr>
              <w:spacing w:after="180"/>
              <w:jc w:val="center"/>
              <w:rPr>
                <w:sz w:val="36"/>
              </w:rPr>
            </w:pPr>
          </w:p>
        </w:tc>
        <w:tc>
          <w:tcPr>
            <w:tcW w:w="4508" w:type="dxa"/>
          </w:tcPr>
          <w:p w14:paraId="04FE8E2C" w14:textId="77777777" w:rsidR="000B51C9" w:rsidRDefault="000B51C9" w:rsidP="000B51C9">
            <w:pPr>
              <w:spacing w:after="180"/>
              <w:jc w:val="center"/>
              <w:rPr>
                <w:sz w:val="36"/>
              </w:rPr>
            </w:pPr>
          </w:p>
          <w:p w14:paraId="2E359541" w14:textId="10A0D455" w:rsidR="000B51C9" w:rsidRPr="000B51C9" w:rsidRDefault="000B51C9" w:rsidP="000B51C9">
            <w:pPr>
              <w:spacing w:after="180"/>
              <w:jc w:val="center"/>
              <w:rPr>
                <w:sz w:val="36"/>
              </w:rPr>
            </w:pPr>
            <w:r w:rsidRPr="000B51C9">
              <w:rPr>
                <w:sz w:val="36"/>
              </w:rPr>
              <w:t>milk turning sour</w:t>
            </w:r>
          </w:p>
        </w:tc>
      </w:tr>
      <w:tr w:rsidR="000B51C9" w:rsidRPr="000B51C9" w14:paraId="1A7EB5C7" w14:textId="77777777" w:rsidTr="000B51C9">
        <w:tc>
          <w:tcPr>
            <w:tcW w:w="4508" w:type="dxa"/>
          </w:tcPr>
          <w:p w14:paraId="1A2B96A9" w14:textId="77777777" w:rsidR="000B51C9" w:rsidRDefault="000B51C9" w:rsidP="000B51C9">
            <w:pPr>
              <w:spacing w:after="180"/>
              <w:jc w:val="center"/>
              <w:rPr>
                <w:sz w:val="36"/>
              </w:rPr>
            </w:pPr>
          </w:p>
          <w:p w14:paraId="4133BC9C" w14:textId="77777777" w:rsidR="000B51C9" w:rsidRDefault="000B51C9" w:rsidP="000B51C9">
            <w:pPr>
              <w:spacing w:after="180"/>
              <w:jc w:val="center"/>
              <w:rPr>
                <w:sz w:val="36"/>
              </w:rPr>
            </w:pPr>
            <w:r w:rsidRPr="000B51C9">
              <w:rPr>
                <w:sz w:val="36"/>
              </w:rPr>
              <w:t>meat cooking in an oven</w:t>
            </w:r>
          </w:p>
          <w:p w14:paraId="4A609EE5" w14:textId="153F873C" w:rsidR="000B51C9" w:rsidRPr="000B51C9" w:rsidRDefault="000B51C9" w:rsidP="000B51C9">
            <w:pPr>
              <w:spacing w:after="180"/>
              <w:jc w:val="center"/>
              <w:rPr>
                <w:sz w:val="36"/>
              </w:rPr>
            </w:pPr>
          </w:p>
        </w:tc>
        <w:tc>
          <w:tcPr>
            <w:tcW w:w="4508" w:type="dxa"/>
          </w:tcPr>
          <w:p w14:paraId="7FE9EA60" w14:textId="77777777" w:rsidR="000B51C9" w:rsidRDefault="000B51C9" w:rsidP="000B51C9">
            <w:pPr>
              <w:spacing w:after="180"/>
              <w:jc w:val="center"/>
              <w:rPr>
                <w:sz w:val="36"/>
              </w:rPr>
            </w:pPr>
          </w:p>
          <w:p w14:paraId="77BCA123" w14:textId="78D78A84" w:rsidR="000B51C9" w:rsidRPr="000B51C9" w:rsidRDefault="000B51C9" w:rsidP="000B51C9">
            <w:pPr>
              <w:spacing w:after="180"/>
              <w:jc w:val="center"/>
              <w:rPr>
                <w:sz w:val="36"/>
              </w:rPr>
            </w:pPr>
            <w:r w:rsidRPr="000B51C9">
              <w:rPr>
                <w:sz w:val="36"/>
              </w:rPr>
              <w:t>salt added to soup</w:t>
            </w:r>
          </w:p>
        </w:tc>
      </w:tr>
      <w:tr w:rsidR="000B51C9" w:rsidRPr="000B51C9" w14:paraId="23FC3875" w14:textId="77777777" w:rsidTr="000B51C9">
        <w:tc>
          <w:tcPr>
            <w:tcW w:w="4508" w:type="dxa"/>
          </w:tcPr>
          <w:p w14:paraId="3D0DEBC5" w14:textId="77777777" w:rsidR="000B51C9" w:rsidRDefault="000B51C9" w:rsidP="000B51C9">
            <w:pPr>
              <w:spacing w:after="180"/>
              <w:jc w:val="center"/>
              <w:rPr>
                <w:sz w:val="36"/>
              </w:rPr>
            </w:pPr>
          </w:p>
          <w:p w14:paraId="4D4421C2" w14:textId="77777777" w:rsidR="000B51C9" w:rsidRDefault="000B51C9" w:rsidP="000B51C9">
            <w:pPr>
              <w:spacing w:after="180"/>
              <w:jc w:val="center"/>
              <w:rPr>
                <w:sz w:val="36"/>
              </w:rPr>
            </w:pPr>
            <w:r w:rsidRPr="000B51C9">
              <w:rPr>
                <w:sz w:val="36"/>
              </w:rPr>
              <w:t>sugar added to tea</w:t>
            </w:r>
          </w:p>
          <w:p w14:paraId="0A1042BA" w14:textId="5A1AB2A4" w:rsidR="000B51C9" w:rsidRPr="000B51C9" w:rsidRDefault="000B51C9" w:rsidP="000B51C9">
            <w:pPr>
              <w:spacing w:after="180"/>
              <w:jc w:val="center"/>
              <w:rPr>
                <w:sz w:val="36"/>
              </w:rPr>
            </w:pPr>
          </w:p>
        </w:tc>
        <w:tc>
          <w:tcPr>
            <w:tcW w:w="4508" w:type="dxa"/>
          </w:tcPr>
          <w:p w14:paraId="475F03CC" w14:textId="77777777" w:rsidR="000B51C9" w:rsidRDefault="000B51C9" w:rsidP="000B51C9">
            <w:pPr>
              <w:spacing w:after="180"/>
              <w:jc w:val="center"/>
              <w:rPr>
                <w:sz w:val="36"/>
              </w:rPr>
            </w:pPr>
          </w:p>
          <w:p w14:paraId="2CDC8C39" w14:textId="49CFE3B2" w:rsidR="000B51C9" w:rsidRPr="000B51C9" w:rsidRDefault="000B51C9" w:rsidP="000B51C9">
            <w:pPr>
              <w:spacing w:after="180"/>
              <w:jc w:val="center"/>
              <w:rPr>
                <w:sz w:val="36"/>
              </w:rPr>
            </w:pPr>
            <w:r w:rsidRPr="000B51C9">
              <w:rPr>
                <w:sz w:val="36"/>
              </w:rPr>
              <w:t>egg boiling</w:t>
            </w:r>
          </w:p>
        </w:tc>
      </w:tr>
    </w:tbl>
    <w:p w14:paraId="50F7979F" w14:textId="77777777" w:rsidR="000B51C9" w:rsidRPr="000B51C9" w:rsidRDefault="000B51C9" w:rsidP="00201AC2">
      <w:pPr>
        <w:spacing w:after="180"/>
        <w:rPr>
          <w:highlight w:val="yellow"/>
        </w:rPr>
      </w:pPr>
    </w:p>
    <w:p w14:paraId="231FC2D5" w14:textId="77777777" w:rsidR="007C26E1" w:rsidRDefault="007C26E1" w:rsidP="00201AC2">
      <w:pPr>
        <w:spacing w:after="180"/>
      </w:pPr>
    </w:p>
    <w:p w14:paraId="2B28F865" w14:textId="77777777" w:rsidR="00201AC2" w:rsidRPr="00201AC2" w:rsidRDefault="00201AC2" w:rsidP="006F3279">
      <w:pPr>
        <w:spacing w:after="240"/>
        <w:rPr>
          <w:szCs w:val="18"/>
        </w:rPr>
      </w:pPr>
    </w:p>
    <w:p w14:paraId="5DCE0BFD" w14:textId="77777777" w:rsidR="00201AC2" w:rsidRPr="00201AC2" w:rsidRDefault="00201AC2" w:rsidP="006F3279">
      <w:pPr>
        <w:spacing w:after="240"/>
        <w:rPr>
          <w:szCs w:val="18"/>
        </w:rPr>
      </w:pPr>
    </w:p>
    <w:p w14:paraId="7FE7EC1E" w14:textId="66E0DBA5" w:rsidR="00287876" w:rsidRPr="006F3279" w:rsidRDefault="00323334" w:rsidP="006F3279">
      <w:pPr>
        <w:spacing w:after="240"/>
        <w:rPr>
          <w:i/>
          <w:sz w:val="18"/>
          <w:szCs w:val="18"/>
        </w:rPr>
      </w:pPr>
      <w:r>
        <w:rPr>
          <w:i/>
          <w:sz w:val="18"/>
          <w:szCs w:val="18"/>
        </w:rPr>
        <w:t>Chemistry</w:t>
      </w:r>
      <w:r w:rsidR="006F3279" w:rsidRPr="00CA4B46">
        <w:rPr>
          <w:i/>
          <w:sz w:val="18"/>
          <w:szCs w:val="18"/>
        </w:rPr>
        <w:t xml:space="preserve"> &gt; </w:t>
      </w:r>
      <w:r w:rsidR="0007651D">
        <w:rPr>
          <w:i/>
          <w:sz w:val="18"/>
          <w:szCs w:val="18"/>
        </w:rPr>
        <w:t xml:space="preserve">Big idea </w:t>
      </w:r>
      <w:r w:rsidR="000B51C9">
        <w:rPr>
          <w:i/>
          <w:sz w:val="18"/>
          <w:szCs w:val="18"/>
        </w:rPr>
        <w:t>CCR: Chemical reactions</w:t>
      </w:r>
      <w:r w:rsidR="0007651D">
        <w:rPr>
          <w:i/>
          <w:sz w:val="18"/>
          <w:szCs w:val="18"/>
        </w:rPr>
        <w:t xml:space="preserve"> &gt; Topic </w:t>
      </w:r>
      <w:r w:rsidR="000B51C9">
        <w:rPr>
          <w:i/>
          <w:sz w:val="18"/>
          <w:szCs w:val="18"/>
        </w:rPr>
        <w:t>CCR1: Chemical change</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r w:rsidR="000B51C9">
        <w:rPr>
          <w:i/>
          <w:sz w:val="18"/>
          <w:szCs w:val="18"/>
        </w:rPr>
        <w:t>CCR1.1: Formation of new substance</w:t>
      </w:r>
      <w:r w:rsidR="00C2735D">
        <w:rPr>
          <w:i/>
          <w:sz w:val="18"/>
          <w:szCs w:val="18"/>
        </w:rPr>
        <w:t>s</w:t>
      </w:r>
      <w:bookmarkStart w:id="0" w:name="_GoBack"/>
      <w:bookmarkEnd w:id="0"/>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4135E1D0" w14:textId="77777777" w:rsidTr="00323334">
        <w:tc>
          <w:tcPr>
            <w:tcW w:w="12021" w:type="dxa"/>
            <w:shd w:val="clear" w:color="auto" w:fill="FABF8F" w:themeFill="accent6" w:themeFillTint="99"/>
          </w:tcPr>
          <w:p w14:paraId="7F5A2B23" w14:textId="77777777" w:rsidR="006F3279" w:rsidRPr="00CA4B46" w:rsidRDefault="007C26E1" w:rsidP="00781BC6">
            <w:pPr>
              <w:ind w:left="1304"/>
              <w:rPr>
                <w:b/>
                <w:sz w:val="40"/>
                <w:szCs w:val="40"/>
              </w:rPr>
            </w:pPr>
            <w:r>
              <w:rPr>
                <w:b/>
                <w:sz w:val="40"/>
                <w:szCs w:val="40"/>
              </w:rPr>
              <w:t>Diagnostic</w:t>
            </w:r>
            <w:r w:rsidR="004C5D20">
              <w:rPr>
                <w:b/>
                <w:sz w:val="40"/>
                <w:szCs w:val="40"/>
              </w:rPr>
              <w:t xml:space="preserve"> </w:t>
            </w:r>
            <w:r w:rsidR="00FA5B3A">
              <w:rPr>
                <w:b/>
                <w:sz w:val="40"/>
                <w:szCs w:val="40"/>
              </w:rPr>
              <w:t>question</w:t>
            </w:r>
          </w:p>
        </w:tc>
      </w:tr>
      <w:tr w:rsidR="006F3279" w:rsidRPr="00AE2D3C" w14:paraId="5D9BAB92" w14:textId="77777777" w:rsidTr="00323334">
        <w:tc>
          <w:tcPr>
            <w:tcW w:w="12021" w:type="dxa"/>
            <w:shd w:val="clear" w:color="auto" w:fill="FBD4B4" w:themeFill="accent6" w:themeFillTint="66"/>
          </w:tcPr>
          <w:p w14:paraId="4B24CB64" w14:textId="58081424" w:rsidR="006F3279" w:rsidRPr="00AE2D3C" w:rsidRDefault="000B51C9" w:rsidP="006F3279">
            <w:pPr>
              <w:spacing w:after="60"/>
              <w:ind w:left="1304"/>
              <w:rPr>
                <w:b/>
                <w:sz w:val="40"/>
                <w:szCs w:val="40"/>
              </w:rPr>
            </w:pPr>
            <w:r w:rsidRPr="00AE2D3C">
              <w:rPr>
                <w:b/>
                <w:sz w:val="40"/>
                <w:szCs w:val="40"/>
              </w:rPr>
              <w:t>Grouping changes</w:t>
            </w:r>
          </w:p>
        </w:tc>
      </w:tr>
    </w:tbl>
    <w:p w14:paraId="3811DDA0" w14:textId="77777777" w:rsidR="006F3279" w:rsidRPr="00AE2D3C" w:rsidRDefault="006F3279" w:rsidP="00E172C6">
      <w:pPr>
        <w:spacing w:after="180"/>
        <w:rPr>
          <w:b/>
        </w:rPr>
      </w:pPr>
    </w:p>
    <w:p w14:paraId="207017F2" w14:textId="77777777" w:rsidR="00402E34" w:rsidRPr="00AE2D3C" w:rsidRDefault="00402E34" w:rsidP="00E172C6">
      <w:pPr>
        <w:spacing w:after="180"/>
        <w:rPr>
          <w:b/>
          <w:color w:val="E36C0A" w:themeColor="accent6" w:themeShade="BF"/>
        </w:rPr>
      </w:pPr>
      <w:r w:rsidRPr="00AE2D3C">
        <w:rPr>
          <w:b/>
          <w:color w:val="E36C0A" w:themeColor="accent6" w:themeShade="BF"/>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FA5B3A" w:rsidRPr="00AE2D3C" w14:paraId="259AC6D7" w14:textId="77777777" w:rsidTr="003F16F9">
        <w:trPr>
          <w:trHeight w:val="340"/>
        </w:trPr>
        <w:tc>
          <w:tcPr>
            <w:tcW w:w="2196" w:type="dxa"/>
          </w:tcPr>
          <w:p w14:paraId="07536A12" w14:textId="77777777" w:rsidR="00FA5B3A" w:rsidRPr="00AE2D3C" w:rsidRDefault="00FA5B3A" w:rsidP="00FA5B3A">
            <w:pPr>
              <w:spacing w:before="60" w:after="60"/>
            </w:pPr>
            <w:r w:rsidRPr="00AE2D3C">
              <w:t>Learning focus:</w:t>
            </w:r>
          </w:p>
        </w:tc>
        <w:tc>
          <w:tcPr>
            <w:tcW w:w="6820" w:type="dxa"/>
          </w:tcPr>
          <w:p w14:paraId="2618EF23" w14:textId="4F0B2977" w:rsidR="00FA5B3A" w:rsidRPr="00AE2D3C" w:rsidRDefault="00D40DB1" w:rsidP="00FA5B3A">
            <w:pPr>
              <w:spacing w:before="60" w:after="60"/>
            </w:pPr>
            <w:r w:rsidRPr="00AE2D3C">
              <w:t>During a chemical reaction a new substance (or substances</w:t>
            </w:r>
            <w:r w:rsidR="002A6DE0">
              <w:t>)</w:t>
            </w:r>
            <w:r w:rsidRPr="00AE2D3C">
              <w:t xml:space="preserve"> are formed</w:t>
            </w:r>
            <w:r w:rsidR="002A6DE0">
              <w:t xml:space="preserve"> which have different properties</w:t>
            </w:r>
            <w:r w:rsidRPr="00AE2D3C">
              <w:t>.</w:t>
            </w:r>
          </w:p>
        </w:tc>
      </w:tr>
      <w:tr w:rsidR="00FA5B3A" w:rsidRPr="00AE2D3C" w14:paraId="18334205" w14:textId="77777777" w:rsidTr="003F16F9">
        <w:trPr>
          <w:trHeight w:val="340"/>
        </w:trPr>
        <w:tc>
          <w:tcPr>
            <w:tcW w:w="2196" w:type="dxa"/>
          </w:tcPr>
          <w:p w14:paraId="3DCAF7A1" w14:textId="77777777" w:rsidR="00FA5B3A" w:rsidRPr="00AE2D3C" w:rsidRDefault="00FA5B3A" w:rsidP="00FA5B3A">
            <w:pPr>
              <w:spacing w:before="60" w:after="60"/>
            </w:pPr>
            <w:r w:rsidRPr="00AE2D3C">
              <w:t>Observable learning outcome:</w:t>
            </w:r>
          </w:p>
        </w:tc>
        <w:tc>
          <w:tcPr>
            <w:tcW w:w="6820" w:type="dxa"/>
          </w:tcPr>
          <w:p w14:paraId="2E8AA6F1" w14:textId="61AF87B9" w:rsidR="00FA5B3A" w:rsidRPr="00AE2D3C" w:rsidRDefault="00D40DB1" w:rsidP="00FA5B3A">
            <w:pPr>
              <w:spacing w:before="60" w:after="60"/>
              <w:rPr>
                <w:b/>
              </w:rPr>
            </w:pPr>
            <w:r w:rsidRPr="00AE2D3C">
              <w:t>Categorise everyday observations of change.</w:t>
            </w:r>
          </w:p>
        </w:tc>
      </w:tr>
      <w:tr w:rsidR="00FA5B3A" w:rsidRPr="00AE2D3C" w14:paraId="2A659D6E" w14:textId="77777777" w:rsidTr="003F16F9">
        <w:trPr>
          <w:trHeight w:val="340"/>
        </w:trPr>
        <w:tc>
          <w:tcPr>
            <w:tcW w:w="2196" w:type="dxa"/>
          </w:tcPr>
          <w:p w14:paraId="017884D3" w14:textId="77777777" w:rsidR="00FA5B3A" w:rsidRPr="00AE2D3C" w:rsidRDefault="007F5D5D" w:rsidP="00FA5B3A">
            <w:pPr>
              <w:spacing w:before="60" w:after="60"/>
            </w:pPr>
            <w:r w:rsidRPr="00AE2D3C">
              <w:t>Question</w:t>
            </w:r>
            <w:r w:rsidR="00FA5B3A" w:rsidRPr="00AE2D3C">
              <w:t xml:space="preserve"> type:</w:t>
            </w:r>
          </w:p>
        </w:tc>
        <w:tc>
          <w:tcPr>
            <w:tcW w:w="6820" w:type="dxa"/>
          </w:tcPr>
          <w:p w14:paraId="078C3F50" w14:textId="4150FCBA" w:rsidR="00FA5B3A" w:rsidRPr="00AE2D3C" w:rsidRDefault="00654151" w:rsidP="00FA5B3A">
            <w:pPr>
              <w:spacing w:before="60" w:after="60"/>
            </w:pPr>
            <w:r>
              <w:t>categorising</w:t>
            </w:r>
          </w:p>
        </w:tc>
      </w:tr>
      <w:tr w:rsidR="00FA5B3A" w:rsidRPr="00AE2D3C" w14:paraId="6ABCC646" w14:textId="77777777" w:rsidTr="003F16F9">
        <w:trPr>
          <w:trHeight w:val="340"/>
        </w:trPr>
        <w:tc>
          <w:tcPr>
            <w:tcW w:w="2196" w:type="dxa"/>
          </w:tcPr>
          <w:p w14:paraId="1755613D" w14:textId="77777777" w:rsidR="00FA5B3A" w:rsidRPr="00AE2D3C" w:rsidRDefault="00FA5B3A" w:rsidP="00FA5B3A">
            <w:pPr>
              <w:spacing w:before="60" w:after="60"/>
            </w:pPr>
            <w:r w:rsidRPr="00AE2D3C">
              <w:t>Key words:</w:t>
            </w:r>
          </w:p>
        </w:tc>
        <w:tc>
          <w:tcPr>
            <w:tcW w:w="6820" w:type="dxa"/>
            <w:tcBorders>
              <w:bottom w:val="dotted" w:sz="4" w:space="0" w:color="auto"/>
            </w:tcBorders>
          </w:tcPr>
          <w:p w14:paraId="41801BF1" w14:textId="5E1445B1" w:rsidR="00FA5B3A" w:rsidRPr="00AE2D3C" w:rsidRDefault="00D40DB1" w:rsidP="00FA5B3A">
            <w:pPr>
              <w:spacing w:before="60" w:after="60"/>
            </w:pPr>
            <w:r w:rsidRPr="00AE2D3C">
              <w:t xml:space="preserve">melting, boiling, </w:t>
            </w:r>
          </w:p>
        </w:tc>
      </w:tr>
    </w:tbl>
    <w:p w14:paraId="55B5169E" w14:textId="4AC27E54" w:rsidR="0009089A" w:rsidRPr="00AE2D3C" w:rsidRDefault="0009089A" w:rsidP="000505CA">
      <w:pPr>
        <w:spacing w:after="18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14:paraId="5E956653" w14:textId="77777777" w:rsidTr="00323334">
        <w:tc>
          <w:tcPr>
            <w:tcW w:w="709" w:type="dxa"/>
            <w:shd w:val="clear" w:color="auto" w:fill="FABF8F" w:themeFill="accent6" w:themeFillTint="99"/>
            <w:tcMar>
              <w:left w:w="28" w:type="dxa"/>
              <w:bottom w:w="57" w:type="dxa"/>
              <w:right w:w="28" w:type="dxa"/>
            </w:tcMar>
            <w:vAlign w:val="center"/>
          </w:tcPr>
          <w:p w14:paraId="1F318E4E" w14:textId="77777777" w:rsidR="005A6EE7" w:rsidRPr="00AE2D3C" w:rsidRDefault="00C54711" w:rsidP="00F72ECC">
            <w:pPr>
              <w:jc w:val="center"/>
              <w:rPr>
                <w:b/>
                <w:color w:val="FFFFFF" w:themeColor="background1"/>
                <w:sz w:val="40"/>
              </w:rPr>
            </w:pPr>
            <w:r w:rsidRPr="00AE2D3C">
              <w:rPr>
                <w:b/>
                <w:color w:val="FFFFFF" w:themeColor="background1"/>
                <w:sz w:val="56"/>
              </w:rPr>
              <w:t>P</w:t>
            </w:r>
          </w:p>
        </w:tc>
        <w:tc>
          <w:tcPr>
            <w:tcW w:w="8307" w:type="dxa"/>
            <w:tcMar>
              <w:left w:w="170" w:type="dxa"/>
            </w:tcMar>
            <w:vAlign w:val="center"/>
          </w:tcPr>
          <w:p w14:paraId="4B2D172F" w14:textId="77777777" w:rsidR="00F72ECC" w:rsidRPr="00AE2D3C" w:rsidRDefault="00C54711" w:rsidP="00F72ECC">
            <w:pPr>
              <w:spacing w:after="60"/>
              <w:rPr>
                <w:color w:val="E36C0A" w:themeColor="accent6" w:themeShade="BF"/>
                <w:sz w:val="20"/>
              </w:rPr>
            </w:pPr>
            <w:r w:rsidRPr="00AE2D3C">
              <w:rPr>
                <w:b/>
                <w:color w:val="E36C0A" w:themeColor="accent6" w:themeShade="BF"/>
              </w:rPr>
              <w:t>PRIOR UNDERSTANDING</w:t>
            </w:r>
            <w:r w:rsidR="00FA5B3A" w:rsidRPr="00AE2D3C">
              <w:rPr>
                <w:b/>
                <w:color w:val="E36C0A" w:themeColor="accent6" w:themeShade="BF"/>
              </w:rPr>
              <w:t xml:space="preserve"> </w:t>
            </w:r>
          </w:p>
          <w:p w14:paraId="1BDF3F8B" w14:textId="77777777" w:rsidR="005A6EE7" w:rsidRDefault="00FA5B3A" w:rsidP="007C26E1">
            <w:r w:rsidRPr="00AE2D3C">
              <w:rPr>
                <w:sz w:val="20"/>
              </w:rPr>
              <w:t xml:space="preserve">This diagnostic question </w:t>
            </w:r>
            <w:r w:rsidR="007C26E1" w:rsidRPr="00AE2D3C">
              <w:rPr>
                <w:sz w:val="20"/>
              </w:rPr>
              <w:t xml:space="preserve">probes understanding of </w:t>
            </w:r>
            <w:r w:rsidR="004C5D20" w:rsidRPr="00AE2D3C">
              <w:rPr>
                <w:sz w:val="20"/>
              </w:rPr>
              <w:t xml:space="preserve">ideas that are usually taught at age 5-11, to aid transition from earlier </w:t>
            </w:r>
            <w:r w:rsidR="00C54711" w:rsidRPr="00AE2D3C">
              <w:rPr>
                <w:sz w:val="20"/>
              </w:rPr>
              <w:t xml:space="preserve">stages of </w:t>
            </w:r>
            <w:r w:rsidR="004C5D20" w:rsidRPr="00AE2D3C">
              <w:rPr>
                <w:sz w:val="20"/>
              </w:rPr>
              <w:t>learning.</w:t>
            </w:r>
            <w:r w:rsidR="00F72ECC" w:rsidRPr="00F72ECC">
              <w:rPr>
                <w:sz w:val="20"/>
              </w:rPr>
              <w:t xml:space="preserve"> </w:t>
            </w:r>
          </w:p>
        </w:tc>
      </w:tr>
    </w:tbl>
    <w:p w14:paraId="24836C26" w14:textId="77777777" w:rsidR="005A6EE7" w:rsidRDefault="005A6EE7" w:rsidP="00F72ECC"/>
    <w:p w14:paraId="7FAE20DA" w14:textId="77777777" w:rsidR="00F72ECC" w:rsidRDefault="00F72ECC" w:rsidP="00F72ECC"/>
    <w:p w14:paraId="562F537D" w14:textId="77777777" w:rsidR="00C05571" w:rsidRPr="00323334" w:rsidRDefault="00BB44B4" w:rsidP="00026DEC">
      <w:pPr>
        <w:spacing w:after="180"/>
        <w:rPr>
          <w:b/>
          <w:color w:val="E36C0A" w:themeColor="accent6" w:themeShade="BF"/>
          <w:sz w:val="24"/>
        </w:rPr>
      </w:pPr>
      <w:r w:rsidRPr="00323334">
        <w:rPr>
          <w:b/>
          <w:color w:val="E36C0A" w:themeColor="accent6" w:themeShade="BF"/>
          <w:sz w:val="24"/>
        </w:rPr>
        <w:t>What does the research say</w:t>
      </w:r>
      <w:r w:rsidR="00C05571" w:rsidRPr="00323334">
        <w:rPr>
          <w:b/>
          <w:color w:val="E36C0A" w:themeColor="accent6" w:themeShade="BF"/>
          <w:sz w:val="24"/>
        </w:rPr>
        <w:t>?</w:t>
      </w:r>
    </w:p>
    <w:p w14:paraId="6E0B96B4" w14:textId="66AF24EC" w:rsidR="000403C9" w:rsidRPr="000403C9" w:rsidRDefault="00D12E71" w:rsidP="0050055B">
      <w:pPr>
        <w:spacing w:after="180"/>
      </w:pPr>
      <w:r w:rsidRPr="000403C9">
        <w:t xml:space="preserve">This diagnostic question was inspired by a task </w:t>
      </w:r>
      <w:r>
        <w:t xml:space="preserve">created by Stavridou and Solomonidou </w:t>
      </w:r>
      <w:r w:rsidRPr="000403C9">
        <w:fldChar w:fldCharType="begin"/>
      </w:r>
      <w:r>
        <w:instrText xml:space="preserve"> ADDIN EN.CITE &lt;EndNote&gt;&lt;Cite ExcludeAuth="1"&gt;&lt;Author&gt;Stavridou&lt;/Author&gt;&lt;Year&gt;1998&lt;/Year&gt;&lt;IDText&gt;Conceptual reorganization and the construction of the chemical reaction concept during secondary education.&lt;/IDText&gt;&lt;DisplayText&gt;(1998)&lt;/DisplayText&gt;&lt;record&gt;&lt;titles&gt;&lt;title&gt;Conceptual reorganization and the construction of the chemical reaction concept during secondary education.&lt;/title&gt;&lt;secondary-title&gt;International Journal of Science Education&lt;/secondary-title&gt;&lt;/titles&gt;&lt;pages&gt;205-221&lt;/pages&gt;&lt;number&gt;2&lt;/number&gt;&lt;contributors&gt;&lt;authors&gt;&lt;author&gt;Stavridou, Heleni&lt;/author&gt;&lt;author&gt;Solomonidou, Christina&lt;/author&gt;&lt;/authors&gt;&lt;/contributors&gt;&lt;added-date format="utc"&gt;1536664131&lt;/added-date&gt;&lt;ref-type name="Journal Article"&gt;17&lt;/ref-type&gt;&lt;dates&gt;&lt;year&gt;1998&lt;/year&gt;&lt;/dates&gt;&lt;rec-number&gt;18&lt;/rec-number&gt;&lt;last-updated-date format="utc"&gt;1536664224&lt;/last-updated-date&gt;&lt;volume&gt;20&lt;/volume&gt;&lt;/record&gt;&lt;/Cite&gt;&lt;/EndNote&gt;</w:instrText>
      </w:r>
      <w:r w:rsidRPr="000403C9">
        <w:fldChar w:fldCharType="separate"/>
      </w:r>
      <w:r>
        <w:rPr>
          <w:noProof/>
        </w:rPr>
        <w:t>(1998)</w:t>
      </w:r>
      <w:r w:rsidRPr="000403C9">
        <w:fldChar w:fldCharType="end"/>
      </w:r>
      <w:r>
        <w:t xml:space="preserve">. This formed part of </w:t>
      </w:r>
      <w:r w:rsidR="002A6DE0">
        <w:t xml:space="preserve">their </w:t>
      </w:r>
      <w:r>
        <w:t xml:space="preserve">research into </w:t>
      </w:r>
      <w:r w:rsidRPr="000403C9">
        <w:t xml:space="preserve">the conceptual reorganisation </w:t>
      </w:r>
      <w:r>
        <w:t>that students require in order to</w:t>
      </w:r>
      <w:r w:rsidRPr="000403C9">
        <w:t xml:space="preserve"> understand the concept of chemical reactions. </w:t>
      </w:r>
      <w:r w:rsidR="000403C9" w:rsidRPr="000403C9">
        <w:t xml:space="preserve">The research found that in this free categorisation task students initially used ‘natural’ categories such </w:t>
      </w:r>
      <w:r w:rsidR="00330978">
        <w:t xml:space="preserve">as actions (mixing), heating, destruction, or disappearance. </w:t>
      </w:r>
      <w:r w:rsidR="000403C9" w:rsidRPr="000403C9">
        <w:t xml:space="preserve"> As students moved up through school they were found to gradually abandon</w:t>
      </w:r>
      <w:r w:rsidR="00330978">
        <w:t xml:space="preserve"> some of</w:t>
      </w:r>
      <w:r w:rsidR="000403C9" w:rsidRPr="000403C9">
        <w:t xml:space="preserve"> these common-sense criteria, replacing them with more scientific ones. However, categories such as heat</w:t>
      </w:r>
      <w:r w:rsidR="00330978">
        <w:t>ing</w:t>
      </w:r>
      <w:r w:rsidR="000403C9" w:rsidRPr="000403C9">
        <w:t xml:space="preserve"> and disappearance seemed highly persistent</w:t>
      </w:r>
      <w:r w:rsidR="002A6DE0">
        <w:t xml:space="preserve">, with </w:t>
      </w:r>
      <w:r w:rsidR="000403C9" w:rsidRPr="000403C9">
        <w:t xml:space="preserve">older students reluctant to relinquish them. </w:t>
      </w:r>
    </w:p>
    <w:p w14:paraId="30729A06" w14:textId="77777777" w:rsidR="007A748B" w:rsidRPr="000403C9" w:rsidRDefault="007A748B" w:rsidP="00026DEC">
      <w:pPr>
        <w:spacing w:after="180"/>
        <w:rPr>
          <w:b/>
          <w:color w:val="E36C0A" w:themeColor="accent6" w:themeShade="BF"/>
          <w:sz w:val="24"/>
        </w:rPr>
      </w:pPr>
      <w:r w:rsidRPr="000403C9">
        <w:rPr>
          <w:b/>
          <w:color w:val="E36C0A" w:themeColor="accent6" w:themeShade="BF"/>
          <w:sz w:val="24"/>
        </w:rPr>
        <w:t xml:space="preserve">Ways to use this </w:t>
      </w:r>
      <w:r w:rsidR="00C1460B" w:rsidRPr="000403C9">
        <w:rPr>
          <w:b/>
          <w:color w:val="E36C0A" w:themeColor="accent6" w:themeShade="BF"/>
          <w:sz w:val="24"/>
        </w:rPr>
        <w:t>question</w:t>
      </w:r>
    </w:p>
    <w:p w14:paraId="737CED6A" w14:textId="2243230B" w:rsidR="00AE2D3C" w:rsidRPr="00AE2D3C" w:rsidRDefault="00AE2D3C" w:rsidP="00AE2D3C">
      <w:pPr>
        <w:spacing w:after="180"/>
      </w:pPr>
      <w:r w:rsidRPr="000403C9">
        <w:t xml:space="preserve">This question is presented in a format that allows for the different examples of change to be </w:t>
      </w:r>
      <w:r w:rsidR="00330978">
        <w:t>c</w:t>
      </w:r>
      <w:r w:rsidRPr="000403C9">
        <w:t>ut out</w:t>
      </w:r>
      <w:r w:rsidRPr="00AE2D3C">
        <w:t xml:space="preserve"> and physically sorted into groups.</w:t>
      </w:r>
    </w:p>
    <w:p w14:paraId="378BA488" w14:textId="68284CC5" w:rsidR="00402E34" w:rsidRDefault="00AE2D3C" w:rsidP="00402E34">
      <w:pPr>
        <w:spacing w:after="180"/>
      </w:pPr>
      <w:r w:rsidRPr="00AE2D3C">
        <w:t>Follow-up questioning about why these groups were chosen and any rationale for allocating the changes to a particular group could provide valuable insights into student thinking.</w:t>
      </w:r>
    </w:p>
    <w:p w14:paraId="6D161601" w14:textId="76046A7C" w:rsidR="002A6DE0" w:rsidRPr="002A6DE0" w:rsidRDefault="002A6DE0" w:rsidP="00402E34">
      <w:pPr>
        <w:spacing w:after="180"/>
        <w:rPr>
          <w:i/>
        </w:rPr>
      </w:pPr>
      <w:r w:rsidRPr="002A6DE0">
        <w:rPr>
          <w:i/>
        </w:rPr>
        <w:t>Differentiation</w:t>
      </w:r>
    </w:p>
    <w:p w14:paraId="55A77FF7" w14:textId="77777777" w:rsidR="002A6DE0" w:rsidRPr="00AE2D3C" w:rsidRDefault="002A6DE0" w:rsidP="002A6DE0">
      <w:pPr>
        <w:spacing w:after="180"/>
      </w:pPr>
      <w:r w:rsidRPr="00AE2D3C">
        <w:t>The purpose of this diagnostic task is to establish existing student perceptions of the changes listed. Therefore, the groups that the students choose for their groupings are as important as what changes are placed in each group</w:t>
      </w:r>
      <w:r>
        <w:t>. It is important not to guide students in organising their grouping.</w:t>
      </w:r>
    </w:p>
    <w:p w14:paraId="3C0DBC7A" w14:textId="77777777" w:rsidR="002A6DE0" w:rsidRPr="00AE2D3C" w:rsidRDefault="002A6DE0" w:rsidP="00402E34">
      <w:pPr>
        <w:spacing w:after="180"/>
      </w:pPr>
    </w:p>
    <w:p w14:paraId="33D4C542" w14:textId="77777777" w:rsidR="00E172C6" w:rsidRPr="00AE2D3C" w:rsidRDefault="00BB44B4" w:rsidP="00026DEC">
      <w:pPr>
        <w:spacing w:after="180"/>
        <w:rPr>
          <w:b/>
          <w:color w:val="E36C0A" w:themeColor="accent6" w:themeShade="BF"/>
          <w:sz w:val="24"/>
        </w:rPr>
      </w:pPr>
      <w:r w:rsidRPr="00AE2D3C">
        <w:rPr>
          <w:b/>
          <w:color w:val="E36C0A" w:themeColor="accent6" w:themeShade="BF"/>
          <w:sz w:val="24"/>
        </w:rPr>
        <w:t>Expected answers</w:t>
      </w:r>
    </w:p>
    <w:p w14:paraId="2BC67ED8" w14:textId="063A58F8" w:rsidR="00330978" w:rsidRPr="00AE2D3C" w:rsidRDefault="002A6DE0" w:rsidP="00BF6C8A">
      <w:pPr>
        <w:spacing w:after="180"/>
      </w:pPr>
      <w:r>
        <w:t>A</w:t>
      </w:r>
      <w:r w:rsidR="00444401" w:rsidRPr="00AE2D3C">
        <w:t xml:space="preserve"> scientific answer </w:t>
      </w:r>
      <w:r>
        <w:t>c</w:t>
      </w:r>
      <w:r w:rsidR="00444401" w:rsidRPr="00AE2D3C">
        <w:t>ould be to group the changes as examples of either physical or chemical change</w:t>
      </w:r>
      <w:r w:rsidR="001B59EA">
        <w:t>.</w:t>
      </w:r>
    </w:p>
    <w:p w14:paraId="12087B9D" w14:textId="77777777" w:rsidR="006A4440" w:rsidRPr="00AE2D3C" w:rsidRDefault="004C5D20" w:rsidP="00BF6C8A">
      <w:pPr>
        <w:spacing w:after="180"/>
        <w:rPr>
          <w:b/>
          <w:color w:val="E36C0A" w:themeColor="accent6" w:themeShade="BF"/>
          <w:sz w:val="24"/>
        </w:rPr>
      </w:pPr>
      <w:r w:rsidRPr="00AE2D3C">
        <w:rPr>
          <w:b/>
          <w:color w:val="E36C0A" w:themeColor="accent6" w:themeShade="BF"/>
          <w:sz w:val="24"/>
        </w:rPr>
        <w:t>How to respond - w</w:t>
      </w:r>
      <w:r w:rsidR="006A4440" w:rsidRPr="00AE2D3C">
        <w:rPr>
          <w:b/>
          <w:color w:val="E36C0A" w:themeColor="accent6" w:themeShade="BF"/>
          <w:sz w:val="24"/>
        </w:rPr>
        <w:t>h</w:t>
      </w:r>
      <w:r w:rsidRPr="00AE2D3C">
        <w:rPr>
          <w:b/>
          <w:color w:val="E36C0A" w:themeColor="accent6" w:themeShade="BF"/>
          <w:sz w:val="24"/>
        </w:rPr>
        <w:t>at</w:t>
      </w:r>
      <w:r w:rsidR="006A4440" w:rsidRPr="00AE2D3C">
        <w:rPr>
          <w:b/>
          <w:color w:val="E36C0A" w:themeColor="accent6" w:themeShade="BF"/>
          <w:sz w:val="24"/>
        </w:rPr>
        <w:t xml:space="preserve"> next?</w:t>
      </w:r>
    </w:p>
    <w:p w14:paraId="724D7C47" w14:textId="24DF6F69" w:rsidR="00A6111E" w:rsidRPr="00A6111E" w:rsidRDefault="00AE2D3C" w:rsidP="00444401">
      <w:pPr>
        <w:spacing w:after="180"/>
      </w:pPr>
      <w:r w:rsidRPr="00AE2D3C">
        <w:t>Findings from this diagnostic question could be used to inform teaching of a topic about chemical change. If students are using everyday experiences to group the changes</w:t>
      </w:r>
      <w:r>
        <w:t>,</w:t>
      </w:r>
      <w:r w:rsidRPr="00AE2D3C">
        <w:t xml:space="preserve"> it may be beneficial to consolidate understanding of physical change before introducing chemical change.</w:t>
      </w:r>
      <w:r w:rsidR="00B56F02">
        <w:t xml:space="preserve"> Alternatively</w:t>
      </w:r>
      <w:r w:rsidR="00B72047">
        <w:t>,</w:t>
      </w:r>
      <w:r w:rsidR="00B56F02">
        <w:t xml:space="preserve"> the diagnostic question ‘Which change?’ could be used to find out if students can </w:t>
      </w:r>
      <w:r w:rsidR="00B72047">
        <w:t>distinguish physical and chemical change when prompted by the question to use these scientific categories.</w:t>
      </w:r>
    </w:p>
    <w:p w14:paraId="21A5AC1A" w14:textId="77777777" w:rsidR="003117F6" w:rsidRPr="00323334" w:rsidRDefault="00CC78A5" w:rsidP="00026DEC">
      <w:pPr>
        <w:spacing w:after="180"/>
        <w:rPr>
          <w:b/>
          <w:color w:val="E36C0A" w:themeColor="accent6" w:themeShade="BF"/>
          <w:sz w:val="24"/>
        </w:rPr>
      </w:pPr>
      <w:r w:rsidRPr="00323334">
        <w:rPr>
          <w:b/>
          <w:color w:val="E36C0A" w:themeColor="accent6" w:themeShade="BF"/>
          <w:sz w:val="24"/>
        </w:rPr>
        <w:t>Acknowledgments</w:t>
      </w:r>
    </w:p>
    <w:p w14:paraId="6BC8221B" w14:textId="53839310" w:rsidR="00D278E8" w:rsidRPr="00444401" w:rsidRDefault="00D278E8" w:rsidP="00E172C6">
      <w:pPr>
        <w:spacing w:after="180"/>
      </w:pPr>
      <w:r w:rsidRPr="00444401">
        <w:t xml:space="preserve">Developed </w:t>
      </w:r>
      <w:r w:rsidR="0015356E" w:rsidRPr="00444401">
        <w:t xml:space="preserve">by </w:t>
      </w:r>
      <w:r w:rsidR="00D40DB1" w:rsidRPr="00444401">
        <w:t xml:space="preserve">Helen Harden </w:t>
      </w:r>
      <w:r w:rsidR="0015356E" w:rsidRPr="00444401">
        <w:t xml:space="preserve">(UYSEG), </w:t>
      </w:r>
      <w:r w:rsidR="00757347">
        <w:t xml:space="preserve">from an idea by </w:t>
      </w:r>
      <w:r w:rsidR="00D40DB1" w:rsidRPr="00444401">
        <w:t>Heleni Stavridou (University of Thessaly) and Christine Solomonidou (Department of Primary Education, Volos, Greece).</w:t>
      </w:r>
    </w:p>
    <w:p w14:paraId="77D15CA4" w14:textId="70416137" w:rsidR="00CC78A5" w:rsidRPr="00D40DB1" w:rsidRDefault="00D278E8" w:rsidP="00E172C6">
      <w:pPr>
        <w:spacing w:after="180"/>
        <w:rPr>
          <w:color w:val="FF0000"/>
        </w:rPr>
      </w:pPr>
      <w:r w:rsidRPr="00444401">
        <w:t xml:space="preserve">Images: </w:t>
      </w:r>
      <w:r w:rsidR="00D40DB1" w:rsidRPr="00444401">
        <w:t>None</w:t>
      </w:r>
    </w:p>
    <w:p w14:paraId="1F3CA98C" w14:textId="2736AFB4" w:rsidR="00AE2D3C" w:rsidRDefault="003117F6" w:rsidP="00E24309">
      <w:pPr>
        <w:spacing w:after="180"/>
        <w:rPr>
          <w:b/>
          <w:color w:val="E36C0A" w:themeColor="accent6" w:themeShade="BF"/>
          <w:sz w:val="24"/>
        </w:rPr>
      </w:pPr>
      <w:r w:rsidRPr="00323334">
        <w:rPr>
          <w:b/>
          <w:color w:val="E36C0A" w:themeColor="accent6" w:themeShade="BF"/>
          <w:sz w:val="24"/>
        </w:rPr>
        <w:t>References</w:t>
      </w:r>
    </w:p>
    <w:p w14:paraId="5DCF834A" w14:textId="77777777" w:rsidR="00AE2D3C" w:rsidRPr="00AE2D3C" w:rsidRDefault="00AE2D3C" w:rsidP="00AE2D3C">
      <w:pPr>
        <w:pStyle w:val="EndNoteBibliography"/>
      </w:pPr>
      <w:r>
        <w:rPr>
          <w:b/>
          <w:color w:val="E36C0A" w:themeColor="accent6" w:themeShade="BF"/>
          <w:sz w:val="24"/>
        </w:rPr>
        <w:fldChar w:fldCharType="begin"/>
      </w:r>
      <w:r>
        <w:rPr>
          <w:b/>
          <w:color w:val="E36C0A" w:themeColor="accent6" w:themeShade="BF"/>
          <w:sz w:val="24"/>
        </w:rPr>
        <w:instrText xml:space="preserve"> ADDIN EN.REFLIST </w:instrText>
      </w:r>
      <w:r>
        <w:rPr>
          <w:b/>
          <w:color w:val="E36C0A" w:themeColor="accent6" w:themeShade="BF"/>
          <w:sz w:val="24"/>
        </w:rPr>
        <w:fldChar w:fldCharType="separate"/>
      </w:r>
      <w:r w:rsidRPr="00AE2D3C">
        <w:t xml:space="preserve">Stavridou, H. and Solomonidou, C. (1998). Conceptual reorganization and the construction of the chemical reaction concept during secondary education. </w:t>
      </w:r>
      <w:r w:rsidRPr="00AE2D3C">
        <w:rPr>
          <w:i/>
        </w:rPr>
        <w:t>International Journal of Science Education,</w:t>
      </w:r>
      <w:r w:rsidRPr="00AE2D3C">
        <w:t xml:space="preserve"> 20(2)</w:t>
      </w:r>
      <w:r w:rsidRPr="00AE2D3C">
        <w:rPr>
          <w:b/>
        </w:rPr>
        <w:t>,</w:t>
      </w:r>
      <w:r w:rsidRPr="00AE2D3C">
        <w:t xml:space="preserve"> 205-221.</w:t>
      </w:r>
    </w:p>
    <w:p w14:paraId="35DC0314" w14:textId="3F3E8DB7" w:rsidR="00B46FF9" w:rsidRPr="001E4950" w:rsidRDefault="00AE2D3C" w:rsidP="00E24309">
      <w:pPr>
        <w:spacing w:after="180"/>
        <w:rPr>
          <w:b/>
          <w:color w:val="E36C0A" w:themeColor="accent6" w:themeShade="BF"/>
          <w:sz w:val="24"/>
        </w:rPr>
      </w:pPr>
      <w:r>
        <w:rPr>
          <w:b/>
          <w:color w:val="E36C0A" w:themeColor="accent6" w:themeShade="BF"/>
          <w:sz w:val="24"/>
        </w:rPr>
        <w:fldChar w:fldCharType="end"/>
      </w:r>
    </w:p>
    <w:sectPr w:rsidR="00B46FF9" w:rsidRPr="001E4950" w:rsidSect="00642ECD">
      <w:headerReference w:type="default" r:id="rId7"/>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55CC50" w14:textId="77777777" w:rsidR="0009163F" w:rsidRDefault="0009163F" w:rsidP="000B473B">
      <w:r>
        <w:separator/>
      </w:r>
    </w:p>
  </w:endnote>
  <w:endnote w:type="continuationSeparator" w:id="0">
    <w:p w14:paraId="62483EC3" w14:textId="77777777" w:rsidR="0009163F" w:rsidRDefault="0009163F"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25C3E0" w14:textId="77777777" w:rsidR="0009163F" w:rsidRDefault="0009163F" w:rsidP="000B473B">
      <w:r>
        <w:separator/>
      </w:r>
    </w:p>
  </w:footnote>
  <w:footnote w:type="continuationSeparator" w:id="0">
    <w:p w14:paraId="621BD297" w14:textId="77777777" w:rsidR="0009163F" w:rsidRDefault="0009163F"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C5C6B8"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3076EBAD" wp14:editId="5D3C1760">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65599B4F" wp14:editId="39A812F2">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5AB7EDF"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9B2F84"/>
    <w:rsid w:val="00015578"/>
    <w:rsid w:val="00024731"/>
    <w:rsid w:val="00026DEC"/>
    <w:rsid w:val="000403C9"/>
    <w:rsid w:val="000505CA"/>
    <w:rsid w:val="0007651D"/>
    <w:rsid w:val="0009089A"/>
    <w:rsid w:val="0009163F"/>
    <w:rsid w:val="000947E2"/>
    <w:rsid w:val="00095E04"/>
    <w:rsid w:val="000B45C3"/>
    <w:rsid w:val="000B473B"/>
    <w:rsid w:val="000B51C9"/>
    <w:rsid w:val="000D0E89"/>
    <w:rsid w:val="000E2689"/>
    <w:rsid w:val="00142613"/>
    <w:rsid w:val="00144DA7"/>
    <w:rsid w:val="0015356E"/>
    <w:rsid w:val="00161D3F"/>
    <w:rsid w:val="001915D4"/>
    <w:rsid w:val="001A1FED"/>
    <w:rsid w:val="001A40E2"/>
    <w:rsid w:val="001B59EA"/>
    <w:rsid w:val="001C4805"/>
    <w:rsid w:val="001E4950"/>
    <w:rsid w:val="00201AC2"/>
    <w:rsid w:val="00214608"/>
    <w:rsid w:val="0021607B"/>
    <w:rsid w:val="002178AC"/>
    <w:rsid w:val="0022547C"/>
    <w:rsid w:val="00242736"/>
    <w:rsid w:val="0025410A"/>
    <w:rsid w:val="0027553E"/>
    <w:rsid w:val="0028012F"/>
    <w:rsid w:val="002828DF"/>
    <w:rsid w:val="00287876"/>
    <w:rsid w:val="00292C53"/>
    <w:rsid w:val="00294E22"/>
    <w:rsid w:val="002A6DE0"/>
    <w:rsid w:val="002C22EA"/>
    <w:rsid w:val="002C59BA"/>
    <w:rsid w:val="00301AA9"/>
    <w:rsid w:val="003117F6"/>
    <w:rsid w:val="00323334"/>
    <w:rsid w:val="00330978"/>
    <w:rsid w:val="003533B8"/>
    <w:rsid w:val="00371842"/>
    <w:rsid w:val="003752BE"/>
    <w:rsid w:val="003A346A"/>
    <w:rsid w:val="003B2917"/>
    <w:rsid w:val="003B541B"/>
    <w:rsid w:val="003E2B2F"/>
    <w:rsid w:val="003E6046"/>
    <w:rsid w:val="003F16F9"/>
    <w:rsid w:val="00402E34"/>
    <w:rsid w:val="00430C1F"/>
    <w:rsid w:val="00442595"/>
    <w:rsid w:val="00444401"/>
    <w:rsid w:val="0045323E"/>
    <w:rsid w:val="004B0EE1"/>
    <w:rsid w:val="004C5D20"/>
    <w:rsid w:val="004D0D83"/>
    <w:rsid w:val="004E1DF1"/>
    <w:rsid w:val="004E5592"/>
    <w:rsid w:val="004F039C"/>
    <w:rsid w:val="0050055B"/>
    <w:rsid w:val="00524710"/>
    <w:rsid w:val="00555342"/>
    <w:rsid w:val="005560E2"/>
    <w:rsid w:val="005A452E"/>
    <w:rsid w:val="005A6EE7"/>
    <w:rsid w:val="005C298F"/>
    <w:rsid w:val="005F1A7B"/>
    <w:rsid w:val="005F67A9"/>
    <w:rsid w:val="006355D8"/>
    <w:rsid w:val="00642ECD"/>
    <w:rsid w:val="006502A0"/>
    <w:rsid w:val="00654151"/>
    <w:rsid w:val="006732FB"/>
    <w:rsid w:val="006772F5"/>
    <w:rsid w:val="00695159"/>
    <w:rsid w:val="006A4440"/>
    <w:rsid w:val="006B0615"/>
    <w:rsid w:val="006D166B"/>
    <w:rsid w:val="006F3279"/>
    <w:rsid w:val="006F6C6B"/>
    <w:rsid w:val="00704AEE"/>
    <w:rsid w:val="00722F9A"/>
    <w:rsid w:val="00754539"/>
    <w:rsid w:val="00756B7C"/>
    <w:rsid w:val="00757347"/>
    <w:rsid w:val="00781BC6"/>
    <w:rsid w:val="00792E54"/>
    <w:rsid w:val="007A3C86"/>
    <w:rsid w:val="007A683E"/>
    <w:rsid w:val="007A748B"/>
    <w:rsid w:val="007C26E1"/>
    <w:rsid w:val="007D1D65"/>
    <w:rsid w:val="007E0A9E"/>
    <w:rsid w:val="007E5309"/>
    <w:rsid w:val="007F5D5D"/>
    <w:rsid w:val="00800DE1"/>
    <w:rsid w:val="00813F47"/>
    <w:rsid w:val="008450D6"/>
    <w:rsid w:val="00856FCA"/>
    <w:rsid w:val="00873B8C"/>
    <w:rsid w:val="00880E3B"/>
    <w:rsid w:val="008A405F"/>
    <w:rsid w:val="008C7F34"/>
    <w:rsid w:val="008E580C"/>
    <w:rsid w:val="0090047A"/>
    <w:rsid w:val="00925026"/>
    <w:rsid w:val="00931264"/>
    <w:rsid w:val="00942A4B"/>
    <w:rsid w:val="00961D59"/>
    <w:rsid w:val="009B2CE4"/>
    <w:rsid w:val="009B2D55"/>
    <w:rsid w:val="009B2F84"/>
    <w:rsid w:val="009C0343"/>
    <w:rsid w:val="009E0D11"/>
    <w:rsid w:val="00A24A16"/>
    <w:rsid w:val="00A37D14"/>
    <w:rsid w:val="00A42C0B"/>
    <w:rsid w:val="00A6111E"/>
    <w:rsid w:val="00A6168B"/>
    <w:rsid w:val="00A62028"/>
    <w:rsid w:val="00AA6236"/>
    <w:rsid w:val="00AB6AE7"/>
    <w:rsid w:val="00AD21F5"/>
    <w:rsid w:val="00AE2D3C"/>
    <w:rsid w:val="00B06225"/>
    <w:rsid w:val="00B23C7A"/>
    <w:rsid w:val="00B305F5"/>
    <w:rsid w:val="00B46FF9"/>
    <w:rsid w:val="00B47E1D"/>
    <w:rsid w:val="00B56F02"/>
    <w:rsid w:val="00B72047"/>
    <w:rsid w:val="00B75483"/>
    <w:rsid w:val="00BA7952"/>
    <w:rsid w:val="00BB44B4"/>
    <w:rsid w:val="00BF0BBF"/>
    <w:rsid w:val="00BF6C8A"/>
    <w:rsid w:val="00C05571"/>
    <w:rsid w:val="00C1460B"/>
    <w:rsid w:val="00C246CE"/>
    <w:rsid w:val="00C2735D"/>
    <w:rsid w:val="00C54711"/>
    <w:rsid w:val="00C57FA2"/>
    <w:rsid w:val="00CC2E4D"/>
    <w:rsid w:val="00CC78A5"/>
    <w:rsid w:val="00CC7B16"/>
    <w:rsid w:val="00CE15FE"/>
    <w:rsid w:val="00D02E15"/>
    <w:rsid w:val="00D12E71"/>
    <w:rsid w:val="00D14F44"/>
    <w:rsid w:val="00D278E8"/>
    <w:rsid w:val="00D40DB1"/>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53D82"/>
    <w:rsid w:val="00E9330A"/>
    <w:rsid w:val="00EE6B97"/>
    <w:rsid w:val="00F12C3B"/>
    <w:rsid w:val="00F26884"/>
    <w:rsid w:val="00F72ECC"/>
    <w:rsid w:val="00F8355F"/>
    <w:rsid w:val="00FA3196"/>
    <w:rsid w:val="00FA5B3A"/>
    <w:rsid w:val="00FF32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9833E9"/>
  <w15:docId w15:val="{FAA4A5CF-FFA5-43F4-9A7B-FAB53576D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AE2D3C"/>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AE2D3C"/>
    <w:rPr>
      <w:rFonts w:ascii="Calibri" w:hAnsi="Calibri" w:cs="Calibri"/>
      <w:noProof/>
      <w:lang w:val="en-US"/>
    </w:rPr>
  </w:style>
  <w:style w:type="paragraph" w:customStyle="1" w:styleId="EndNoteBibliography">
    <w:name w:val="EndNote Bibliography"/>
    <w:basedOn w:val="Normal"/>
    <w:link w:val="EndNoteBibliographyChar"/>
    <w:rsid w:val="00AE2D3C"/>
    <w:rPr>
      <w:rFonts w:ascii="Calibri" w:hAnsi="Calibri" w:cs="Calibri"/>
      <w:noProof/>
      <w:lang w:val="en-US"/>
    </w:rPr>
  </w:style>
  <w:style w:type="character" w:customStyle="1" w:styleId="EndNoteBibliographyChar">
    <w:name w:val="EndNote Bibliography Char"/>
    <w:basedOn w:val="DefaultParagraphFont"/>
    <w:link w:val="EndNoteBibliography"/>
    <w:rsid w:val="00AE2D3C"/>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New%20templates%20(july)\template_chemistr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template_chemistry_item_diagnostic</Template>
  <TotalTime>113</TotalTime>
  <Pages>3</Pages>
  <Words>633</Words>
  <Characters>3614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4239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HEC Harden</cp:lastModifiedBy>
  <cp:revision>10</cp:revision>
  <cp:lastPrinted>2017-02-24T16:20:00Z</cp:lastPrinted>
  <dcterms:created xsi:type="dcterms:W3CDTF">2018-08-30T11:08:00Z</dcterms:created>
  <dcterms:modified xsi:type="dcterms:W3CDTF">2018-11-27T09:09:00Z</dcterms:modified>
</cp:coreProperties>
</file>