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FF225" w14:textId="3B046905" w:rsidR="00201AC2" w:rsidRPr="00594B87" w:rsidRDefault="00594B87" w:rsidP="00201AC2">
      <w:pPr>
        <w:spacing w:after="180"/>
        <w:rPr>
          <w:b/>
          <w:sz w:val="44"/>
          <w:szCs w:val="44"/>
        </w:rPr>
      </w:pPr>
      <w:r w:rsidRPr="00594B87">
        <w:rPr>
          <w:b/>
          <w:sz w:val="44"/>
          <w:szCs w:val="44"/>
        </w:rPr>
        <w:t>Copper compounds</w:t>
      </w:r>
    </w:p>
    <w:p w14:paraId="04691C42" w14:textId="77777777" w:rsidR="00201AC2" w:rsidRPr="00594B87" w:rsidRDefault="00201AC2" w:rsidP="00201AC2">
      <w:pPr>
        <w:spacing w:after="180"/>
      </w:pPr>
    </w:p>
    <w:p w14:paraId="576C92D8" w14:textId="42F73685" w:rsidR="00201AC2" w:rsidRPr="00594B87" w:rsidRDefault="008C29B2" w:rsidP="00201AC2">
      <w:pPr>
        <w:pStyle w:val="ListParagraph"/>
        <w:numPr>
          <w:ilvl w:val="0"/>
          <w:numId w:val="3"/>
        </w:numPr>
        <w:spacing w:after="180"/>
        <w:ind w:left="567" w:hanging="567"/>
        <w:contextualSpacing w:val="0"/>
      </w:pPr>
      <w:r>
        <w:t xml:space="preserve">Here are three different compounds. </w:t>
      </w:r>
    </w:p>
    <w:p w14:paraId="23059D48" w14:textId="20B8E40C" w:rsidR="00594B87" w:rsidRPr="00594B87" w:rsidRDefault="00594B87" w:rsidP="00594B87">
      <w:pPr>
        <w:spacing w:after="180"/>
      </w:pPr>
    </w:p>
    <w:p w14:paraId="701159E7" w14:textId="6764D019" w:rsidR="00594B87" w:rsidRDefault="00594B87" w:rsidP="00594B87">
      <w:pPr>
        <w:spacing w:after="180"/>
        <w:ind w:firstLine="567"/>
      </w:pPr>
      <w:r w:rsidRPr="00594B87">
        <w:rPr>
          <w:noProof/>
        </w:rPr>
        <w:drawing>
          <wp:inline distT="0" distB="0" distL="0" distR="0" wp14:anchorId="7F1D17D8" wp14:editId="1A28A5D2">
            <wp:extent cx="749699" cy="1000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pper_carbonate_basic.jp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757153" cy="1010069"/>
                    </a:xfrm>
                    <a:prstGeom prst="rect">
                      <a:avLst/>
                    </a:prstGeom>
                  </pic:spPr>
                </pic:pic>
              </a:graphicData>
            </a:graphic>
          </wp:inline>
        </w:drawing>
      </w:r>
      <w:r>
        <w:tab/>
      </w:r>
      <w:r w:rsidR="00E71CB7">
        <w:tab/>
      </w:r>
      <w:r w:rsidR="00E71CB7">
        <w:rPr>
          <w:noProof/>
        </w:rPr>
        <w:drawing>
          <wp:inline distT="0" distB="0" distL="0" distR="0" wp14:anchorId="1AF0235B" wp14:editId="4089F9E8">
            <wp:extent cx="1586481" cy="99185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pper oxid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0255" cy="1006721"/>
                    </a:xfrm>
                    <a:prstGeom prst="rect">
                      <a:avLst/>
                    </a:prstGeom>
                  </pic:spPr>
                </pic:pic>
              </a:graphicData>
            </a:graphic>
          </wp:inline>
        </w:drawing>
      </w:r>
      <w:r w:rsidR="00E71CB7">
        <w:tab/>
      </w:r>
      <w:r w:rsidR="00E71CB7">
        <w:rPr>
          <w:noProof/>
        </w:rPr>
        <w:drawing>
          <wp:inline distT="0" distB="0" distL="0" distR="0" wp14:anchorId="750339CD" wp14:editId="45AF0BCF">
            <wp:extent cx="1769110" cy="99510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pper_Sulfate_Crystal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6327" cy="1004785"/>
                    </a:xfrm>
                    <a:prstGeom prst="rect">
                      <a:avLst/>
                    </a:prstGeom>
                  </pic:spPr>
                </pic:pic>
              </a:graphicData>
            </a:graphic>
          </wp:inline>
        </w:drawing>
      </w:r>
    </w:p>
    <w:p w14:paraId="59FBE076" w14:textId="7B72CD0D" w:rsidR="00E71CB7" w:rsidRPr="00E71CB7" w:rsidRDefault="00E71CB7" w:rsidP="00594B87">
      <w:pPr>
        <w:spacing w:after="180"/>
        <w:ind w:firstLine="567"/>
        <w:rPr>
          <w:lang w:val="fr-FR"/>
        </w:rPr>
      </w:pPr>
      <w:r w:rsidRPr="00E71CB7">
        <w:rPr>
          <w:lang w:val="fr-FR"/>
        </w:rPr>
        <w:t>copper carbonate</w:t>
      </w:r>
      <w:r w:rsidRPr="00E71CB7">
        <w:rPr>
          <w:lang w:val="fr-FR"/>
        </w:rPr>
        <w:tab/>
        <w:t xml:space="preserve">     </w:t>
      </w:r>
      <w:r w:rsidRPr="00E71CB7">
        <w:rPr>
          <w:lang w:val="fr-FR"/>
        </w:rPr>
        <w:tab/>
        <w:t xml:space="preserve"> </w:t>
      </w:r>
      <w:r>
        <w:rPr>
          <w:lang w:val="fr-FR"/>
        </w:rPr>
        <w:t xml:space="preserve">     </w:t>
      </w:r>
      <w:r w:rsidRPr="00E71CB7">
        <w:rPr>
          <w:lang w:val="fr-FR"/>
        </w:rPr>
        <w:t xml:space="preserve"> </w:t>
      </w:r>
      <w:r w:rsidR="003E463E">
        <w:rPr>
          <w:lang w:val="fr-FR"/>
        </w:rPr>
        <w:t xml:space="preserve">  </w:t>
      </w:r>
      <w:bookmarkStart w:id="0" w:name="_GoBack"/>
      <w:bookmarkEnd w:id="0"/>
      <w:r w:rsidRPr="00E71CB7">
        <w:rPr>
          <w:lang w:val="fr-FR"/>
        </w:rPr>
        <w:t>copper oxide</w:t>
      </w:r>
      <w:r w:rsidRPr="00E71CB7">
        <w:rPr>
          <w:lang w:val="fr-FR"/>
        </w:rPr>
        <w:tab/>
      </w:r>
      <w:r w:rsidRPr="00E71CB7">
        <w:rPr>
          <w:lang w:val="fr-FR"/>
        </w:rPr>
        <w:tab/>
      </w:r>
      <w:r w:rsidRPr="00E71CB7">
        <w:rPr>
          <w:lang w:val="fr-FR"/>
        </w:rPr>
        <w:tab/>
        <w:t>copper su</w:t>
      </w:r>
      <w:r>
        <w:rPr>
          <w:lang w:val="fr-FR"/>
        </w:rPr>
        <w:t>lfate</w:t>
      </w:r>
    </w:p>
    <w:p w14:paraId="7B4A3C89" w14:textId="2345F1D9" w:rsidR="00201AC2" w:rsidRDefault="00594B87" w:rsidP="00201AC2">
      <w:pPr>
        <w:pStyle w:val="ListParagraph"/>
        <w:numPr>
          <w:ilvl w:val="1"/>
          <w:numId w:val="3"/>
        </w:numPr>
        <w:spacing w:after="180"/>
        <w:ind w:left="993" w:hanging="426"/>
        <w:contextualSpacing w:val="0"/>
      </w:pPr>
      <w:r w:rsidRPr="00594B87">
        <w:t>For each copper compound, use the formula to write down the types of atom it is made from.</w:t>
      </w:r>
      <w:r w:rsidR="008C29B2">
        <w:t xml:space="preserve"> Write your answers in the table below.</w:t>
      </w:r>
    </w:p>
    <w:tbl>
      <w:tblPr>
        <w:tblStyle w:val="TableGrid"/>
        <w:tblW w:w="0" w:type="auto"/>
        <w:tblInd w:w="993" w:type="dxa"/>
        <w:tblLook w:val="04A0" w:firstRow="1" w:lastRow="0" w:firstColumn="1" w:lastColumn="0" w:noHBand="0" w:noVBand="1"/>
      </w:tblPr>
      <w:tblGrid>
        <w:gridCol w:w="2886"/>
        <w:gridCol w:w="2452"/>
        <w:gridCol w:w="2685"/>
      </w:tblGrid>
      <w:tr w:rsidR="00A80AF6" w14:paraId="3E6220A1" w14:textId="77777777" w:rsidTr="00A80AF6">
        <w:tc>
          <w:tcPr>
            <w:tcW w:w="2886" w:type="dxa"/>
          </w:tcPr>
          <w:p w14:paraId="7501DBD4" w14:textId="415B6F3A" w:rsidR="00A80AF6" w:rsidRPr="00EE4303" w:rsidRDefault="00A80AF6" w:rsidP="008C29B2">
            <w:pPr>
              <w:pStyle w:val="ListParagraph"/>
              <w:spacing w:after="180"/>
              <w:ind w:left="0"/>
              <w:contextualSpacing w:val="0"/>
              <w:rPr>
                <w:b/>
              </w:rPr>
            </w:pPr>
            <w:r w:rsidRPr="00EE4303">
              <w:rPr>
                <w:b/>
              </w:rPr>
              <w:t>Compound</w:t>
            </w:r>
          </w:p>
        </w:tc>
        <w:tc>
          <w:tcPr>
            <w:tcW w:w="2452" w:type="dxa"/>
          </w:tcPr>
          <w:p w14:paraId="03AA6B96" w14:textId="19D3EFA1" w:rsidR="00A80AF6" w:rsidRPr="00EE4303" w:rsidRDefault="00A80AF6" w:rsidP="008C29B2">
            <w:pPr>
              <w:pStyle w:val="ListParagraph"/>
              <w:spacing w:after="180"/>
              <w:ind w:left="0"/>
              <w:contextualSpacing w:val="0"/>
              <w:rPr>
                <w:b/>
              </w:rPr>
            </w:pPr>
            <w:r w:rsidRPr="00EE4303">
              <w:rPr>
                <w:b/>
              </w:rPr>
              <w:t>Formula</w:t>
            </w:r>
          </w:p>
        </w:tc>
        <w:tc>
          <w:tcPr>
            <w:tcW w:w="2685" w:type="dxa"/>
          </w:tcPr>
          <w:p w14:paraId="635B3DE3" w14:textId="73B86292" w:rsidR="00A80AF6" w:rsidRPr="00EE4303" w:rsidRDefault="00A80AF6" w:rsidP="008C29B2">
            <w:pPr>
              <w:pStyle w:val="ListParagraph"/>
              <w:spacing w:after="180"/>
              <w:ind w:left="0"/>
              <w:contextualSpacing w:val="0"/>
              <w:rPr>
                <w:b/>
              </w:rPr>
            </w:pPr>
            <w:r w:rsidRPr="00EE4303">
              <w:rPr>
                <w:b/>
              </w:rPr>
              <w:t>Atoms</w:t>
            </w:r>
          </w:p>
        </w:tc>
      </w:tr>
      <w:tr w:rsidR="00A80AF6" w14:paraId="2BD834A9" w14:textId="77777777" w:rsidTr="00A80AF6">
        <w:tc>
          <w:tcPr>
            <w:tcW w:w="2886" w:type="dxa"/>
          </w:tcPr>
          <w:p w14:paraId="558AA14B" w14:textId="263C281D" w:rsidR="00A80AF6" w:rsidRPr="00A80AF6" w:rsidRDefault="00A80AF6" w:rsidP="008C29B2">
            <w:pPr>
              <w:pStyle w:val="ListParagraph"/>
              <w:spacing w:after="180"/>
              <w:ind w:left="0"/>
              <w:contextualSpacing w:val="0"/>
            </w:pPr>
            <w:r>
              <w:t>copper carbonate</w:t>
            </w:r>
          </w:p>
        </w:tc>
        <w:tc>
          <w:tcPr>
            <w:tcW w:w="2452" w:type="dxa"/>
          </w:tcPr>
          <w:p w14:paraId="35776326" w14:textId="332550FA" w:rsidR="00A80AF6" w:rsidRPr="00A80AF6" w:rsidRDefault="00A80AF6" w:rsidP="008C29B2">
            <w:pPr>
              <w:pStyle w:val="ListParagraph"/>
              <w:spacing w:after="180"/>
              <w:ind w:left="0"/>
              <w:contextualSpacing w:val="0"/>
            </w:pPr>
            <w:r>
              <w:t>CuCO</w:t>
            </w:r>
            <w:r>
              <w:rPr>
                <w:vertAlign w:val="subscript"/>
              </w:rPr>
              <w:t>3</w:t>
            </w:r>
          </w:p>
        </w:tc>
        <w:tc>
          <w:tcPr>
            <w:tcW w:w="2685" w:type="dxa"/>
          </w:tcPr>
          <w:p w14:paraId="49456B75" w14:textId="77777777" w:rsidR="00A80AF6" w:rsidRDefault="00A80AF6" w:rsidP="008C29B2">
            <w:pPr>
              <w:pStyle w:val="ListParagraph"/>
              <w:spacing w:after="180"/>
              <w:ind w:left="0"/>
              <w:contextualSpacing w:val="0"/>
            </w:pPr>
          </w:p>
          <w:p w14:paraId="425AAE29" w14:textId="204D1C5A" w:rsidR="00EE4303" w:rsidRDefault="00EE4303" w:rsidP="008C29B2">
            <w:pPr>
              <w:pStyle w:val="ListParagraph"/>
              <w:spacing w:after="180"/>
              <w:ind w:left="0"/>
              <w:contextualSpacing w:val="0"/>
            </w:pPr>
          </w:p>
        </w:tc>
      </w:tr>
      <w:tr w:rsidR="00A80AF6" w14:paraId="5E40D311" w14:textId="77777777" w:rsidTr="00A80AF6">
        <w:tc>
          <w:tcPr>
            <w:tcW w:w="2886" w:type="dxa"/>
          </w:tcPr>
          <w:p w14:paraId="2069021A" w14:textId="1228F55E" w:rsidR="00A80AF6" w:rsidRDefault="00A80AF6" w:rsidP="008C29B2">
            <w:pPr>
              <w:pStyle w:val="ListParagraph"/>
              <w:spacing w:after="180"/>
              <w:ind w:left="0"/>
              <w:contextualSpacing w:val="0"/>
            </w:pPr>
            <w:r>
              <w:t>copper oxide</w:t>
            </w:r>
          </w:p>
        </w:tc>
        <w:tc>
          <w:tcPr>
            <w:tcW w:w="2452" w:type="dxa"/>
          </w:tcPr>
          <w:p w14:paraId="2A21AA9A" w14:textId="70E55694" w:rsidR="00A80AF6" w:rsidRDefault="00A80AF6" w:rsidP="008C29B2">
            <w:pPr>
              <w:pStyle w:val="ListParagraph"/>
              <w:spacing w:after="180"/>
              <w:ind w:left="0"/>
              <w:contextualSpacing w:val="0"/>
            </w:pPr>
            <w:r>
              <w:t>CuO</w:t>
            </w:r>
          </w:p>
        </w:tc>
        <w:tc>
          <w:tcPr>
            <w:tcW w:w="2685" w:type="dxa"/>
          </w:tcPr>
          <w:p w14:paraId="1346C91E" w14:textId="77777777" w:rsidR="00A80AF6" w:rsidRDefault="00A80AF6" w:rsidP="008C29B2">
            <w:pPr>
              <w:pStyle w:val="ListParagraph"/>
              <w:spacing w:after="180"/>
              <w:ind w:left="0"/>
              <w:contextualSpacing w:val="0"/>
            </w:pPr>
          </w:p>
          <w:p w14:paraId="77825697" w14:textId="07383B47" w:rsidR="00EE4303" w:rsidRDefault="00EE4303" w:rsidP="008C29B2">
            <w:pPr>
              <w:pStyle w:val="ListParagraph"/>
              <w:spacing w:after="180"/>
              <w:ind w:left="0"/>
              <w:contextualSpacing w:val="0"/>
            </w:pPr>
          </w:p>
        </w:tc>
      </w:tr>
      <w:tr w:rsidR="00A80AF6" w14:paraId="47A6987E" w14:textId="77777777" w:rsidTr="00A80AF6">
        <w:tc>
          <w:tcPr>
            <w:tcW w:w="2886" w:type="dxa"/>
          </w:tcPr>
          <w:p w14:paraId="77EE28E3" w14:textId="376BD18C" w:rsidR="00A80AF6" w:rsidRDefault="00A80AF6" w:rsidP="008C29B2">
            <w:pPr>
              <w:pStyle w:val="ListParagraph"/>
              <w:spacing w:after="180"/>
              <w:ind w:left="0"/>
              <w:contextualSpacing w:val="0"/>
            </w:pPr>
            <w:r>
              <w:t>copper sulfate</w:t>
            </w:r>
          </w:p>
        </w:tc>
        <w:tc>
          <w:tcPr>
            <w:tcW w:w="2452" w:type="dxa"/>
          </w:tcPr>
          <w:p w14:paraId="0FAD16D6" w14:textId="0F78EE16" w:rsidR="00A80AF6" w:rsidRPr="00A80AF6" w:rsidRDefault="00A80AF6" w:rsidP="008C29B2">
            <w:pPr>
              <w:pStyle w:val="ListParagraph"/>
              <w:spacing w:after="180"/>
              <w:ind w:left="0"/>
              <w:contextualSpacing w:val="0"/>
            </w:pPr>
            <w:r>
              <w:t>CuSO</w:t>
            </w:r>
            <w:r>
              <w:rPr>
                <w:vertAlign w:val="subscript"/>
              </w:rPr>
              <w:t>4</w:t>
            </w:r>
          </w:p>
        </w:tc>
        <w:tc>
          <w:tcPr>
            <w:tcW w:w="2685" w:type="dxa"/>
          </w:tcPr>
          <w:p w14:paraId="5DB5E1E5" w14:textId="77777777" w:rsidR="00A80AF6" w:rsidRDefault="00A80AF6" w:rsidP="008C29B2">
            <w:pPr>
              <w:pStyle w:val="ListParagraph"/>
              <w:spacing w:after="180"/>
              <w:ind w:left="0"/>
              <w:contextualSpacing w:val="0"/>
            </w:pPr>
          </w:p>
          <w:p w14:paraId="06A37405" w14:textId="1D9E51D4" w:rsidR="00EE4303" w:rsidRDefault="00EE4303" w:rsidP="008C29B2">
            <w:pPr>
              <w:pStyle w:val="ListParagraph"/>
              <w:spacing w:after="180"/>
              <w:ind w:left="0"/>
              <w:contextualSpacing w:val="0"/>
            </w:pPr>
          </w:p>
        </w:tc>
      </w:tr>
    </w:tbl>
    <w:p w14:paraId="4D5BE048" w14:textId="77777777" w:rsidR="008C29B2" w:rsidRDefault="008C29B2" w:rsidP="008C29B2">
      <w:pPr>
        <w:pStyle w:val="ListParagraph"/>
        <w:spacing w:after="180"/>
        <w:ind w:left="993"/>
        <w:contextualSpacing w:val="0"/>
      </w:pPr>
    </w:p>
    <w:p w14:paraId="71226AF5" w14:textId="1F9C3CD8" w:rsidR="008C29B2" w:rsidRDefault="008C29B2" w:rsidP="008C29B2">
      <w:pPr>
        <w:pStyle w:val="ListParagraph"/>
        <w:numPr>
          <w:ilvl w:val="1"/>
          <w:numId w:val="3"/>
        </w:numPr>
        <w:spacing w:after="180"/>
        <w:ind w:left="993" w:hanging="426"/>
        <w:contextualSpacing w:val="0"/>
      </w:pPr>
      <w:r>
        <w:t>Explain why the compounds are called ‘copper compounds’.</w:t>
      </w:r>
    </w:p>
    <w:p w14:paraId="2BDA4FA5" w14:textId="1CB9ABBB" w:rsidR="008C29B2" w:rsidRDefault="008C29B2" w:rsidP="008C29B2">
      <w:pPr>
        <w:pStyle w:val="ListParagraph"/>
        <w:numPr>
          <w:ilvl w:val="1"/>
          <w:numId w:val="3"/>
        </w:numPr>
        <w:spacing w:after="180"/>
        <w:ind w:left="993" w:hanging="426"/>
        <w:contextualSpacing w:val="0"/>
      </w:pPr>
      <w:r>
        <w:t>Look at the picture of copper below.</w:t>
      </w:r>
    </w:p>
    <w:p w14:paraId="72996184" w14:textId="47D6ECEE" w:rsidR="008C29B2" w:rsidRDefault="008C29B2" w:rsidP="008C29B2">
      <w:pPr>
        <w:pStyle w:val="ListParagraph"/>
        <w:spacing w:after="180"/>
        <w:ind w:left="993"/>
        <w:contextualSpacing w:val="0"/>
      </w:pPr>
      <w:r>
        <w:rPr>
          <w:noProof/>
        </w:rPr>
        <w:drawing>
          <wp:anchor distT="0" distB="0" distL="114300" distR="114300" simplePos="0" relativeHeight="251658240" behindDoc="0" locked="0" layoutInCell="1" allowOverlap="1" wp14:anchorId="6611712A" wp14:editId="5923C1F3">
            <wp:simplePos x="0" y="0"/>
            <wp:positionH relativeFrom="column">
              <wp:posOffset>666750</wp:posOffset>
            </wp:positionH>
            <wp:positionV relativeFrom="paragraph">
              <wp:posOffset>8890</wp:posOffset>
            </wp:positionV>
            <wp:extent cx="1446965" cy="962025"/>
            <wp:effectExtent l="0" t="0" r="127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per scrap.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6965" cy="962025"/>
                    </a:xfrm>
                    <a:prstGeom prst="rect">
                      <a:avLst/>
                    </a:prstGeom>
                  </pic:spPr>
                </pic:pic>
              </a:graphicData>
            </a:graphic>
          </wp:anchor>
        </w:drawing>
      </w:r>
    </w:p>
    <w:p w14:paraId="17C4D0A1" w14:textId="74847BCA" w:rsidR="008C29B2" w:rsidRDefault="008C29B2" w:rsidP="008C29B2">
      <w:pPr>
        <w:pStyle w:val="ListParagraph"/>
        <w:spacing w:after="180"/>
        <w:ind w:left="993"/>
        <w:contextualSpacing w:val="0"/>
      </w:pPr>
    </w:p>
    <w:p w14:paraId="198DE348" w14:textId="7354EE09" w:rsidR="008C29B2" w:rsidRDefault="008C29B2" w:rsidP="008C29B2">
      <w:pPr>
        <w:pStyle w:val="ListParagraph"/>
        <w:spacing w:after="180"/>
        <w:ind w:left="993"/>
        <w:contextualSpacing w:val="0"/>
      </w:pPr>
    </w:p>
    <w:p w14:paraId="1C3CC7E8" w14:textId="1B4C44B9" w:rsidR="008C29B2" w:rsidRDefault="008C29B2" w:rsidP="008C29B2">
      <w:pPr>
        <w:pStyle w:val="ListParagraph"/>
        <w:spacing w:after="180"/>
        <w:ind w:left="993"/>
        <w:contextualSpacing w:val="0"/>
      </w:pPr>
    </w:p>
    <w:p w14:paraId="57F53403" w14:textId="00143BC7" w:rsidR="008C29B2" w:rsidRPr="00594B87" w:rsidRDefault="008C29B2" w:rsidP="008C29B2">
      <w:pPr>
        <w:pStyle w:val="ListParagraph"/>
        <w:spacing w:after="180"/>
        <w:ind w:left="993"/>
        <w:contextualSpacing w:val="0"/>
      </w:pPr>
      <w:r>
        <w:t>Explain why the copper compounds have different properties to copper.</w:t>
      </w:r>
    </w:p>
    <w:p w14:paraId="7F986EBE" w14:textId="6371DB4B" w:rsidR="00594B87" w:rsidRDefault="00594B87" w:rsidP="00201AC2">
      <w:pPr>
        <w:pStyle w:val="ListParagraph"/>
        <w:numPr>
          <w:ilvl w:val="1"/>
          <w:numId w:val="3"/>
        </w:numPr>
        <w:spacing w:after="180"/>
        <w:ind w:left="993" w:hanging="426"/>
        <w:contextualSpacing w:val="0"/>
      </w:pPr>
      <w:r>
        <w:t xml:space="preserve">Explain why the </w:t>
      </w:r>
      <w:r w:rsidR="008C29B2">
        <w:t xml:space="preserve">copper </w:t>
      </w:r>
      <w:r>
        <w:t xml:space="preserve">compounds have different </w:t>
      </w:r>
      <w:r w:rsidR="008C29B2">
        <w:t>properties</w:t>
      </w:r>
      <w:r w:rsidR="00EE4303">
        <w:t xml:space="preserve"> to each other.</w:t>
      </w:r>
    </w:p>
    <w:p w14:paraId="1F99FF67" w14:textId="77777777" w:rsidR="00201AC2" w:rsidRPr="00201AC2" w:rsidRDefault="00201AC2" w:rsidP="006F3279">
      <w:pPr>
        <w:spacing w:after="240"/>
        <w:rPr>
          <w:szCs w:val="18"/>
        </w:rPr>
      </w:pPr>
    </w:p>
    <w:p w14:paraId="71E7DCAB" w14:textId="77777777"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67098C8C" w14:textId="5165C5F0"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594B87">
        <w:rPr>
          <w:i/>
          <w:sz w:val="18"/>
          <w:szCs w:val="18"/>
        </w:rPr>
        <w:t>CCR: Chemical reactions</w:t>
      </w:r>
      <w:r>
        <w:rPr>
          <w:i/>
          <w:sz w:val="18"/>
          <w:szCs w:val="18"/>
        </w:rPr>
        <w:t xml:space="preserve"> &gt; Topic </w:t>
      </w:r>
      <w:r w:rsidR="00594B87">
        <w:rPr>
          <w:i/>
          <w:sz w:val="18"/>
          <w:szCs w:val="18"/>
        </w:rPr>
        <w:t>CCR1: Chemical change</w:t>
      </w:r>
      <w:r w:rsidRPr="00CA4B46">
        <w:rPr>
          <w:i/>
          <w:sz w:val="18"/>
          <w:szCs w:val="18"/>
        </w:rPr>
        <w:t xml:space="preserve"> &gt; </w:t>
      </w:r>
      <w:r>
        <w:rPr>
          <w:i/>
          <w:sz w:val="18"/>
          <w:szCs w:val="18"/>
        </w:rPr>
        <w:t>Key concept</w:t>
      </w:r>
      <w:r w:rsidRPr="00CA4B46">
        <w:rPr>
          <w:i/>
          <w:sz w:val="18"/>
          <w:szCs w:val="18"/>
        </w:rPr>
        <w:t xml:space="preserve"> </w:t>
      </w:r>
      <w:r w:rsidR="00594B87">
        <w:rPr>
          <w:i/>
          <w:sz w:val="18"/>
          <w:szCs w:val="18"/>
        </w:rPr>
        <w:t>CCR1.1: Formation of new substances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4B2FE74" w14:textId="77777777" w:rsidTr="001C2E59">
        <w:tc>
          <w:tcPr>
            <w:tcW w:w="12021" w:type="dxa"/>
            <w:shd w:val="clear" w:color="auto" w:fill="FABF8F" w:themeFill="accent6" w:themeFillTint="99"/>
          </w:tcPr>
          <w:p w14:paraId="7461BD95"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2CF629B7" w14:textId="77777777" w:rsidTr="001C2E59">
        <w:tc>
          <w:tcPr>
            <w:tcW w:w="12021" w:type="dxa"/>
            <w:shd w:val="clear" w:color="auto" w:fill="FBD4B4" w:themeFill="accent6" w:themeFillTint="66"/>
          </w:tcPr>
          <w:p w14:paraId="41D895C3" w14:textId="69C3E86B" w:rsidR="006F3279" w:rsidRPr="00CA4B46" w:rsidRDefault="00594B87" w:rsidP="006F3279">
            <w:pPr>
              <w:spacing w:after="60"/>
              <w:ind w:left="1304"/>
              <w:rPr>
                <w:b/>
                <w:sz w:val="40"/>
                <w:szCs w:val="40"/>
              </w:rPr>
            </w:pPr>
            <w:r w:rsidRPr="00493034">
              <w:rPr>
                <w:b/>
                <w:sz w:val="40"/>
                <w:szCs w:val="40"/>
              </w:rPr>
              <w:t>Copper compounds</w:t>
            </w:r>
          </w:p>
        </w:tc>
      </w:tr>
    </w:tbl>
    <w:p w14:paraId="7AAB1D14" w14:textId="77777777" w:rsidR="006F3279" w:rsidRDefault="006F3279" w:rsidP="00E172C6">
      <w:pPr>
        <w:spacing w:after="180"/>
        <w:rPr>
          <w:b/>
        </w:rPr>
      </w:pPr>
    </w:p>
    <w:p w14:paraId="11879309"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rsidRPr="00493034" w14:paraId="7C60D288" w14:textId="77777777" w:rsidTr="003F16F9">
        <w:trPr>
          <w:trHeight w:val="340"/>
        </w:trPr>
        <w:tc>
          <w:tcPr>
            <w:tcW w:w="2196" w:type="dxa"/>
          </w:tcPr>
          <w:p w14:paraId="19208309" w14:textId="77777777" w:rsidR="006A320F" w:rsidRDefault="006A320F" w:rsidP="006A320F">
            <w:pPr>
              <w:spacing w:before="60" w:after="60"/>
            </w:pPr>
            <w:r>
              <w:t>Learning objective:</w:t>
            </w:r>
          </w:p>
        </w:tc>
        <w:tc>
          <w:tcPr>
            <w:tcW w:w="6820" w:type="dxa"/>
          </w:tcPr>
          <w:p w14:paraId="0F4F9DAE" w14:textId="10F20518" w:rsidR="006A320F" w:rsidRPr="00493034" w:rsidRDefault="00594B87" w:rsidP="006A320F">
            <w:pPr>
              <w:spacing w:before="60" w:after="60"/>
            </w:pPr>
            <w:r w:rsidRPr="00493034">
              <w:t>During a chemical reaction a new substance (or substances) are formed</w:t>
            </w:r>
            <w:r w:rsidR="002612E8">
              <w:t xml:space="preserve"> with different properties</w:t>
            </w:r>
            <w:r w:rsidRPr="00493034">
              <w:t>.</w:t>
            </w:r>
          </w:p>
        </w:tc>
      </w:tr>
      <w:tr w:rsidR="00493034" w14:paraId="51B6B1BE" w14:textId="77777777" w:rsidTr="003F16F9">
        <w:trPr>
          <w:trHeight w:val="340"/>
        </w:trPr>
        <w:tc>
          <w:tcPr>
            <w:tcW w:w="2196" w:type="dxa"/>
          </w:tcPr>
          <w:p w14:paraId="29799FB2" w14:textId="77777777" w:rsidR="00493034" w:rsidRDefault="00493034" w:rsidP="00493034">
            <w:pPr>
              <w:spacing w:before="60" w:after="60"/>
            </w:pPr>
            <w:r>
              <w:t>Observable learning outcome:</w:t>
            </w:r>
          </w:p>
        </w:tc>
        <w:tc>
          <w:tcPr>
            <w:tcW w:w="6820" w:type="dxa"/>
          </w:tcPr>
          <w:p w14:paraId="39F045E8" w14:textId="1CE4B1A0" w:rsidR="00493034" w:rsidRPr="00A50C9C" w:rsidRDefault="00493034" w:rsidP="00493034">
            <w:pPr>
              <w:spacing w:before="60" w:after="60"/>
              <w:rPr>
                <w:b/>
              </w:rPr>
            </w:pPr>
            <w:r w:rsidRPr="00493034">
              <w:t>Explain observations of a thermal decomposition reaction.</w:t>
            </w:r>
          </w:p>
        </w:tc>
      </w:tr>
      <w:tr w:rsidR="00493034" w14:paraId="658AD64D" w14:textId="77777777" w:rsidTr="003F16F9">
        <w:trPr>
          <w:trHeight w:val="340"/>
        </w:trPr>
        <w:tc>
          <w:tcPr>
            <w:tcW w:w="2196" w:type="dxa"/>
          </w:tcPr>
          <w:p w14:paraId="68CDA568" w14:textId="77777777" w:rsidR="00493034" w:rsidRDefault="00493034" w:rsidP="00493034">
            <w:pPr>
              <w:spacing w:before="60" w:after="60"/>
            </w:pPr>
            <w:r>
              <w:t>Activity type:</w:t>
            </w:r>
          </w:p>
        </w:tc>
        <w:tc>
          <w:tcPr>
            <w:tcW w:w="6820" w:type="dxa"/>
          </w:tcPr>
          <w:p w14:paraId="344F6963" w14:textId="4CE52A29" w:rsidR="00493034" w:rsidRPr="005D3C39" w:rsidRDefault="005D3C39" w:rsidP="00493034">
            <w:pPr>
              <w:spacing w:before="60" w:after="60"/>
            </w:pPr>
            <w:r w:rsidRPr="005D3C39">
              <w:t>application and practice</w:t>
            </w:r>
          </w:p>
        </w:tc>
      </w:tr>
      <w:tr w:rsidR="00493034" w14:paraId="17E497AF" w14:textId="77777777" w:rsidTr="003F16F9">
        <w:trPr>
          <w:trHeight w:val="340"/>
        </w:trPr>
        <w:tc>
          <w:tcPr>
            <w:tcW w:w="2196" w:type="dxa"/>
          </w:tcPr>
          <w:p w14:paraId="1A4C31ED" w14:textId="77777777" w:rsidR="00493034" w:rsidRDefault="00493034" w:rsidP="00493034">
            <w:pPr>
              <w:spacing w:before="60" w:after="60"/>
            </w:pPr>
            <w:r>
              <w:t>Key words:</w:t>
            </w:r>
          </w:p>
        </w:tc>
        <w:tc>
          <w:tcPr>
            <w:tcW w:w="6820" w:type="dxa"/>
            <w:tcBorders>
              <w:bottom w:val="dotted" w:sz="4" w:space="0" w:color="auto"/>
            </w:tcBorders>
          </w:tcPr>
          <w:p w14:paraId="7823FE6D" w14:textId="5E75D989" w:rsidR="00493034" w:rsidRPr="005D3C39" w:rsidRDefault="005D3C39" w:rsidP="00493034">
            <w:pPr>
              <w:spacing w:before="60" w:after="60"/>
            </w:pPr>
            <w:r w:rsidRPr="005D3C39">
              <w:t>compound, formula, atom</w:t>
            </w:r>
          </w:p>
        </w:tc>
      </w:tr>
    </w:tbl>
    <w:p w14:paraId="379BC042" w14:textId="77777777" w:rsidR="00E172C6" w:rsidRDefault="00E172C6" w:rsidP="00E172C6">
      <w:pPr>
        <w:spacing w:after="180"/>
      </w:pPr>
    </w:p>
    <w:p w14:paraId="6D2B79D8" w14:textId="0F10AF21" w:rsidR="006A320F" w:rsidRDefault="006A320F" w:rsidP="006A320F">
      <w:pPr>
        <w:spacing w:after="180"/>
      </w:pPr>
      <w:r>
        <w:t xml:space="preserve">This activity can help develop students’ understanding by addressing the </w:t>
      </w:r>
      <w:r w:rsidR="002612E8">
        <w:t>misunderstandings</w:t>
      </w:r>
      <w:r>
        <w:t xml:space="preserve"> revealed by the following diagnostic question</w:t>
      </w:r>
      <w:r w:rsidRPr="006E0400">
        <w:t>:</w:t>
      </w:r>
    </w:p>
    <w:p w14:paraId="37EE3374" w14:textId="29FD37F4" w:rsidR="00456227" w:rsidRPr="00493034" w:rsidRDefault="00594B87" w:rsidP="00456227">
      <w:pPr>
        <w:pStyle w:val="ListParagraph"/>
        <w:numPr>
          <w:ilvl w:val="0"/>
          <w:numId w:val="1"/>
        </w:numPr>
        <w:spacing w:after="180"/>
      </w:pPr>
      <w:r w:rsidRPr="00493034">
        <w:t>Heating a compound</w:t>
      </w:r>
    </w:p>
    <w:p w14:paraId="08EF74B3" w14:textId="77777777" w:rsidR="00F72ECC" w:rsidRDefault="00F72ECC" w:rsidP="00F72ECC"/>
    <w:p w14:paraId="655CBD62"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31DA47F2" w14:textId="7E60092E" w:rsidR="00C05571" w:rsidRPr="005D3C39" w:rsidRDefault="0051674E" w:rsidP="0050055B">
      <w:pPr>
        <w:spacing w:after="180"/>
      </w:pPr>
      <w:r w:rsidRPr="005D3C39">
        <w:t xml:space="preserve">Research </w:t>
      </w:r>
      <w:r w:rsidRPr="005D3C39">
        <w:fldChar w:fldCharType="begin"/>
      </w:r>
      <w:r w:rsidRPr="005D3C39">
        <w:instrText xml:space="preserve"> ADDIN EN.CITE &lt;EndNote&gt;&lt;Cite&gt;&lt;Author&gt;Talanquer&lt;/Author&gt;&lt;Year&gt;2007&lt;/Year&gt;&lt;IDText&gt;Students&amp;apos; predictions about the sensory properties of chemical compounds: Additive versus emergent frameworks&lt;/IDText&gt;&lt;DisplayText&gt;(Talanquer, 2007)&lt;/DisplayText&gt;&lt;record&gt;&lt;titles&gt;&lt;title&gt;Students&amp;apos;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format="utc"&gt;1531838137&lt;/added-date&gt;&lt;ref-type name="Journal Article"&gt;17&lt;/ref-type&gt;&lt;dates&gt;&lt;year&gt;2007&lt;/year&gt;&lt;/dates&gt;&lt;rec-number&gt;6&lt;/rec-number&gt;&lt;last-updated-date format="utc"&gt;1532529763&lt;/last-updated-date&gt;&lt;volume&gt;92&lt;/volume&gt;&lt;/record&gt;&lt;/Cite&gt;&lt;Cite&gt;&lt;Author&gt;Talanquer&lt;/Author&gt;&lt;Year&gt;2007&lt;/Year&gt;&lt;IDText&gt;Students&amp;apos; predictions about the sensory properties of chemical compounds: Additive versus emergent frameworks&lt;/IDText&gt;&lt;record&gt;&lt;titles&gt;&lt;title&gt;Students&amp;apos;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format="utc"&gt;1531838137&lt;/added-date&gt;&lt;ref-type name="Journal Article"&gt;17&lt;/ref-type&gt;&lt;dates&gt;&lt;year&gt;2007&lt;/year&gt;&lt;/dates&gt;&lt;rec-number&gt;6&lt;/rec-number&gt;&lt;last-updated-date format="utc"&gt;1532529763&lt;/last-updated-date&gt;&lt;volume&gt;92&lt;/volume&gt;&lt;/record&gt;&lt;/Cite&gt;&lt;/EndNote&gt;</w:instrText>
      </w:r>
      <w:r w:rsidRPr="005D3C39">
        <w:fldChar w:fldCharType="separate"/>
      </w:r>
      <w:r w:rsidRPr="005D3C39">
        <w:rPr>
          <w:noProof/>
        </w:rPr>
        <w:t>(Talanquer, 2007)</w:t>
      </w:r>
      <w:r w:rsidRPr="005D3C39">
        <w:fldChar w:fldCharType="end"/>
      </w:r>
      <w:r w:rsidRPr="005D3C39">
        <w:t xml:space="preserve"> found that many students have an additive framework of understanding about compounds. They think that compounds are a mixture of elements and that the properties</w:t>
      </w:r>
      <w:r w:rsidR="005D3C39" w:rsidRPr="005D3C39">
        <w:t xml:space="preserve"> of a </w:t>
      </w:r>
      <w:r w:rsidR="00EE4303" w:rsidRPr="005D3C39">
        <w:t>compound are</w:t>
      </w:r>
      <w:r w:rsidRPr="005D3C39">
        <w:t xml:space="preserve"> a combination of those of </w:t>
      </w:r>
      <w:r w:rsidR="005D3C39" w:rsidRPr="005D3C39">
        <w:t xml:space="preserve">its </w:t>
      </w:r>
      <w:r w:rsidRPr="005D3C39">
        <w:t xml:space="preserve">individual </w:t>
      </w:r>
      <w:r w:rsidR="005D3C39" w:rsidRPr="005D3C39">
        <w:t xml:space="preserve">component </w:t>
      </w:r>
      <w:r w:rsidRPr="005D3C39">
        <w:t>elements (see key concept: CPS2.1 Atoms and molecules). In contrast emergent properties cannot be easily predicted from the properties of the individual parts.</w:t>
      </w:r>
      <w:r w:rsidR="005D3C39" w:rsidRPr="005D3C39">
        <w:t xml:space="preserve"> They emerge from that particular arrangement of atoms.</w:t>
      </w:r>
    </w:p>
    <w:p w14:paraId="5DB440CF" w14:textId="736B8F13" w:rsidR="0051674E" w:rsidRDefault="005D3C39" w:rsidP="0050055B">
      <w:pPr>
        <w:spacing w:after="180"/>
      </w:pPr>
      <w:r w:rsidRPr="005D3C39">
        <w:t>In order to understand</w:t>
      </w:r>
      <w:r w:rsidR="0051674E" w:rsidRPr="005D3C39">
        <w:t xml:space="preserve"> chemical reaction</w:t>
      </w:r>
      <w:r w:rsidRPr="005D3C39">
        <w:t>s</w:t>
      </w:r>
      <w:r w:rsidR="0051674E" w:rsidRPr="005D3C39">
        <w:t xml:space="preserve"> students </w:t>
      </w:r>
      <w:r w:rsidRPr="005D3C39">
        <w:t xml:space="preserve">need to </w:t>
      </w:r>
      <w:r w:rsidR="0051674E" w:rsidRPr="005D3C39">
        <w:t xml:space="preserve">link </w:t>
      </w:r>
      <w:r w:rsidRPr="005D3C39">
        <w:t>their observation of new properties</w:t>
      </w:r>
      <w:r>
        <w:t xml:space="preserve"> (for example a colour change) with the rearrangement of atoms and hence the formation of a new substance. </w:t>
      </w:r>
    </w:p>
    <w:p w14:paraId="1E06E59C"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7193491B" w14:textId="008E3FE8" w:rsidR="00E71CB7" w:rsidRPr="0051674E" w:rsidRDefault="00493034" w:rsidP="00456227">
      <w:pPr>
        <w:spacing w:after="180"/>
      </w:pPr>
      <w:r w:rsidRPr="0051674E">
        <w:t>This activity may be carried out as a pencil and paper exercise but you may wish to provide samples of the compounds for students to see.</w:t>
      </w:r>
    </w:p>
    <w:p w14:paraId="47B1B217" w14:textId="37FCCC37" w:rsidR="00E71CB7" w:rsidRDefault="00E71CB7" w:rsidP="00E71CB7">
      <w:pPr>
        <w:spacing w:after="180"/>
      </w:pPr>
      <w:r>
        <w:t>This activity gives students the opportunity to practise applying their understanding and to clarify their thinking through discussion.  To support this, s</w:t>
      </w:r>
      <w:r w:rsidRPr="00DA3B6C">
        <w:t xml:space="preserve">tudents </w:t>
      </w:r>
      <w:r>
        <w:t xml:space="preserve">should complete the </w:t>
      </w:r>
      <w:r w:rsidR="004804F8">
        <w:t xml:space="preserve">activity </w:t>
      </w:r>
      <w:r>
        <w:t xml:space="preserve">in pairs or small groups. </w:t>
      </w:r>
      <w:r w:rsidR="004804F8">
        <w:t>The focus should be on student responses to part c.</w:t>
      </w:r>
    </w:p>
    <w:p w14:paraId="6C364E18" w14:textId="3D79A809" w:rsidR="00E71CB7" w:rsidRDefault="004804F8" w:rsidP="00456227">
      <w:pPr>
        <w:spacing w:after="180"/>
      </w:pPr>
      <w:r>
        <w:t xml:space="preserve">It may be beneficial to ask each group of students to report back their answer to part c to the whole class. </w:t>
      </w:r>
      <w:r w:rsidR="00E71CB7">
        <w:t xml:space="preserve">  After </w:t>
      </w:r>
      <w:r>
        <w:t>each group</w:t>
      </w:r>
      <w:r w:rsidR="00E71CB7">
        <w:t xml:space="preserve"> has fed back, </w:t>
      </w:r>
      <w:r>
        <w:t>the class could develop</w:t>
      </w:r>
      <w:r w:rsidR="00E71CB7">
        <w:t xml:space="preserve"> even better answer.  </w:t>
      </w:r>
      <w:r w:rsidR="00EE4303">
        <w:t>Alternatively, you</w:t>
      </w:r>
      <w:r>
        <w:t xml:space="preserve"> could model an improved answer.</w:t>
      </w:r>
    </w:p>
    <w:p w14:paraId="7F303988" w14:textId="6795506E" w:rsidR="002612E8" w:rsidRPr="002612E8" w:rsidRDefault="002612E8" w:rsidP="00456227">
      <w:pPr>
        <w:spacing w:after="180"/>
        <w:rPr>
          <w:i/>
        </w:rPr>
      </w:pPr>
      <w:r w:rsidRPr="002612E8">
        <w:rPr>
          <w:i/>
        </w:rPr>
        <w:t>Differentiation</w:t>
      </w:r>
    </w:p>
    <w:p w14:paraId="663B74B5" w14:textId="2914D2D5" w:rsidR="002612E8" w:rsidRPr="005D3C39" w:rsidRDefault="002612E8" w:rsidP="00456227">
      <w:pPr>
        <w:spacing w:after="180"/>
      </w:pPr>
      <w:r>
        <w:t>This activity could be carried out through verbal discussion either one to one or in small groups.</w:t>
      </w:r>
    </w:p>
    <w:p w14:paraId="58896A00" w14:textId="5C704EF7" w:rsidR="00BB44B4" w:rsidRPr="006A320F" w:rsidRDefault="00456227" w:rsidP="00BB44B4">
      <w:pPr>
        <w:spacing w:after="180"/>
      </w:pPr>
      <w:r w:rsidRPr="006A320F">
        <w:rPr>
          <w:b/>
          <w:color w:val="E36C0A" w:themeColor="accent6" w:themeShade="BF"/>
        </w:rPr>
        <w:t>Equipment</w:t>
      </w:r>
      <w:r w:rsidR="006A320F" w:rsidRPr="006A320F">
        <w:rPr>
          <w:b/>
          <w:color w:val="76923C" w:themeColor="accent3" w:themeShade="BF"/>
        </w:rPr>
        <w:t xml:space="preserve"> </w:t>
      </w:r>
    </w:p>
    <w:p w14:paraId="1016319D" w14:textId="77777777" w:rsidR="00456227" w:rsidRDefault="00456227" w:rsidP="00456227">
      <w:pPr>
        <w:spacing w:after="180"/>
      </w:pPr>
      <w:r w:rsidRPr="005B1739">
        <w:t xml:space="preserve">For </w:t>
      </w:r>
      <w:r>
        <w:t>the class</w:t>
      </w:r>
      <w:r w:rsidRPr="005B1739">
        <w:t>:</w:t>
      </w:r>
    </w:p>
    <w:p w14:paraId="3E7A0C9B" w14:textId="0E24350D" w:rsidR="00456227" w:rsidRPr="00E71CB7" w:rsidRDefault="00493034" w:rsidP="00456227">
      <w:pPr>
        <w:pStyle w:val="ListParagraph"/>
        <w:numPr>
          <w:ilvl w:val="0"/>
          <w:numId w:val="1"/>
        </w:numPr>
        <w:spacing w:after="180"/>
      </w:pPr>
      <w:r w:rsidRPr="00E71CB7">
        <w:t xml:space="preserve">Samples of </w:t>
      </w:r>
      <w:r w:rsidR="002612E8">
        <w:t xml:space="preserve">copper and </w:t>
      </w:r>
      <w:r w:rsidRPr="00E71CB7">
        <w:t>copper compounds (optional)</w:t>
      </w:r>
    </w:p>
    <w:p w14:paraId="4EBC9102" w14:textId="675C7EAA" w:rsidR="00493034" w:rsidRPr="00E71CB7" w:rsidRDefault="00493034" w:rsidP="00E71CB7">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6B427577"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F49922D" w14:textId="77777777" w:rsidR="008C29B2" w:rsidRDefault="008C29B2" w:rsidP="00026DEC">
      <w:pPr>
        <w:spacing w:after="180"/>
      </w:pPr>
      <w:r>
        <w:t>1a</w:t>
      </w:r>
    </w:p>
    <w:tbl>
      <w:tblPr>
        <w:tblStyle w:val="TableGrid"/>
        <w:tblW w:w="0" w:type="auto"/>
        <w:tblInd w:w="-5" w:type="dxa"/>
        <w:tblLook w:val="04A0" w:firstRow="1" w:lastRow="0" w:firstColumn="1" w:lastColumn="0" w:noHBand="0" w:noVBand="1"/>
      </w:tblPr>
      <w:tblGrid>
        <w:gridCol w:w="2886"/>
        <w:gridCol w:w="2452"/>
        <w:gridCol w:w="2685"/>
      </w:tblGrid>
      <w:tr w:rsidR="00A80AF6" w14:paraId="0F1E6691" w14:textId="77777777" w:rsidTr="00A80AF6">
        <w:tc>
          <w:tcPr>
            <w:tcW w:w="2886" w:type="dxa"/>
          </w:tcPr>
          <w:p w14:paraId="5B630770" w14:textId="77777777" w:rsidR="00A80AF6" w:rsidRPr="00EE4303" w:rsidRDefault="00A80AF6" w:rsidP="00496698">
            <w:pPr>
              <w:pStyle w:val="ListParagraph"/>
              <w:spacing w:after="180"/>
              <w:ind w:left="0"/>
              <w:contextualSpacing w:val="0"/>
              <w:rPr>
                <w:b/>
              </w:rPr>
            </w:pPr>
            <w:r w:rsidRPr="00EE4303">
              <w:rPr>
                <w:b/>
              </w:rPr>
              <w:t>Compound</w:t>
            </w:r>
          </w:p>
        </w:tc>
        <w:tc>
          <w:tcPr>
            <w:tcW w:w="2452" w:type="dxa"/>
          </w:tcPr>
          <w:p w14:paraId="0121333A" w14:textId="77777777" w:rsidR="00A80AF6" w:rsidRPr="00EE4303" w:rsidRDefault="00A80AF6" w:rsidP="00496698">
            <w:pPr>
              <w:pStyle w:val="ListParagraph"/>
              <w:spacing w:after="180"/>
              <w:ind w:left="0"/>
              <w:contextualSpacing w:val="0"/>
              <w:rPr>
                <w:b/>
              </w:rPr>
            </w:pPr>
            <w:r w:rsidRPr="00EE4303">
              <w:rPr>
                <w:b/>
              </w:rPr>
              <w:t>Formula</w:t>
            </w:r>
          </w:p>
        </w:tc>
        <w:tc>
          <w:tcPr>
            <w:tcW w:w="2685" w:type="dxa"/>
          </w:tcPr>
          <w:p w14:paraId="71B6DBE2" w14:textId="77777777" w:rsidR="00A80AF6" w:rsidRPr="00EE4303" w:rsidRDefault="00A80AF6" w:rsidP="00496698">
            <w:pPr>
              <w:pStyle w:val="ListParagraph"/>
              <w:spacing w:after="180"/>
              <w:ind w:left="0"/>
              <w:contextualSpacing w:val="0"/>
              <w:rPr>
                <w:b/>
              </w:rPr>
            </w:pPr>
            <w:r w:rsidRPr="00EE4303">
              <w:rPr>
                <w:b/>
              </w:rPr>
              <w:t>Atoms</w:t>
            </w:r>
          </w:p>
        </w:tc>
      </w:tr>
      <w:tr w:rsidR="00A80AF6" w14:paraId="018EC5AD" w14:textId="77777777" w:rsidTr="00A80AF6">
        <w:tc>
          <w:tcPr>
            <w:tcW w:w="2886" w:type="dxa"/>
          </w:tcPr>
          <w:p w14:paraId="1C517243" w14:textId="77777777" w:rsidR="00A80AF6" w:rsidRPr="00A80AF6" w:rsidRDefault="00A80AF6" w:rsidP="00496698">
            <w:pPr>
              <w:pStyle w:val="ListParagraph"/>
              <w:spacing w:after="180"/>
              <w:ind w:left="0"/>
              <w:contextualSpacing w:val="0"/>
            </w:pPr>
            <w:r>
              <w:t>copper carbonate</w:t>
            </w:r>
          </w:p>
        </w:tc>
        <w:tc>
          <w:tcPr>
            <w:tcW w:w="2452" w:type="dxa"/>
          </w:tcPr>
          <w:p w14:paraId="7B9946E8" w14:textId="77777777" w:rsidR="00A80AF6" w:rsidRPr="00A80AF6" w:rsidRDefault="00A80AF6" w:rsidP="00496698">
            <w:pPr>
              <w:pStyle w:val="ListParagraph"/>
              <w:spacing w:after="180"/>
              <w:ind w:left="0"/>
              <w:contextualSpacing w:val="0"/>
            </w:pPr>
            <w:r>
              <w:t>CuCO</w:t>
            </w:r>
            <w:r>
              <w:rPr>
                <w:vertAlign w:val="subscript"/>
              </w:rPr>
              <w:t>3</w:t>
            </w:r>
          </w:p>
        </w:tc>
        <w:tc>
          <w:tcPr>
            <w:tcW w:w="2685" w:type="dxa"/>
          </w:tcPr>
          <w:p w14:paraId="424238ED" w14:textId="131B7F5D" w:rsidR="00A80AF6" w:rsidRDefault="002612E8" w:rsidP="00496698">
            <w:pPr>
              <w:pStyle w:val="ListParagraph"/>
              <w:spacing w:after="180"/>
              <w:ind w:left="0"/>
              <w:contextualSpacing w:val="0"/>
            </w:pPr>
            <w:r>
              <w:t>copper, carbon, oxygen</w:t>
            </w:r>
          </w:p>
        </w:tc>
      </w:tr>
      <w:tr w:rsidR="00A80AF6" w14:paraId="78B2DF56" w14:textId="77777777" w:rsidTr="00A80AF6">
        <w:tc>
          <w:tcPr>
            <w:tcW w:w="2886" w:type="dxa"/>
          </w:tcPr>
          <w:p w14:paraId="5D422EB3" w14:textId="77777777" w:rsidR="00A80AF6" w:rsidRDefault="00A80AF6" w:rsidP="00496698">
            <w:pPr>
              <w:pStyle w:val="ListParagraph"/>
              <w:spacing w:after="180"/>
              <w:ind w:left="0"/>
              <w:contextualSpacing w:val="0"/>
            </w:pPr>
            <w:r>
              <w:t>copper oxide</w:t>
            </w:r>
          </w:p>
        </w:tc>
        <w:tc>
          <w:tcPr>
            <w:tcW w:w="2452" w:type="dxa"/>
          </w:tcPr>
          <w:p w14:paraId="4F06735A" w14:textId="77777777" w:rsidR="00A80AF6" w:rsidRDefault="00A80AF6" w:rsidP="00496698">
            <w:pPr>
              <w:pStyle w:val="ListParagraph"/>
              <w:spacing w:after="180"/>
              <w:ind w:left="0"/>
              <w:contextualSpacing w:val="0"/>
            </w:pPr>
            <w:r>
              <w:t>CuO</w:t>
            </w:r>
          </w:p>
        </w:tc>
        <w:tc>
          <w:tcPr>
            <w:tcW w:w="2685" w:type="dxa"/>
          </w:tcPr>
          <w:p w14:paraId="45841F55" w14:textId="09B0F0A2" w:rsidR="00A80AF6" w:rsidRDefault="002612E8" w:rsidP="00496698">
            <w:pPr>
              <w:pStyle w:val="ListParagraph"/>
              <w:spacing w:after="180"/>
              <w:ind w:left="0"/>
              <w:contextualSpacing w:val="0"/>
            </w:pPr>
            <w:r>
              <w:t>copper, oxygen</w:t>
            </w:r>
          </w:p>
        </w:tc>
      </w:tr>
      <w:tr w:rsidR="00A80AF6" w14:paraId="5256A405" w14:textId="77777777" w:rsidTr="00A80AF6">
        <w:tc>
          <w:tcPr>
            <w:tcW w:w="2886" w:type="dxa"/>
          </w:tcPr>
          <w:p w14:paraId="012ECFD2" w14:textId="77777777" w:rsidR="00A80AF6" w:rsidRDefault="00A80AF6" w:rsidP="00496698">
            <w:pPr>
              <w:pStyle w:val="ListParagraph"/>
              <w:spacing w:after="180"/>
              <w:ind w:left="0"/>
              <w:contextualSpacing w:val="0"/>
            </w:pPr>
            <w:r>
              <w:t>copper sulfate</w:t>
            </w:r>
          </w:p>
        </w:tc>
        <w:tc>
          <w:tcPr>
            <w:tcW w:w="2452" w:type="dxa"/>
          </w:tcPr>
          <w:p w14:paraId="7BE75C37" w14:textId="77777777" w:rsidR="00A80AF6" w:rsidRPr="00A80AF6" w:rsidRDefault="00A80AF6" w:rsidP="00496698">
            <w:pPr>
              <w:pStyle w:val="ListParagraph"/>
              <w:spacing w:after="180"/>
              <w:ind w:left="0"/>
              <w:contextualSpacing w:val="0"/>
            </w:pPr>
            <w:r>
              <w:t>CuSO</w:t>
            </w:r>
            <w:r>
              <w:rPr>
                <w:vertAlign w:val="subscript"/>
              </w:rPr>
              <w:t>4</w:t>
            </w:r>
          </w:p>
        </w:tc>
        <w:tc>
          <w:tcPr>
            <w:tcW w:w="2685" w:type="dxa"/>
          </w:tcPr>
          <w:p w14:paraId="75C99B45" w14:textId="374D8898" w:rsidR="00A80AF6" w:rsidRDefault="002612E8" w:rsidP="00496698">
            <w:pPr>
              <w:pStyle w:val="ListParagraph"/>
              <w:spacing w:after="180"/>
              <w:ind w:left="0"/>
              <w:contextualSpacing w:val="0"/>
            </w:pPr>
            <w:r>
              <w:t>copper, sulfur, oxygen</w:t>
            </w:r>
          </w:p>
        </w:tc>
      </w:tr>
    </w:tbl>
    <w:p w14:paraId="6EDB8133" w14:textId="75F866C1" w:rsidR="00A80AF6" w:rsidRDefault="00A80AF6" w:rsidP="00026DEC">
      <w:pPr>
        <w:spacing w:after="180"/>
      </w:pPr>
    </w:p>
    <w:p w14:paraId="558AE33D" w14:textId="1C97D509" w:rsidR="00A80AF6" w:rsidRDefault="00A80AF6" w:rsidP="00026DEC">
      <w:pPr>
        <w:spacing w:after="180"/>
      </w:pPr>
      <w:r>
        <w:t>b All of the compounds contain copper atoms.</w:t>
      </w:r>
    </w:p>
    <w:p w14:paraId="07D48880" w14:textId="3017D4B1" w:rsidR="00A80AF6" w:rsidRDefault="00A80AF6" w:rsidP="00026DEC">
      <w:pPr>
        <w:spacing w:after="180"/>
      </w:pPr>
      <w:r>
        <w:t xml:space="preserve">c </w:t>
      </w:r>
      <w:r w:rsidR="00EE4303">
        <w:t>Copper atoms do not have the same properties as copper. Copper is made up entirely of copper atoms. This gives rise to the specific properties of copper. In  copper compounds the copper atoms are joined with other types of atom so the properties cannot be the same as the element copper.</w:t>
      </w:r>
    </w:p>
    <w:p w14:paraId="2C23633E" w14:textId="6380763A" w:rsidR="00EE4303" w:rsidRDefault="00EE4303" w:rsidP="00026DEC">
      <w:pPr>
        <w:spacing w:after="180"/>
      </w:pPr>
      <w:r>
        <w:t>d The copper compounds are all made up of a different combination of types of atom so they have different properties.</w:t>
      </w:r>
    </w:p>
    <w:p w14:paraId="1B3D71CD" w14:textId="1F4376ED" w:rsidR="00E71CB7"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7963AAE" w14:textId="2723AC6D" w:rsidR="00D278E8" w:rsidRDefault="00D278E8" w:rsidP="00E172C6">
      <w:pPr>
        <w:spacing w:after="180"/>
      </w:pPr>
      <w:r w:rsidRPr="00594B87">
        <w:t xml:space="preserve">Developed </w:t>
      </w:r>
      <w:r w:rsidR="0015356E" w:rsidRPr="00594B87">
        <w:t xml:space="preserve">by </w:t>
      </w:r>
      <w:r w:rsidR="00594B87" w:rsidRPr="00594B87">
        <w:t xml:space="preserve">Helen Harden </w:t>
      </w:r>
      <w:r w:rsidR="0015356E" w:rsidRPr="00594B87">
        <w:t>(UYSEG</w:t>
      </w:r>
      <w:r w:rsidRPr="00594B87">
        <w:t>).</w:t>
      </w:r>
    </w:p>
    <w:p w14:paraId="59562CAE" w14:textId="5B6B3130" w:rsidR="00CC78A5" w:rsidRDefault="00D278E8" w:rsidP="00E172C6">
      <w:pPr>
        <w:spacing w:after="180"/>
        <w:rPr>
          <w:highlight w:val="yellow"/>
        </w:rPr>
      </w:pPr>
      <w:r w:rsidRPr="0045323E">
        <w:t xml:space="preserve">Images: </w:t>
      </w:r>
    </w:p>
    <w:p w14:paraId="2F531BBC" w14:textId="0C9D790B" w:rsidR="00594B87" w:rsidRPr="002612E8" w:rsidRDefault="00594B87" w:rsidP="00E172C6">
      <w:pPr>
        <w:spacing w:after="180"/>
      </w:pPr>
      <w:r w:rsidRPr="00594B87">
        <w:t xml:space="preserve">Copper carbonate </w:t>
      </w:r>
      <w:r w:rsidR="002612E8">
        <w:t xml:space="preserve">- </w:t>
      </w:r>
      <w:r w:rsidRPr="00594B87">
        <w:t>W. Oelen (http://woelen.homescience.net/science/index.html) [CC BY-SA 3.0  (https://creativecommons.org/licenses/by-sa/3.0)], via Wikimedia Commons</w:t>
      </w:r>
    </w:p>
    <w:p w14:paraId="56027CD2" w14:textId="3F1C73A7" w:rsidR="00594B87" w:rsidRDefault="00594B87" w:rsidP="00E172C6">
      <w:pPr>
        <w:spacing w:after="180"/>
      </w:pPr>
      <w:r>
        <w:t>Copper oxide</w:t>
      </w:r>
      <w:r w:rsidR="002612E8">
        <w:t xml:space="preserve"> - </w:t>
      </w:r>
      <w:r w:rsidRPr="00594B87">
        <w:t>Adam Rędzikowski [CC BY-SA 3.0  (https://creativecommons.org/licenses/by-sa/3.0)], from Wikimedia Commons</w:t>
      </w:r>
    </w:p>
    <w:p w14:paraId="311A84C1" w14:textId="78F724BC" w:rsidR="00E71CB7" w:rsidRDefault="00E71CB7" w:rsidP="00E172C6">
      <w:pPr>
        <w:spacing w:after="180"/>
      </w:pPr>
      <w:r>
        <w:t>Copper sulfate</w:t>
      </w:r>
      <w:r w:rsidR="002612E8">
        <w:t xml:space="preserve"> - </w:t>
      </w:r>
      <w:r w:rsidRPr="00E71CB7">
        <w:t>Crystal Titan [CC BY-SA 4.0  (https://creativecommons.org/licenses/by-sa/4.0)], from Wikimedia Commons</w:t>
      </w:r>
    </w:p>
    <w:p w14:paraId="19D89F6A" w14:textId="119EAAF2" w:rsidR="002A5DE3" w:rsidRDefault="002A5DE3" w:rsidP="00E172C6">
      <w:pPr>
        <w:spacing w:after="180"/>
      </w:pPr>
      <w:r>
        <w:t>Copper</w:t>
      </w:r>
      <w:r w:rsidR="002612E8">
        <w:t xml:space="preserve"> - </w:t>
      </w:r>
      <w:hyperlink r:id="rId13" w:history="1">
        <w:r w:rsidR="002612E8" w:rsidRPr="00E3580F">
          <w:rPr>
            <w:rStyle w:val="Hyperlink"/>
          </w:rPr>
          <w:t>www.pixabay.com</w:t>
        </w:r>
      </w:hyperlink>
      <w:r>
        <w:t xml:space="preserve"> Alexas-Fotos</w:t>
      </w:r>
    </w:p>
    <w:p w14:paraId="59FCF8A2" w14:textId="77777777" w:rsidR="003117F6" w:rsidRPr="001C2E59" w:rsidRDefault="003117F6" w:rsidP="00026DEC">
      <w:pPr>
        <w:spacing w:after="180"/>
        <w:rPr>
          <w:b/>
          <w:color w:val="E36C0A" w:themeColor="accent6" w:themeShade="BF"/>
          <w:sz w:val="24"/>
        </w:rPr>
      </w:pPr>
      <w:r w:rsidRPr="001C2E59">
        <w:rPr>
          <w:b/>
          <w:color w:val="E36C0A" w:themeColor="accent6" w:themeShade="BF"/>
          <w:sz w:val="24"/>
        </w:rPr>
        <w:t>References</w:t>
      </w:r>
    </w:p>
    <w:p w14:paraId="538A5EC8" w14:textId="77777777" w:rsidR="0051674E" w:rsidRPr="0051674E" w:rsidRDefault="0051674E" w:rsidP="0051674E">
      <w:pPr>
        <w:pStyle w:val="EndNoteBibliography"/>
      </w:pPr>
      <w:r>
        <w:fldChar w:fldCharType="begin"/>
      </w:r>
      <w:r>
        <w:instrText xml:space="preserve"> ADDIN EN.REFLIST </w:instrText>
      </w:r>
      <w:r>
        <w:fldChar w:fldCharType="separate"/>
      </w:r>
      <w:r w:rsidRPr="0051674E">
        <w:t xml:space="preserve">Talanquer, V. (2007). Students' predictions about the sensory properties of chemical compounds: Additive versus emergent frameworks. </w:t>
      </w:r>
      <w:r w:rsidRPr="0051674E">
        <w:rPr>
          <w:i/>
        </w:rPr>
        <w:t>Science Education,</w:t>
      </w:r>
      <w:r w:rsidRPr="0051674E">
        <w:t xml:space="preserve"> 92(1)</w:t>
      </w:r>
      <w:r w:rsidRPr="0051674E">
        <w:rPr>
          <w:b/>
        </w:rPr>
        <w:t>,</w:t>
      </w:r>
      <w:r w:rsidRPr="0051674E">
        <w:t xml:space="preserve"> 96-114.</w:t>
      </w:r>
    </w:p>
    <w:p w14:paraId="58DB4E7E" w14:textId="7345B053" w:rsidR="00B46FF9" w:rsidRDefault="0051674E" w:rsidP="00E24309">
      <w:pPr>
        <w:spacing w:after="180"/>
      </w:pPr>
      <w:r>
        <w:fldChar w:fldCharType="end"/>
      </w: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01804" w14:textId="77777777" w:rsidR="003C7C1C" w:rsidRDefault="003C7C1C" w:rsidP="000B473B">
      <w:r>
        <w:separator/>
      </w:r>
    </w:p>
  </w:endnote>
  <w:endnote w:type="continuationSeparator" w:id="0">
    <w:p w14:paraId="504F5085" w14:textId="77777777" w:rsidR="003C7C1C" w:rsidRDefault="003C7C1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88A2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3D6873C" wp14:editId="380F049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4B019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F6578">
      <w:rPr>
        <w:noProof/>
      </w:rPr>
      <w:t>2</w:t>
    </w:r>
    <w:r>
      <w:rPr>
        <w:noProof/>
      </w:rPr>
      <w:fldChar w:fldCharType="end"/>
    </w:r>
  </w:p>
  <w:p w14:paraId="584948E5"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0E7E58A7"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E96AC" w14:textId="77777777" w:rsidR="003C7C1C" w:rsidRDefault="003C7C1C" w:rsidP="000B473B">
      <w:r>
        <w:separator/>
      </w:r>
    </w:p>
  </w:footnote>
  <w:footnote w:type="continuationSeparator" w:id="0">
    <w:p w14:paraId="13771729" w14:textId="77777777" w:rsidR="003C7C1C" w:rsidRDefault="003C7C1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D9A6"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AAE4D65" wp14:editId="4BDBEF9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4F841E4B" wp14:editId="1A8B0F4C">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05DC8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9ABF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32F7E4E" wp14:editId="400D365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5E9ECA3" wp14:editId="0A2804E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C1D4B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31569"/>
    <w:rsid w:val="00015578"/>
    <w:rsid w:val="00024731"/>
    <w:rsid w:val="00026DEC"/>
    <w:rsid w:val="00031569"/>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0F80"/>
    <w:rsid w:val="00201AC2"/>
    <w:rsid w:val="00214608"/>
    <w:rsid w:val="002178AC"/>
    <w:rsid w:val="0022547C"/>
    <w:rsid w:val="0025410A"/>
    <w:rsid w:val="002612E8"/>
    <w:rsid w:val="0027553E"/>
    <w:rsid w:val="0028012F"/>
    <w:rsid w:val="002828DF"/>
    <w:rsid w:val="00287876"/>
    <w:rsid w:val="00292C53"/>
    <w:rsid w:val="00294E22"/>
    <w:rsid w:val="002A5DE3"/>
    <w:rsid w:val="002C22EA"/>
    <w:rsid w:val="002C59BA"/>
    <w:rsid w:val="002F41B2"/>
    <w:rsid w:val="00301AA9"/>
    <w:rsid w:val="003117F6"/>
    <w:rsid w:val="00312928"/>
    <w:rsid w:val="003533B8"/>
    <w:rsid w:val="003752BE"/>
    <w:rsid w:val="003A346A"/>
    <w:rsid w:val="003A50A4"/>
    <w:rsid w:val="003B2917"/>
    <w:rsid w:val="003B541B"/>
    <w:rsid w:val="003C7C1C"/>
    <w:rsid w:val="003E2B2F"/>
    <w:rsid w:val="003E463E"/>
    <w:rsid w:val="003E6046"/>
    <w:rsid w:val="003F16F9"/>
    <w:rsid w:val="00430C1F"/>
    <w:rsid w:val="00442595"/>
    <w:rsid w:val="0045323E"/>
    <w:rsid w:val="00456227"/>
    <w:rsid w:val="004804F8"/>
    <w:rsid w:val="00493034"/>
    <w:rsid w:val="004B0EE1"/>
    <w:rsid w:val="004D0D83"/>
    <w:rsid w:val="004D7353"/>
    <w:rsid w:val="004E1DF1"/>
    <w:rsid w:val="004E5592"/>
    <w:rsid w:val="0050055B"/>
    <w:rsid w:val="0051674E"/>
    <w:rsid w:val="00524710"/>
    <w:rsid w:val="00555342"/>
    <w:rsid w:val="005560E2"/>
    <w:rsid w:val="00594B87"/>
    <w:rsid w:val="005A452E"/>
    <w:rsid w:val="005A6EE7"/>
    <w:rsid w:val="005D3C39"/>
    <w:rsid w:val="005E07F2"/>
    <w:rsid w:val="005F1A7B"/>
    <w:rsid w:val="006355D8"/>
    <w:rsid w:val="00635BE9"/>
    <w:rsid w:val="00642ECD"/>
    <w:rsid w:val="006502A0"/>
    <w:rsid w:val="006772F5"/>
    <w:rsid w:val="006A320F"/>
    <w:rsid w:val="006A4440"/>
    <w:rsid w:val="006B0615"/>
    <w:rsid w:val="006D166B"/>
    <w:rsid w:val="006F3279"/>
    <w:rsid w:val="00704AEE"/>
    <w:rsid w:val="00722F9A"/>
    <w:rsid w:val="00754539"/>
    <w:rsid w:val="00765B91"/>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29B2"/>
    <w:rsid w:val="008C7F34"/>
    <w:rsid w:val="008E580C"/>
    <w:rsid w:val="0090047A"/>
    <w:rsid w:val="009158ED"/>
    <w:rsid w:val="00925026"/>
    <w:rsid w:val="00931264"/>
    <w:rsid w:val="00942A4B"/>
    <w:rsid w:val="00952D04"/>
    <w:rsid w:val="00961D59"/>
    <w:rsid w:val="009B2D55"/>
    <w:rsid w:val="009C0343"/>
    <w:rsid w:val="009E0D11"/>
    <w:rsid w:val="009F51AD"/>
    <w:rsid w:val="00A24A16"/>
    <w:rsid w:val="00A37D14"/>
    <w:rsid w:val="00A6111E"/>
    <w:rsid w:val="00A6168B"/>
    <w:rsid w:val="00A62028"/>
    <w:rsid w:val="00A80AF6"/>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0714"/>
    <w:rsid w:val="00E53D82"/>
    <w:rsid w:val="00E71CB7"/>
    <w:rsid w:val="00E9330A"/>
    <w:rsid w:val="00EE4303"/>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2A022"/>
  <w15:docId w15:val="{32BF2575-DD90-438F-8496-CCCF43C24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1674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1674E"/>
    <w:rPr>
      <w:rFonts w:ascii="Calibri" w:hAnsi="Calibri" w:cs="Calibri"/>
      <w:noProof/>
      <w:lang w:val="en-US"/>
    </w:rPr>
  </w:style>
  <w:style w:type="paragraph" w:customStyle="1" w:styleId="EndNoteBibliography">
    <w:name w:val="EndNote Bibliography"/>
    <w:basedOn w:val="Normal"/>
    <w:link w:val="EndNoteBibliographyChar"/>
    <w:rsid w:val="0051674E"/>
    <w:rPr>
      <w:rFonts w:ascii="Calibri" w:hAnsi="Calibri" w:cs="Calibri"/>
      <w:noProof/>
      <w:lang w:val="en-US"/>
    </w:rPr>
  </w:style>
  <w:style w:type="character" w:customStyle="1" w:styleId="EndNoteBibliographyChar">
    <w:name w:val="EndNote Bibliography Char"/>
    <w:basedOn w:val="DefaultParagraphFont"/>
    <w:link w:val="EndNoteBibliography"/>
    <w:rsid w:val="0051674E"/>
    <w:rPr>
      <w:rFonts w:ascii="Calibri" w:hAnsi="Calibri" w:cs="Calibri"/>
      <w:noProof/>
      <w:lang w:val="en-US"/>
    </w:rPr>
  </w:style>
  <w:style w:type="character" w:styleId="Hyperlink">
    <w:name w:val="Hyperlink"/>
    <w:basedOn w:val="DefaultParagraphFont"/>
    <w:uiPriority w:val="99"/>
    <w:unhideWhenUsed/>
    <w:rsid w:val="002A5DE3"/>
    <w:rPr>
      <w:color w:val="0000FF" w:themeColor="hyperlink"/>
      <w:u w:val="single"/>
    </w:rPr>
  </w:style>
  <w:style w:type="character" w:styleId="UnresolvedMention">
    <w:name w:val="Unresolved Mention"/>
    <w:basedOn w:val="DefaultParagraphFont"/>
    <w:uiPriority w:val="99"/>
    <w:semiHidden/>
    <w:unhideWhenUsed/>
    <w:rsid w:val="002A5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ixabay.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109</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7</cp:revision>
  <cp:lastPrinted>2018-09-21T12:50:00Z</cp:lastPrinted>
  <dcterms:created xsi:type="dcterms:W3CDTF">2018-09-20T11:12:00Z</dcterms:created>
  <dcterms:modified xsi:type="dcterms:W3CDTF">2018-11-27T10:22:00Z</dcterms:modified>
</cp:coreProperties>
</file>