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9575E" w14:textId="38BB963D" w:rsidR="00BE7C18" w:rsidRPr="00E24871" w:rsidRDefault="005344A5" w:rsidP="00201AC2">
      <w:pPr>
        <w:spacing w:after="180"/>
        <w:rPr>
          <w:b/>
          <w:sz w:val="44"/>
          <w:szCs w:val="44"/>
        </w:rPr>
      </w:pPr>
      <w:r w:rsidRPr="00BE7C18">
        <w:rPr>
          <w:b/>
          <w:sz w:val="44"/>
          <w:szCs w:val="44"/>
        </w:rPr>
        <w:t>Colour change</w:t>
      </w:r>
      <w:bookmarkStart w:id="0" w:name="_Hlk525298964"/>
    </w:p>
    <w:p w14:paraId="3895F592" w14:textId="69940E3A" w:rsidR="007C26E1" w:rsidRDefault="007C26E1" w:rsidP="00201AC2">
      <w:pPr>
        <w:spacing w:after="180"/>
      </w:pPr>
    </w:p>
    <w:p w14:paraId="6BFAB462" w14:textId="0F8B09A4" w:rsidR="00201AC2" w:rsidRDefault="001366EA" w:rsidP="00201AC2">
      <w:pPr>
        <w:pStyle w:val="ListParagraph"/>
        <w:numPr>
          <w:ilvl w:val="0"/>
          <w:numId w:val="3"/>
        </w:numPr>
        <w:spacing w:after="180"/>
        <w:ind w:left="567" w:hanging="567"/>
        <w:contextualSpacing w:val="0"/>
      </w:pPr>
      <w:r>
        <w:t xml:space="preserve">Compound A and compound B are </w:t>
      </w:r>
      <w:r w:rsidR="00EA035A">
        <w:t xml:space="preserve">added to a </w:t>
      </w:r>
      <w:r w:rsidR="00DD40B2">
        <w:t>small glass jar.</w:t>
      </w:r>
    </w:p>
    <w:p w14:paraId="24504DF4" w14:textId="4A338136" w:rsidR="00107DCD" w:rsidRDefault="00DD40B2" w:rsidP="00EA035A">
      <w:pPr>
        <w:pStyle w:val="ListParagraph"/>
        <w:spacing w:after="180"/>
        <w:ind w:left="567"/>
        <w:contextualSpacing w:val="0"/>
      </w:pPr>
      <w:r>
        <w:t>The lid is placed onto the jar</w:t>
      </w:r>
      <w:r w:rsidR="00107DCD">
        <w:t>.</w:t>
      </w:r>
    </w:p>
    <w:p w14:paraId="4E5F9FDB" w14:textId="1CA0A49B" w:rsidR="00E24871" w:rsidRDefault="00107DCD" w:rsidP="00107DCD">
      <w:pPr>
        <w:pStyle w:val="ListParagraph"/>
        <w:spacing w:after="180"/>
        <w:ind w:left="567"/>
        <w:contextualSpacing w:val="0"/>
      </w:pPr>
      <w:r>
        <w:t>The jar is shaken.</w:t>
      </w:r>
      <w:r>
        <w:rPr>
          <w:noProof/>
        </w:rPr>
        <w:drawing>
          <wp:anchor distT="0" distB="0" distL="114300" distR="114300" simplePos="0" relativeHeight="251658240" behindDoc="0" locked="0" layoutInCell="1" allowOverlap="1" wp14:anchorId="777D1ECC" wp14:editId="733B1D4C">
            <wp:simplePos x="0" y="0"/>
            <wp:positionH relativeFrom="column">
              <wp:posOffset>588010</wp:posOffset>
            </wp:positionH>
            <wp:positionV relativeFrom="paragraph">
              <wp:posOffset>163830</wp:posOffset>
            </wp:positionV>
            <wp:extent cx="1497330" cy="1988820"/>
            <wp:effectExtent l="1905"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our change white.JPG"/>
                    <pic:cNvPicPr/>
                  </pic:nvPicPr>
                  <pic:blipFill rotWithShape="1">
                    <a:blip r:embed="rId8" cstate="print">
                      <a:extLst>
                        <a:ext uri="{28A0092B-C50C-407E-A947-70E740481C1C}">
                          <a14:useLocalDpi xmlns:a14="http://schemas.microsoft.com/office/drawing/2010/main" val="0"/>
                        </a:ext>
                      </a:extLst>
                    </a:blip>
                    <a:srcRect l="28767" t="16743" r="42007" b="31501"/>
                    <a:stretch/>
                  </pic:blipFill>
                  <pic:spPr bwMode="auto">
                    <a:xfrm rot="5400000">
                      <a:off x="0" y="0"/>
                      <a:ext cx="1497330" cy="19888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67CE12" w14:textId="726B5BF0" w:rsidR="00413B14" w:rsidRDefault="00413B14" w:rsidP="00E24871">
      <w:pPr>
        <w:pStyle w:val="ListParagraph"/>
        <w:spacing w:after="180"/>
        <w:ind w:left="567"/>
        <w:contextualSpacing w:val="0"/>
      </w:pPr>
    </w:p>
    <w:p w14:paraId="5CACCE92" w14:textId="385E8415" w:rsidR="00413B14" w:rsidRDefault="00413B14" w:rsidP="00E24871">
      <w:pPr>
        <w:pStyle w:val="ListParagraph"/>
        <w:spacing w:after="180"/>
        <w:ind w:left="567"/>
        <w:contextualSpacing w:val="0"/>
      </w:pPr>
    </w:p>
    <w:p w14:paraId="2C56496F" w14:textId="3581492D" w:rsidR="00413B14" w:rsidRDefault="00413B14" w:rsidP="00E24871">
      <w:pPr>
        <w:pStyle w:val="ListParagraph"/>
        <w:spacing w:after="180"/>
        <w:ind w:left="567"/>
        <w:contextualSpacing w:val="0"/>
      </w:pPr>
    </w:p>
    <w:p w14:paraId="4ADEF317" w14:textId="77777777" w:rsidR="00413B14" w:rsidRDefault="00413B14" w:rsidP="00E24871">
      <w:pPr>
        <w:pStyle w:val="ListParagraph"/>
        <w:spacing w:after="180"/>
        <w:ind w:left="567"/>
        <w:contextualSpacing w:val="0"/>
      </w:pPr>
    </w:p>
    <w:p w14:paraId="0D6D97CD" w14:textId="77777777" w:rsidR="00413B14" w:rsidRDefault="00413B14" w:rsidP="00E24871">
      <w:pPr>
        <w:pStyle w:val="ListParagraph"/>
        <w:spacing w:after="180"/>
        <w:ind w:left="567"/>
        <w:contextualSpacing w:val="0"/>
      </w:pPr>
    </w:p>
    <w:p w14:paraId="7377ABD6" w14:textId="77777777" w:rsidR="00413B14" w:rsidRDefault="00413B14" w:rsidP="00E24871">
      <w:pPr>
        <w:pStyle w:val="ListParagraph"/>
        <w:spacing w:after="180"/>
        <w:ind w:left="567"/>
        <w:contextualSpacing w:val="0"/>
      </w:pPr>
    </w:p>
    <w:p w14:paraId="58E7BC45" w14:textId="213E4AC9" w:rsidR="00EA035A" w:rsidRDefault="00E24871" w:rsidP="00E24871">
      <w:pPr>
        <w:pStyle w:val="ListParagraph"/>
        <w:spacing w:after="180"/>
        <w:ind w:left="567"/>
        <w:contextualSpacing w:val="0"/>
      </w:pPr>
      <w:r>
        <w:rPr>
          <w:noProof/>
        </w:rPr>
        <w:drawing>
          <wp:anchor distT="0" distB="0" distL="114300" distR="114300" simplePos="0" relativeHeight="251659264" behindDoc="0" locked="0" layoutInCell="1" allowOverlap="1" wp14:anchorId="4C11BB0B" wp14:editId="1458799D">
            <wp:simplePos x="0" y="0"/>
            <wp:positionH relativeFrom="column">
              <wp:posOffset>741045</wp:posOffset>
            </wp:positionH>
            <wp:positionV relativeFrom="paragraph">
              <wp:posOffset>24130</wp:posOffset>
            </wp:positionV>
            <wp:extent cx="1334135" cy="1979295"/>
            <wp:effectExtent l="1270" t="0" r="635"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lour change yellow.JPG"/>
                    <pic:cNvPicPr/>
                  </pic:nvPicPr>
                  <pic:blipFill rotWithShape="1">
                    <a:blip r:embed="rId9" cstate="print">
                      <a:extLst>
                        <a:ext uri="{28A0092B-C50C-407E-A947-70E740481C1C}">
                          <a14:useLocalDpi xmlns:a14="http://schemas.microsoft.com/office/drawing/2010/main" val="0"/>
                        </a:ext>
                      </a:extLst>
                    </a:blip>
                    <a:srcRect l="53507" t="8034"/>
                    <a:stretch/>
                  </pic:blipFill>
                  <pic:spPr bwMode="auto">
                    <a:xfrm rot="5400000">
                      <a:off x="0" y="0"/>
                      <a:ext cx="1334135" cy="19792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13B14">
        <w:t xml:space="preserve">A </w:t>
      </w:r>
      <w:r w:rsidR="00C16C91">
        <w:t>yellow colour appears.</w:t>
      </w:r>
    </w:p>
    <w:bookmarkEnd w:id="0"/>
    <w:p w14:paraId="4785E072" w14:textId="326D5023" w:rsidR="00E24871" w:rsidRDefault="00E24871" w:rsidP="00BE7C18">
      <w:pPr>
        <w:spacing w:after="180"/>
        <w:ind w:left="567"/>
      </w:pPr>
    </w:p>
    <w:p w14:paraId="07CD212E" w14:textId="77777777" w:rsidR="00E24871" w:rsidRDefault="00E24871" w:rsidP="00BE7C18">
      <w:pPr>
        <w:spacing w:after="180"/>
        <w:ind w:left="567"/>
      </w:pPr>
    </w:p>
    <w:p w14:paraId="0D028386" w14:textId="77777777" w:rsidR="00E24871" w:rsidRDefault="00E24871" w:rsidP="00BE7C18">
      <w:pPr>
        <w:spacing w:after="180"/>
        <w:ind w:left="567"/>
      </w:pPr>
    </w:p>
    <w:p w14:paraId="34EEF4EB" w14:textId="77777777" w:rsidR="00E24871" w:rsidRDefault="00E24871" w:rsidP="00BE7C18">
      <w:pPr>
        <w:spacing w:after="180"/>
        <w:ind w:left="567"/>
      </w:pPr>
    </w:p>
    <w:p w14:paraId="2206BEFC" w14:textId="269721EF" w:rsidR="00E24871" w:rsidRDefault="00E24871" w:rsidP="00BE7C18">
      <w:pPr>
        <w:spacing w:after="180"/>
        <w:ind w:left="567"/>
      </w:pPr>
    </w:p>
    <w:p w14:paraId="0EFD8B0B" w14:textId="77777777" w:rsidR="00413B14" w:rsidRDefault="00413B14" w:rsidP="00BE7C18">
      <w:pPr>
        <w:spacing w:after="180"/>
        <w:ind w:left="567"/>
      </w:pPr>
    </w:p>
    <w:p w14:paraId="3DDCA4E4" w14:textId="4E36A939" w:rsidR="00BE7C18" w:rsidRPr="00107DCD" w:rsidRDefault="00BE7C18" w:rsidP="00BE7C18">
      <w:pPr>
        <w:spacing w:after="180"/>
        <w:ind w:left="567"/>
        <w:rPr>
          <w:i/>
        </w:rPr>
      </w:pPr>
      <w:r w:rsidRPr="00107DCD">
        <w:rPr>
          <w:i/>
        </w:rPr>
        <w:t>Think about following statements. Then tick the box to show how confident you are that each statement is right or wrong.</w:t>
      </w:r>
    </w:p>
    <w:p w14:paraId="31EF2148" w14:textId="77777777" w:rsidR="00BE7C18" w:rsidRPr="00BE7C18" w:rsidRDefault="00BE7C18" w:rsidP="00BE7C18">
      <w:pPr>
        <w:spacing w:after="180"/>
      </w:pPr>
    </w:p>
    <w:tbl>
      <w:tblPr>
        <w:tblStyle w:val="TableGrid"/>
        <w:tblW w:w="0" w:type="auto"/>
        <w:tblInd w:w="478" w:type="dxa"/>
        <w:tblLook w:val="04A0" w:firstRow="1" w:lastRow="0" w:firstColumn="1" w:lastColumn="0" w:noHBand="0" w:noVBand="1"/>
      </w:tblPr>
      <w:tblGrid>
        <w:gridCol w:w="3539"/>
        <w:gridCol w:w="1134"/>
        <w:gridCol w:w="1134"/>
        <w:gridCol w:w="1134"/>
        <w:gridCol w:w="1134"/>
      </w:tblGrid>
      <w:tr w:rsidR="00BE7C18" w14:paraId="1E0BD2A0" w14:textId="77777777" w:rsidTr="00E24871">
        <w:tc>
          <w:tcPr>
            <w:tcW w:w="3539" w:type="dxa"/>
            <w:tcBorders>
              <w:top w:val="nil"/>
              <w:left w:val="nil"/>
              <w:bottom w:val="single" w:sz="4" w:space="0" w:color="auto"/>
              <w:right w:val="single" w:sz="4" w:space="0" w:color="auto"/>
            </w:tcBorders>
          </w:tcPr>
          <w:p w14:paraId="2866A910" w14:textId="77777777" w:rsidR="00BE7C18" w:rsidRDefault="00BE7C18" w:rsidP="001D0A64">
            <w:pPr>
              <w:spacing w:after="180"/>
            </w:pPr>
          </w:p>
        </w:tc>
        <w:tc>
          <w:tcPr>
            <w:tcW w:w="1134" w:type="dxa"/>
            <w:tcBorders>
              <w:left w:val="single" w:sz="4" w:space="0" w:color="auto"/>
            </w:tcBorders>
          </w:tcPr>
          <w:p w14:paraId="057090E0" w14:textId="77777777" w:rsidR="00BE7C18" w:rsidRDefault="00BE7C18" w:rsidP="001D0A64">
            <w:pPr>
              <w:spacing w:after="180"/>
            </w:pPr>
            <w:r>
              <w:t xml:space="preserve">I am </w:t>
            </w:r>
            <w:r w:rsidRPr="00960605">
              <w:rPr>
                <w:b/>
              </w:rPr>
              <w:t xml:space="preserve">sure </w:t>
            </w:r>
            <w:r>
              <w:t>this is right</w:t>
            </w:r>
          </w:p>
        </w:tc>
        <w:tc>
          <w:tcPr>
            <w:tcW w:w="1134" w:type="dxa"/>
          </w:tcPr>
          <w:p w14:paraId="4A728E7B" w14:textId="77777777" w:rsidR="00BE7C18" w:rsidRDefault="00BE7C18" w:rsidP="001D0A64">
            <w:pPr>
              <w:spacing w:after="180"/>
            </w:pPr>
            <w:r>
              <w:t>I think this is right.</w:t>
            </w:r>
          </w:p>
        </w:tc>
        <w:tc>
          <w:tcPr>
            <w:tcW w:w="1134" w:type="dxa"/>
          </w:tcPr>
          <w:p w14:paraId="27D0EBDD" w14:textId="77777777" w:rsidR="00BE7C18" w:rsidRDefault="00BE7C18" w:rsidP="001D0A64">
            <w:pPr>
              <w:spacing w:after="180"/>
            </w:pPr>
            <w:r>
              <w:t>I think this is wrong.</w:t>
            </w:r>
          </w:p>
        </w:tc>
        <w:tc>
          <w:tcPr>
            <w:tcW w:w="1134" w:type="dxa"/>
          </w:tcPr>
          <w:p w14:paraId="14F53556" w14:textId="77777777" w:rsidR="00BE7C18" w:rsidRDefault="00BE7C18" w:rsidP="001D0A64">
            <w:pPr>
              <w:spacing w:after="180"/>
            </w:pPr>
            <w:r>
              <w:t xml:space="preserve">I am </w:t>
            </w:r>
            <w:r w:rsidRPr="00960605">
              <w:rPr>
                <w:b/>
              </w:rPr>
              <w:t>sure</w:t>
            </w:r>
            <w:r>
              <w:t xml:space="preserve"> this is wrong.</w:t>
            </w:r>
          </w:p>
        </w:tc>
      </w:tr>
      <w:tr w:rsidR="00BE7C18" w14:paraId="3B558EB6" w14:textId="77777777" w:rsidTr="00E24871">
        <w:tc>
          <w:tcPr>
            <w:tcW w:w="3539" w:type="dxa"/>
            <w:tcBorders>
              <w:top w:val="single" w:sz="4" w:space="0" w:color="auto"/>
            </w:tcBorders>
          </w:tcPr>
          <w:p w14:paraId="469C084F" w14:textId="7FFBFB70" w:rsidR="00BE7C18" w:rsidRDefault="00BE7C18" w:rsidP="001D0A64">
            <w:pPr>
              <w:spacing w:after="180"/>
            </w:pPr>
            <w:r w:rsidRPr="00960605">
              <w:rPr>
                <w:b/>
              </w:rPr>
              <w:t>A</w:t>
            </w:r>
            <w:r>
              <w:t xml:space="preserve"> A yellow substance has been released from the </w:t>
            </w:r>
            <w:r w:rsidR="00F72E57">
              <w:t>w</w:t>
            </w:r>
            <w:r>
              <w:t>hite powder.</w:t>
            </w:r>
          </w:p>
        </w:tc>
        <w:tc>
          <w:tcPr>
            <w:tcW w:w="1134" w:type="dxa"/>
          </w:tcPr>
          <w:p w14:paraId="6AF7A3C6" w14:textId="77777777" w:rsidR="00BE7C18" w:rsidRDefault="00BE7C18" w:rsidP="001D0A64">
            <w:pPr>
              <w:spacing w:after="180"/>
            </w:pPr>
          </w:p>
        </w:tc>
        <w:tc>
          <w:tcPr>
            <w:tcW w:w="1134" w:type="dxa"/>
          </w:tcPr>
          <w:p w14:paraId="3952E468" w14:textId="77777777" w:rsidR="00BE7C18" w:rsidRDefault="00BE7C18" w:rsidP="001D0A64">
            <w:pPr>
              <w:spacing w:after="180"/>
            </w:pPr>
          </w:p>
        </w:tc>
        <w:tc>
          <w:tcPr>
            <w:tcW w:w="1134" w:type="dxa"/>
          </w:tcPr>
          <w:p w14:paraId="3C113ED3" w14:textId="77777777" w:rsidR="00BE7C18" w:rsidRDefault="00BE7C18" w:rsidP="001D0A64">
            <w:pPr>
              <w:spacing w:after="180"/>
            </w:pPr>
          </w:p>
        </w:tc>
        <w:tc>
          <w:tcPr>
            <w:tcW w:w="1134" w:type="dxa"/>
          </w:tcPr>
          <w:p w14:paraId="7CA404B5" w14:textId="77777777" w:rsidR="00BE7C18" w:rsidRDefault="00BE7C18" w:rsidP="001D0A64">
            <w:pPr>
              <w:spacing w:after="180"/>
            </w:pPr>
          </w:p>
        </w:tc>
      </w:tr>
      <w:tr w:rsidR="00BE7C18" w14:paraId="3A684344" w14:textId="77777777" w:rsidTr="00E24871">
        <w:tc>
          <w:tcPr>
            <w:tcW w:w="3539" w:type="dxa"/>
          </w:tcPr>
          <w:p w14:paraId="5C50B8CD" w14:textId="109E2675" w:rsidR="00BE7C18" w:rsidRDefault="00BE7C18" w:rsidP="001D0A64">
            <w:pPr>
              <w:spacing w:after="180"/>
            </w:pPr>
            <w:r w:rsidRPr="00960605">
              <w:rPr>
                <w:b/>
              </w:rPr>
              <w:t>B</w:t>
            </w:r>
            <w:r>
              <w:t xml:space="preserve"> The white powder has changed colour. </w:t>
            </w:r>
          </w:p>
        </w:tc>
        <w:tc>
          <w:tcPr>
            <w:tcW w:w="1134" w:type="dxa"/>
          </w:tcPr>
          <w:p w14:paraId="1FCE84C3" w14:textId="77777777" w:rsidR="00BE7C18" w:rsidRDefault="00BE7C18" w:rsidP="001D0A64">
            <w:pPr>
              <w:spacing w:after="180"/>
            </w:pPr>
          </w:p>
        </w:tc>
        <w:tc>
          <w:tcPr>
            <w:tcW w:w="1134" w:type="dxa"/>
          </w:tcPr>
          <w:p w14:paraId="50C80315" w14:textId="77777777" w:rsidR="00BE7C18" w:rsidRDefault="00BE7C18" w:rsidP="001D0A64">
            <w:pPr>
              <w:spacing w:after="180"/>
            </w:pPr>
          </w:p>
        </w:tc>
        <w:tc>
          <w:tcPr>
            <w:tcW w:w="1134" w:type="dxa"/>
          </w:tcPr>
          <w:p w14:paraId="242B1918" w14:textId="77777777" w:rsidR="00BE7C18" w:rsidRDefault="00BE7C18" w:rsidP="001D0A64">
            <w:pPr>
              <w:spacing w:after="180"/>
            </w:pPr>
          </w:p>
        </w:tc>
        <w:tc>
          <w:tcPr>
            <w:tcW w:w="1134" w:type="dxa"/>
          </w:tcPr>
          <w:p w14:paraId="246E66BE" w14:textId="77777777" w:rsidR="00BE7C18" w:rsidRDefault="00BE7C18" w:rsidP="001D0A64">
            <w:pPr>
              <w:spacing w:after="180"/>
            </w:pPr>
          </w:p>
        </w:tc>
      </w:tr>
      <w:tr w:rsidR="00BE7C18" w14:paraId="348490D1" w14:textId="77777777" w:rsidTr="00E24871">
        <w:tc>
          <w:tcPr>
            <w:tcW w:w="3539" w:type="dxa"/>
          </w:tcPr>
          <w:p w14:paraId="4CE9630A" w14:textId="21FBF2CC" w:rsidR="00BE7C18" w:rsidRPr="00960605" w:rsidRDefault="00BE7C18" w:rsidP="001D0A64">
            <w:pPr>
              <w:spacing w:after="180"/>
              <w:rPr>
                <w:b/>
              </w:rPr>
            </w:pPr>
            <w:r>
              <w:rPr>
                <w:b/>
              </w:rPr>
              <w:t xml:space="preserve">C </w:t>
            </w:r>
            <w:r w:rsidR="002F3E8A" w:rsidRPr="002F3E8A">
              <w:t>One of the white substances ha</w:t>
            </w:r>
            <w:r w:rsidR="0088605F">
              <w:t>s</w:t>
            </w:r>
            <w:r w:rsidR="002F3E8A" w:rsidRPr="002F3E8A">
              <w:t xml:space="preserve"> changed into a yellow substance.</w:t>
            </w:r>
          </w:p>
        </w:tc>
        <w:tc>
          <w:tcPr>
            <w:tcW w:w="1134" w:type="dxa"/>
          </w:tcPr>
          <w:p w14:paraId="30896095" w14:textId="77777777" w:rsidR="00BE7C18" w:rsidRDefault="00BE7C18" w:rsidP="001D0A64">
            <w:pPr>
              <w:spacing w:after="180"/>
            </w:pPr>
          </w:p>
        </w:tc>
        <w:tc>
          <w:tcPr>
            <w:tcW w:w="1134" w:type="dxa"/>
          </w:tcPr>
          <w:p w14:paraId="214B07D3" w14:textId="77777777" w:rsidR="00BE7C18" w:rsidRDefault="00BE7C18" w:rsidP="001D0A64">
            <w:pPr>
              <w:spacing w:after="180"/>
            </w:pPr>
          </w:p>
        </w:tc>
        <w:tc>
          <w:tcPr>
            <w:tcW w:w="1134" w:type="dxa"/>
          </w:tcPr>
          <w:p w14:paraId="5677FF5F" w14:textId="77777777" w:rsidR="00BE7C18" w:rsidRDefault="00BE7C18" w:rsidP="001D0A64">
            <w:pPr>
              <w:spacing w:after="180"/>
            </w:pPr>
          </w:p>
        </w:tc>
        <w:tc>
          <w:tcPr>
            <w:tcW w:w="1134" w:type="dxa"/>
          </w:tcPr>
          <w:p w14:paraId="548CB18F" w14:textId="77777777" w:rsidR="00BE7C18" w:rsidRDefault="00BE7C18" w:rsidP="001D0A64">
            <w:pPr>
              <w:spacing w:after="180"/>
            </w:pPr>
          </w:p>
        </w:tc>
      </w:tr>
      <w:tr w:rsidR="00BE7C18" w14:paraId="4F4FE7C9" w14:textId="77777777" w:rsidTr="00E24871">
        <w:tc>
          <w:tcPr>
            <w:tcW w:w="3539" w:type="dxa"/>
          </w:tcPr>
          <w:p w14:paraId="5CB481E8" w14:textId="1D86764F" w:rsidR="00BE7C18" w:rsidRDefault="00BE7C18" w:rsidP="001D0A64">
            <w:pPr>
              <w:spacing w:after="180"/>
            </w:pPr>
            <w:r>
              <w:rPr>
                <w:b/>
              </w:rPr>
              <w:t xml:space="preserve">D </w:t>
            </w:r>
            <w:r w:rsidR="007455B4" w:rsidRPr="006D2D2E">
              <w:t>A new yellow substance has been formed.</w:t>
            </w:r>
            <w:r>
              <w:t xml:space="preserve"> </w:t>
            </w:r>
          </w:p>
        </w:tc>
        <w:tc>
          <w:tcPr>
            <w:tcW w:w="1134" w:type="dxa"/>
          </w:tcPr>
          <w:p w14:paraId="13E89546" w14:textId="77777777" w:rsidR="00BE7C18" w:rsidRDefault="00BE7C18" w:rsidP="001D0A64">
            <w:pPr>
              <w:spacing w:after="180"/>
            </w:pPr>
          </w:p>
        </w:tc>
        <w:tc>
          <w:tcPr>
            <w:tcW w:w="1134" w:type="dxa"/>
          </w:tcPr>
          <w:p w14:paraId="5CB358CC" w14:textId="77777777" w:rsidR="00BE7C18" w:rsidRDefault="00BE7C18" w:rsidP="001D0A64">
            <w:pPr>
              <w:spacing w:after="180"/>
            </w:pPr>
          </w:p>
        </w:tc>
        <w:tc>
          <w:tcPr>
            <w:tcW w:w="1134" w:type="dxa"/>
          </w:tcPr>
          <w:p w14:paraId="6762770E" w14:textId="77777777" w:rsidR="00BE7C18" w:rsidRDefault="00BE7C18" w:rsidP="001D0A64">
            <w:pPr>
              <w:spacing w:after="180"/>
            </w:pPr>
          </w:p>
        </w:tc>
        <w:tc>
          <w:tcPr>
            <w:tcW w:w="1134" w:type="dxa"/>
          </w:tcPr>
          <w:p w14:paraId="477E31F9" w14:textId="77777777" w:rsidR="00BE7C18" w:rsidRDefault="00BE7C18" w:rsidP="001D0A64">
            <w:pPr>
              <w:spacing w:after="180"/>
            </w:pPr>
          </w:p>
        </w:tc>
      </w:tr>
    </w:tbl>
    <w:p w14:paraId="6F446623" w14:textId="4BAEE8AA" w:rsidR="002F3E8A" w:rsidRDefault="002F3E8A" w:rsidP="006F3279">
      <w:pPr>
        <w:spacing w:after="240"/>
        <w:rPr>
          <w:i/>
          <w:sz w:val="18"/>
          <w:szCs w:val="18"/>
        </w:rPr>
      </w:pPr>
    </w:p>
    <w:p w14:paraId="10208E30" w14:textId="77777777" w:rsidR="00DD40B2" w:rsidRDefault="00DD40B2" w:rsidP="006F3279">
      <w:pPr>
        <w:spacing w:after="240"/>
        <w:rPr>
          <w:i/>
          <w:sz w:val="18"/>
          <w:szCs w:val="18"/>
        </w:rPr>
      </w:pPr>
    </w:p>
    <w:p w14:paraId="5104B075" w14:textId="4D055D1D"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2F3E8A">
        <w:rPr>
          <w:i/>
          <w:sz w:val="18"/>
          <w:szCs w:val="18"/>
        </w:rPr>
        <w:t>CCR: Chemical reactions</w:t>
      </w:r>
      <w:r w:rsidR="0007651D">
        <w:rPr>
          <w:i/>
          <w:sz w:val="18"/>
          <w:szCs w:val="18"/>
        </w:rPr>
        <w:t xml:space="preserve"> &gt; Topic </w:t>
      </w:r>
      <w:r w:rsidR="007455B4">
        <w:rPr>
          <w:i/>
          <w:sz w:val="18"/>
          <w:szCs w:val="18"/>
        </w:rPr>
        <w:t>CCR1: Chemical change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7455B4">
        <w:rPr>
          <w:i/>
          <w:sz w:val="18"/>
          <w:szCs w:val="18"/>
        </w:rPr>
        <w:t>CCR1.1: Formation of new substances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8EC3B8C" w14:textId="77777777" w:rsidTr="00323334">
        <w:tc>
          <w:tcPr>
            <w:tcW w:w="12021" w:type="dxa"/>
            <w:shd w:val="clear" w:color="auto" w:fill="FABF8F" w:themeFill="accent6" w:themeFillTint="99"/>
          </w:tcPr>
          <w:p w14:paraId="3BF24921"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3B1B0E61" w14:textId="77777777" w:rsidTr="00323334">
        <w:tc>
          <w:tcPr>
            <w:tcW w:w="12021" w:type="dxa"/>
            <w:shd w:val="clear" w:color="auto" w:fill="FBD4B4" w:themeFill="accent6" w:themeFillTint="66"/>
          </w:tcPr>
          <w:p w14:paraId="79B54B6A" w14:textId="25C3B2C8" w:rsidR="006F3279" w:rsidRPr="00CA4B46" w:rsidRDefault="007455B4" w:rsidP="006F3279">
            <w:pPr>
              <w:spacing w:after="60"/>
              <w:ind w:left="1304"/>
              <w:rPr>
                <w:b/>
                <w:sz w:val="40"/>
                <w:szCs w:val="40"/>
              </w:rPr>
            </w:pPr>
            <w:r w:rsidRPr="007455B4">
              <w:rPr>
                <w:b/>
                <w:sz w:val="40"/>
                <w:szCs w:val="40"/>
              </w:rPr>
              <w:t>Colour change</w:t>
            </w:r>
          </w:p>
        </w:tc>
      </w:tr>
    </w:tbl>
    <w:p w14:paraId="1803763C" w14:textId="77777777" w:rsidR="006F3279" w:rsidRDefault="006F3279" w:rsidP="00E172C6">
      <w:pPr>
        <w:spacing w:after="180"/>
        <w:rPr>
          <w:b/>
        </w:rPr>
      </w:pPr>
    </w:p>
    <w:p w14:paraId="57DB8ADA"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7455B4" w14:paraId="31813C01" w14:textId="77777777" w:rsidTr="003F16F9">
        <w:trPr>
          <w:trHeight w:val="340"/>
        </w:trPr>
        <w:tc>
          <w:tcPr>
            <w:tcW w:w="2196" w:type="dxa"/>
          </w:tcPr>
          <w:p w14:paraId="1C6AA9BC" w14:textId="77777777" w:rsidR="00FA5B3A" w:rsidRDefault="00FA5B3A" w:rsidP="00FA5B3A">
            <w:pPr>
              <w:spacing w:before="60" w:after="60"/>
            </w:pPr>
            <w:r>
              <w:t>Learning focus:</w:t>
            </w:r>
          </w:p>
        </w:tc>
        <w:tc>
          <w:tcPr>
            <w:tcW w:w="6820" w:type="dxa"/>
          </w:tcPr>
          <w:p w14:paraId="42FE5149" w14:textId="6D7B8A0A" w:rsidR="00FA5B3A" w:rsidRPr="007455B4" w:rsidRDefault="007455B4" w:rsidP="00FA5B3A">
            <w:pPr>
              <w:spacing w:before="60" w:after="60"/>
            </w:pPr>
            <w:r w:rsidRPr="007455B4">
              <w:t>During a chemical reaction a new substance (or substances) are formed</w:t>
            </w:r>
            <w:r w:rsidR="00107DCD">
              <w:t xml:space="preserve"> with different properties</w:t>
            </w:r>
            <w:r w:rsidRPr="007455B4">
              <w:t>.</w:t>
            </w:r>
          </w:p>
        </w:tc>
      </w:tr>
      <w:tr w:rsidR="00FA5B3A" w14:paraId="7E429CF7" w14:textId="77777777" w:rsidTr="003F16F9">
        <w:trPr>
          <w:trHeight w:val="340"/>
        </w:trPr>
        <w:tc>
          <w:tcPr>
            <w:tcW w:w="2196" w:type="dxa"/>
          </w:tcPr>
          <w:p w14:paraId="45E7CE13" w14:textId="77777777" w:rsidR="00FA5B3A" w:rsidRDefault="00FA5B3A" w:rsidP="00FA5B3A">
            <w:pPr>
              <w:spacing w:before="60" w:after="60"/>
            </w:pPr>
            <w:r>
              <w:t>Observable learning outcome:</w:t>
            </w:r>
          </w:p>
        </w:tc>
        <w:tc>
          <w:tcPr>
            <w:tcW w:w="6820" w:type="dxa"/>
          </w:tcPr>
          <w:p w14:paraId="68D99554" w14:textId="2FA6E41A" w:rsidR="00FA5B3A" w:rsidRPr="00A50C9C" w:rsidRDefault="007455B4" w:rsidP="00FA5B3A">
            <w:pPr>
              <w:spacing w:before="60" w:after="60"/>
              <w:rPr>
                <w:b/>
              </w:rPr>
            </w:pPr>
            <w:r w:rsidRPr="007455B4">
              <w:t>Explain observations of a chemical reaction in terms of the formation of a new substance or substances</w:t>
            </w:r>
            <w:r w:rsidR="00107DCD">
              <w:t xml:space="preserve"> with different properties.</w:t>
            </w:r>
          </w:p>
        </w:tc>
      </w:tr>
      <w:tr w:rsidR="00FA5B3A" w14:paraId="604199AD" w14:textId="77777777" w:rsidTr="003F16F9">
        <w:trPr>
          <w:trHeight w:val="340"/>
        </w:trPr>
        <w:tc>
          <w:tcPr>
            <w:tcW w:w="2196" w:type="dxa"/>
          </w:tcPr>
          <w:p w14:paraId="5C8CADAF" w14:textId="77777777" w:rsidR="00FA5B3A" w:rsidRDefault="007F5D5D" w:rsidP="00FA5B3A">
            <w:pPr>
              <w:spacing w:before="60" w:after="60"/>
            </w:pPr>
            <w:r>
              <w:t>Question</w:t>
            </w:r>
            <w:r w:rsidR="00FA5B3A">
              <w:t xml:space="preserve"> type:</w:t>
            </w:r>
          </w:p>
        </w:tc>
        <w:tc>
          <w:tcPr>
            <w:tcW w:w="6820" w:type="dxa"/>
          </w:tcPr>
          <w:p w14:paraId="1BEFF974" w14:textId="617C7307" w:rsidR="00FA5B3A" w:rsidRDefault="006D2D2E" w:rsidP="00FA5B3A">
            <w:pPr>
              <w:spacing w:before="60" w:after="60"/>
            </w:pPr>
            <w:r>
              <w:t>c</w:t>
            </w:r>
            <w:r w:rsidR="007455B4" w:rsidRPr="007455B4">
              <w:t>onfidence grid</w:t>
            </w:r>
          </w:p>
        </w:tc>
      </w:tr>
      <w:tr w:rsidR="00FA5B3A" w14:paraId="2AE55972" w14:textId="77777777" w:rsidTr="003F16F9">
        <w:trPr>
          <w:trHeight w:val="340"/>
        </w:trPr>
        <w:tc>
          <w:tcPr>
            <w:tcW w:w="2196" w:type="dxa"/>
          </w:tcPr>
          <w:p w14:paraId="4FB16713" w14:textId="77777777" w:rsidR="00FA5B3A" w:rsidRDefault="00FA5B3A" w:rsidP="00FA5B3A">
            <w:pPr>
              <w:spacing w:before="60" w:after="60"/>
            </w:pPr>
            <w:r>
              <w:t>Key words:</w:t>
            </w:r>
          </w:p>
        </w:tc>
        <w:tc>
          <w:tcPr>
            <w:tcW w:w="6820" w:type="dxa"/>
            <w:tcBorders>
              <w:bottom w:val="dotted" w:sz="4" w:space="0" w:color="auto"/>
            </w:tcBorders>
          </w:tcPr>
          <w:p w14:paraId="63CC2CF3" w14:textId="5B516BC4" w:rsidR="00FA5B3A" w:rsidRDefault="006D2D2E" w:rsidP="00FA5B3A">
            <w:pPr>
              <w:spacing w:before="60" w:after="60"/>
            </w:pPr>
            <w:r w:rsidRPr="006D2D2E">
              <w:t>substance</w:t>
            </w:r>
          </w:p>
        </w:tc>
      </w:tr>
    </w:tbl>
    <w:p w14:paraId="6AB79BCF" w14:textId="77777777" w:rsidR="00F72ECC" w:rsidRDefault="00F72ECC" w:rsidP="00F72ECC"/>
    <w:p w14:paraId="0226A117" w14:textId="77777777" w:rsidR="006D2D2E" w:rsidRPr="00323334" w:rsidRDefault="006D2D2E" w:rsidP="006D2D2E">
      <w:pPr>
        <w:spacing w:after="180"/>
        <w:rPr>
          <w:b/>
          <w:color w:val="E36C0A" w:themeColor="accent6" w:themeShade="BF"/>
          <w:sz w:val="24"/>
        </w:rPr>
      </w:pPr>
      <w:r w:rsidRPr="00323334">
        <w:rPr>
          <w:b/>
          <w:color w:val="E36C0A" w:themeColor="accent6" w:themeShade="BF"/>
          <w:sz w:val="24"/>
        </w:rPr>
        <w:t>What does the research say?</w:t>
      </w:r>
    </w:p>
    <w:p w14:paraId="5C6F6762" w14:textId="07B3D76E" w:rsidR="006D2D2E" w:rsidRPr="004B3CB8" w:rsidRDefault="006D2D2E" w:rsidP="006D2D2E">
      <w:pPr>
        <w:spacing w:after="180"/>
      </w:pPr>
      <w:bookmarkStart w:id="1" w:name="_Hlk525299644"/>
      <w:r w:rsidRPr="00003D10">
        <w:t xml:space="preserve">This activity was inspired by an article from the Journal of Chemical Education </w:t>
      </w:r>
      <w:r w:rsidRPr="00003D10">
        <w:fldChar w:fldCharType="begin"/>
      </w:r>
      <w:r w:rsidRPr="00003D10">
        <w:instrText xml:space="preserve"> ADDIN EN.CITE &lt;EndNote&gt;&lt;Cite&gt;&lt;Author&gt;de Vos&lt;/Author&gt;&lt;Year&gt;1985&lt;/Year&gt;&lt;IDText&gt;A new road to reactions (part 1)&lt;/IDText&gt;&lt;DisplayText&gt;(de Vos and Verdonk, 1985)&lt;/DisplayText&gt;&lt;record&gt;&lt;titles&gt;&lt;title&gt;A new road to reactions (part 1)&lt;/title&gt;&lt;secondary-title&gt;Journal of Chemical Education&lt;/secondary-title&gt;&lt;/titles&gt;&lt;pages&gt;238-240&lt;/pages&gt;&lt;number&gt;3&lt;/number&gt;&lt;contributors&gt;&lt;authors&gt;&lt;author&gt;de Vos, Wobbe&lt;/author&gt;&lt;author&gt;Verdonk, Adri H.&lt;/author&gt;&lt;/authors&gt;&lt;/contributors&gt;&lt;added-date format="utc"&gt;1537267421&lt;/added-date&gt;&lt;ref-type name="Journal Article"&gt;17&lt;/ref-type&gt;&lt;dates&gt;&lt;year&gt;1985&lt;/year&gt;&lt;/dates&gt;&lt;rec-number&gt;23&lt;/rec-number&gt;&lt;last-updated-date format="utc"&gt;1537267497&lt;/last-updated-date&gt;&lt;volume&gt;62&lt;/volume&gt;&lt;/record&gt;&lt;/Cite&gt;&lt;/EndNote&gt;</w:instrText>
      </w:r>
      <w:r w:rsidRPr="00003D10">
        <w:fldChar w:fldCharType="separate"/>
      </w:r>
      <w:r w:rsidRPr="00003D10">
        <w:rPr>
          <w:noProof/>
        </w:rPr>
        <w:t>(de Vos and Verdonk, 1985)</w:t>
      </w:r>
      <w:r w:rsidRPr="00003D10">
        <w:fldChar w:fldCharType="end"/>
      </w:r>
      <w:r w:rsidRPr="00003D10">
        <w:t>.</w:t>
      </w:r>
      <w:r>
        <w:t xml:space="preserve"> The spectacular nature of some chemical reactions (for example burning magnesium) were thought to ‘distract’ students from observations relating to the formation of a new substance. </w:t>
      </w:r>
      <w:r w:rsidR="00DD40B2" w:rsidRPr="00003D10">
        <w:t xml:space="preserve">The solid-solid reaction between lead nitrate and potassium iodide was chosen because it </w:t>
      </w:r>
      <w:r w:rsidR="00DD40B2">
        <w:t xml:space="preserve">results in the appearance of a yellow colour and </w:t>
      </w:r>
      <w:r w:rsidR="00DD40B2" w:rsidRPr="00003D10">
        <w:t>does not</w:t>
      </w:r>
      <w:r w:rsidR="00DD40B2">
        <w:t xml:space="preserve"> display any other ‘distracting’ phenomena. </w:t>
      </w:r>
      <w:r>
        <w:t xml:space="preserve">The research found that students were often very reluctant to attribute the colour change to the formation of a new substance. Instead they created other explanations to account for </w:t>
      </w:r>
      <w:r w:rsidRPr="004B3CB8">
        <w:t>this observation.</w:t>
      </w:r>
    </w:p>
    <w:p w14:paraId="38DE04ED" w14:textId="1EAFE760" w:rsidR="006D2D2E" w:rsidRPr="004B3CB8" w:rsidRDefault="006D2D2E" w:rsidP="006D2D2E">
      <w:pPr>
        <w:spacing w:after="180"/>
      </w:pPr>
      <w:r w:rsidRPr="004B3CB8">
        <w:t xml:space="preserve">A summary of research into students’ conceptions of matter </w:t>
      </w:r>
      <w:r>
        <w:fldChar w:fldCharType="begin"/>
      </w:r>
      <w:r>
        <w:instrText xml:space="preserve"> ADDIN EN.CITE &lt;EndNote&gt;&lt;Cite&gt;&lt;Author&gt;Andersson&lt;/Author&gt;&lt;Year&gt;1990&lt;/Year&gt;&lt;IDText&gt;Pupils&amp;apos; conceptions of matter and its transformations (age 12-16)&lt;/IDText&gt;&lt;DisplayText&gt;(Andersson, 1990)&lt;/DisplayText&gt;&lt;record&gt;&lt;titles&gt;&lt;title&gt;Pupils&amp;apos; conceptions of matter and its transformations (age 12-16)&lt;/title&gt;&lt;secondary-title&gt;Studies in Science Education&lt;/secondary-title&gt;&lt;/titles&gt;&lt;pages&gt;53-85&lt;/pages&gt;&lt;contributors&gt;&lt;authors&gt;&lt;author&gt;Andersson, Björn&lt;/author&gt;&lt;/authors&gt;&lt;/contributors&gt;&lt;added-date format="utc"&gt;1536935305&lt;/added-date&gt;&lt;ref-type name="Journal Article"&gt;17&lt;/ref-type&gt;&lt;dates&gt;&lt;year&gt;1990&lt;/year&gt;&lt;/dates&gt;&lt;rec-number&gt;22&lt;/rec-number&gt;&lt;last-updated-date format="utc"&gt;1537268574&lt;/last-updated-date&gt;&lt;volume&gt;18&lt;/volume&gt;&lt;/record&gt;&lt;/Cite&gt;&lt;/EndNote&gt;</w:instrText>
      </w:r>
      <w:r>
        <w:fldChar w:fldCharType="separate"/>
      </w:r>
      <w:r>
        <w:rPr>
          <w:noProof/>
        </w:rPr>
        <w:t>(Andersson, 1990)</w:t>
      </w:r>
      <w:r>
        <w:fldChar w:fldCharType="end"/>
      </w:r>
      <w:r>
        <w:t xml:space="preserve"> </w:t>
      </w:r>
      <w:r w:rsidRPr="004B3CB8">
        <w:t xml:space="preserve">developed five categories of the types of answers students gave when explaining chemical reactions, only the last is scientifically correct. </w:t>
      </w:r>
      <w:r w:rsidR="00DD40B2">
        <w:t xml:space="preserve">Many of the explanations provided </w:t>
      </w:r>
      <w:r w:rsidRPr="004B3CB8">
        <w:t>by students attempting to explain the appearance of the yellow colour</w:t>
      </w:r>
      <w:r w:rsidR="00DD40B2">
        <w:t xml:space="preserve"> fall into one of these categories.</w:t>
      </w:r>
    </w:p>
    <w:tbl>
      <w:tblPr>
        <w:tblStyle w:val="TableGrid"/>
        <w:tblW w:w="0" w:type="auto"/>
        <w:tblLook w:val="04A0" w:firstRow="1" w:lastRow="0" w:firstColumn="1" w:lastColumn="0" w:noHBand="0" w:noVBand="1"/>
      </w:tblPr>
      <w:tblGrid>
        <w:gridCol w:w="1520"/>
        <w:gridCol w:w="4055"/>
        <w:gridCol w:w="3441"/>
      </w:tblGrid>
      <w:tr w:rsidR="00DD40B2" w14:paraId="7433366A" w14:textId="15916064" w:rsidTr="00DD40B2">
        <w:tc>
          <w:tcPr>
            <w:tcW w:w="1520" w:type="dxa"/>
          </w:tcPr>
          <w:p w14:paraId="386FC846" w14:textId="77777777" w:rsidR="00DD40B2" w:rsidRPr="00AD7E96" w:rsidRDefault="00DD40B2" w:rsidP="00B765E7">
            <w:pPr>
              <w:spacing w:after="180"/>
              <w:rPr>
                <w:b/>
              </w:rPr>
            </w:pPr>
            <w:r w:rsidRPr="00AD7E96">
              <w:rPr>
                <w:b/>
              </w:rPr>
              <w:t>Category of explanation</w:t>
            </w:r>
          </w:p>
        </w:tc>
        <w:tc>
          <w:tcPr>
            <w:tcW w:w="4055" w:type="dxa"/>
          </w:tcPr>
          <w:p w14:paraId="3362E68B" w14:textId="29E46908" w:rsidR="00DD40B2" w:rsidRPr="00AD7E96" w:rsidRDefault="00DD40B2" w:rsidP="00B765E7">
            <w:pPr>
              <w:spacing w:after="180"/>
              <w:rPr>
                <w:b/>
              </w:rPr>
            </w:pPr>
            <w:r>
              <w:rPr>
                <w:b/>
              </w:rPr>
              <w:t>Description</w:t>
            </w:r>
          </w:p>
        </w:tc>
        <w:tc>
          <w:tcPr>
            <w:tcW w:w="3441" w:type="dxa"/>
          </w:tcPr>
          <w:p w14:paraId="052B9640" w14:textId="1981AFB5" w:rsidR="00DD40B2" w:rsidRPr="00AD7E96" w:rsidRDefault="00DD40B2" w:rsidP="00B765E7">
            <w:pPr>
              <w:spacing w:after="180"/>
              <w:rPr>
                <w:b/>
              </w:rPr>
            </w:pPr>
            <w:r>
              <w:rPr>
                <w:b/>
              </w:rPr>
              <w:t>Example</w:t>
            </w:r>
          </w:p>
        </w:tc>
      </w:tr>
      <w:tr w:rsidR="00DD40B2" w14:paraId="43D5FE85" w14:textId="742FD862" w:rsidTr="00DD40B2">
        <w:tc>
          <w:tcPr>
            <w:tcW w:w="1520" w:type="dxa"/>
          </w:tcPr>
          <w:p w14:paraId="6BBB6B21" w14:textId="77777777" w:rsidR="00DD40B2" w:rsidRPr="00AD7E96" w:rsidRDefault="00DD40B2" w:rsidP="00B765E7">
            <w:pPr>
              <w:spacing w:after="180"/>
            </w:pPr>
            <w:r>
              <w:t>d</w:t>
            </w:r>
            <w:r w:rsidRPr="00AD7E96">
              <w:t>isappearance</w:t>
            </w:r>
          </w:p>
        </w:tc>
        <w:tc>
          <w:tcPr>
            <w:tcW w:w="4055" w:type="dxa"/>
          </w:tcPr>
          <w:p w14:paraId="60A8B935" w14:textId="48946F88" w:rsidR="00DD40B2" w:rsidRPr="00AD7E96" w:rsidRDefault="00DD40B2" w:rsidP="00B765E7">
            <w:pPr>
              <w:spacing w:after="180"/>
            </w:pPr>
            <w:r w:rsidRPr="00AD7E96">
              <w:t>The substance has simpl</w:t>
            </w:r>
            <w:r>
              <w:t>y</w:t>
            </w:r>
            <w:r w:rsidRPr="00AD7E96">
              <w:t xml:space="preserve"> gone</w:t>
            </w:r>
            <w:r w:rsidR="00107DCD">
              <w:t>.</w:t>
            </w:r>
          </w:p>
        </w:tc>
        <w:tc>
          <w:tcPr>
            <w:tcW w:w="3441" w:type="dxa"/>
          </w:tcPr>
          <w:p w14:paraId="6A8D1E36" w14:textId="67EC4C78" w:rsidR="00DD40B2" w:rsidRPr="00AD7E96" w:rsidRDefault="00DD40B2" w:rsidP="00B765E7">
            <w:pPr>
              <w:spacing w:after="180"/>
            </w:pPr>
            <w:r>
              <w:t>P</w:t>
            </w:r>
            <w:r w:rsidRPr="00AD7E96">
              <w:t>etrol is ‘used up’.</w:t>
            </w:r>
          </w:p>
        </w:tc>
      </w:tr>
      <w:tr w:rsidR="00DD40B2" w14:paraId="5FE25F8B" w14:textId="42CCEC23" w:rsidTr="00DD40B2">
        <w:tc>
          <w:tcPr>
            <w:tcW w:w="1520" w:type="dxa"/>
          </w:tcPr>
          <w:p w14:paraId="27321CB9" w14:textId="2315D569" w:rsidR="00DD40B2" w:rsidRDefault="00107DCD" w:rsidP="00B765E7">
            <w:pPr>
              <w:spacing w:after="180"/>
            </w:pPr>
            <w:r>
              <w:t>D</w:t>
            </w:r>
            <w:r w:rsidR="00DD40B2" w:rsidRPr="00AD7E96">
              <w:t>isplacement</w:t>
            </w:r>
          </w:p>
          <w:p w14:paraId="03920D1C" w14:textId="19458260" w:rsidR="00107DCD" w:rsidRPr="00AD7E96" w:rsidRDefault="00107DCD" w:rsidP="00B765E7">
            <w:pPr>
              <w:spacing w:after="180"/>
            </w:pPr>
            <w:r>
              <w:t>(movement)</w:t>
            </w:r>
          </w:p>
        </w:tc>
        <w:tc>
          <w:tcPr>
            <w:tcW w:w="4055" w:type="dxa"/>
          </w:tcPr>
          <w:p w14:paraId="150DA804" w14:textId="77777777" w:rsidR="00DD40B2" w:rsidRPr="00AD7E96" w:rsidRDefault="00DD40B2" w:rsidP="00B765E7">
            <w:pPr>
              <w:spacing w:after="180"/>
            </w:pPr>
            <w:r w:rsidRPr="00AD7E96">
              <w:t>The new product has moved from somewhere else.</w:t>
            </w:r>
          </w:p>
          <w:p w14:paraId="47F367D0" w14:textId="70A747D1" w:rsidR="00DD40B2" w:rsidRPr="00AD7E96" w:rsidRDefault="00DD40B2" w:rsidP="00B765E7">
            <w:pPr>
              <w:spacing w:after="180"/>
            </w:pPr>
          </w:p>
        </w:tc>
        <w:tc>
          <w:tcPr>
            <w:tcW w:w="3441" w:type="dxa"/>
          </w:tcPr>
          <w:p w14:paraId="4A8BD17B" w14:textId="5C7B0ED1" w:rsidR="00DD40B2" w:rsidRPr="00AD7E96" w:rsidRDefault="00DD40B2" w:rsidP="00B765E7">
            <w:pPr>
              <w:spacing w:after="180"/>
            </w:pPr>
            <w:r w:rsidRPr="00AD7E96">
              <w:t>When solid lead nitrate and potassium iodide are mixed the yellow colour (lead iodide) comes out of the white grains of powder.</w:t>
            </w:r>
          </w:p>
        </w:tc>
      </w:tr>
      <w:tr w:rsidR="00DD40B2" w14:paraId="186E39C4" w14:textId="70F0428F" w:rsidTr="00DD40B2">
        <w:tc>
          <w:tcPr>
            <w:tcW w:w="1520" w:type="dxa"/>
          </w:tcPr>
          <w:p w14:paraId="0A782E31" w14:textId="77777777" w:rsidR="00DD40B2" w:rsidRPr="00AD7E96" w:rsidRDefault="00DD40B2" w:rsidP="00B765E7">
            <w:pPr>
              <w:spacing w:after="180"/>
            </w:pPr>
            <w:r>
              <w:t>m</w:t>
            </w:r>
            <w:r w:rsidRPr="00AD7E96">
              <w:t>odification</w:t>
            </w:r>
          </w:p>
        </w:tc>
        <w:tc>
          <w:tcPr>
            <w:tcW w:w="4055" w:type="dxa"/>
          </w:tcPr>
          <w:p w14:paraId="303C67FE" w14:textId="201A137F" w:rsidR="00DD40B2" w:rsidRPr="00AD7E96" w:rsidRDefault="00DD40B2" w:rsidP="00B765E7">
            <w:pPr>
              <w:spacing w:after="180"/>
            </w:pPr>
            <w:r w:rsidRPr="00AD7E96">
              <w:t>The original substance keeps its identity</w:t>
            </w:r>
            <w:r>
              <w:t>,</w:t>
            </w:r>
            <w:r w:rsidRPr="00AD7E96">
              <w:t xml:space="preserve"> but its properties change.</w:t>
            </w:r>
          </w:p>
        </w:tc>
        <w:tc>
          <w:tcPr>
            <w:tcW w:w="3441" w:type="dxa"/>
          </w:tcPr>
          <w:p w14:paraId="4C3650D9" w14:textId="19850B95" w:rsidR="00DD40B2" w:rsidRPr="00AD7E96" w:rsidRDefault="00DD40B2" w:rsidP="00B765E7">
            <w:pPr>
              <w:spacing w:after="180"/>
            </w:pPr>
            <w:r w:rsidRPr="00AD7E96">
              <w:t>When alcohol burns it turns into alcohol vapour.</w:t>
            </w:r>
          </w:p>
        </w:tc>
      </w:tr>
      <w:tr w:rsidR="00DD40B2" w14:paraId="51EC3328" w14:textId="5AC87A0F" w:rsidTr="00DD40B2">
        <w:tc>
          <w:tcPr>
            <w:tcW w:w="1520" w:type="dxa"/>
          </w:tcPr>
          <w:p w14:paraId="57AADA69" w14:textId="77777777" w:rsidR="00DD40B2" w:rsidRPr="00AD7E96" w:rsidRDefault="00DD40B2" w:rsidP="00B765E7">
            <w:pPr>
              <w:spacing w:after="180"/>
            </w:pPr>
            <w:r>
              <w:t>t</w:t>
            </w:r>
            <w:r w:rsidRPr="00AD7E96">
              <w:t>ransmutation</w:t>
            </w:r>
          </w:p>
        </w:tc>
        <w:tc>
          <w:tcPr>
            <w:tcW w:w="4055" w:type="dxa"/>
          </w:tcPr>
          <w:p w14:paraId="5089CF8D" w14:textId="77777777" w:rsidR="00DD40B2" w:rsidRPr="00AD7E96" w:rsidRDefault="00DD40B2" w:rsidP="00B765E7">
            <w:pPr>
              <w:spacing w:after="180"/>
            </w:pPr>
            <w:r>
              <w:t>A substance changes into another substance or a substance is changed (partly) into energy.</w:t>
            </w:r>
          </w:p>
        </w:tc>
        <w:tc>
          <w:tcPr>
            <w:tcW w:w="3441" w:type="dxa"/>
          </w:tcPr>
          <w:p w14:paraId="57FF7A7F" w14:textId="31CE5C9D" w:rsidR="00DD40B2" w:rsidRDefault="00DD40B2" w:rsidP="00B765E7">
            <w:pPr>
              <w:spacing w:after="180"/>
            </w:pPr>
            <w:r>
              <w:t>When magnesium burns it turns into energy.</w:t>
            </w:r>
          </w:p>
        </w:tc>
      </w:tr>
      <w:tr w:rsidR="00DD40B2" w14:paraId="0B3BEFC7" w14:textId="7F0B4D4C" w:rsidTr="00DD40B2">
        <w:tc>
          <w:tcPr>
            <w:tcW w:w="1520" w:type="dxa"/>
          </w:tcPr>
          <w:p w14:paraId="6D7364B0" w14:textId="77777777" w:rsidR="00DD40B2" w:rsidRDefault="00DD40B2" w:rsidP="00B765E7">
            <w:pPr>
              <w:spacing w:after="180"/>
            </w:pPr>
            <w:r>
              <w:t>chemical interactions</w:t>
            </w:r>
          </w:p>
        </w:tc>
        <w:tc>
          <w:tcPr>
            <w:tcW w:w="4055" w:type="dxa"/>
          </w:tcPr>
          <w:p w14:paraId="7EEAA7FF" w14:textId="77777777" w:rsidR="00DD40B2" w:rsidRDefault="00DD40B2" w:rsidP="00B765E7">
            <w:pPr>
              <w:spacing w:after="180"/>
            </w:pPr>
            <w:r>
              <w:t>Substances combine to form a new substance (or split up to create two or more substances).</w:t>
            </w:r>
          </w:p>
        </w:tc>
        <w:tc>
          <w:tcPr>
            <w:tcW w:w="3441" w:type="dxa"/>
          </w:tcPr>
          <w:p w14:paraId="6FA163C7" w14:textId="20D1D62A" w:rsidR="00DD40B2" w:rsidRDefault="00DD40B2" w:rsidP="00B765E7">
            <w:pPr>
              <w:spacing w:after="180"/>
            </w:pPr>
            <w:r>
              <w:t>Magnesium reacts with oxygen forming magnesium oxide.</w:t>
            </w:r>
          </w:p>
        </w:tc>
      </w:tr>
      <w:bookmarkEnd w:id="1"/>
    </w:tbl>
    <w:p w14:paraId="156A6ECD" w14:textId="77777777" w:rsidR="006D2D2E" w:rsidRDefault="006D2D2E" w:rsidP="006D2D2E">
      <w:pPr>
        <w:spacing w:after="180"/>
      </w:pPr>
    </w:p>
    <w:p w14:paraId="2F296938" w14:textId="77777777" w:rsidR="006D2D2E" w:rsidRPr="00323334" w:rsidRDefault="006D2D2E" w:rsidP="006D2D2E">
      <w:pPr>
        <w:spacing w:after="180"/>
        <w:rPr>
          <w:b/>
          <w:color w:val="E36C0A" w:themeColor="accent6" w:themeShade="BF"/>
          <w:sz w:val="24"/>
        </w:rPr>
      </w:pPr>
      <w:r w:rsidRPr="00323334">
        <w:rPr>
          <w:b/>
          <w:color w:val="E36C0A" w:themeColor="accent6" w:themeShade="BF"/>
          <w:sz w:val="24"/>
        </w:rPr>
        <w:t xml:space="preserve">Ways to use this </w:t>
      </w:r>
      <w:r>
        <w:rPr>
          <w:b/>
          <w:color w:val="E36C0A" w:themeColor="accent6" w:themeShade="BF"/>
          <w:sz w:val="24"/>
        </w:rPr>
        <w:t>question</w:t>
      </w:r>
    </w:p>
    <w:p w14:paraId="62B64C67" w14:textId="01878290" w:rsidR="006D2D2E" w:rsidRDefault="006D2D2E" w:rsidP="006D2D2E">
      <w:pPr>
        <w:spacing w:after="180"/>
      </w:pPr>
      <w:r w:rsidRPr="007117F6">
        <w:t>Whilst the demonstration could be shown to the whole class, for diagnostic purposes it is important that students respond independently</w:t>
      </w:r>
      <w:r w:rsidR="00DD40B2">
        <w:t xml:space="preserve">. </w:t>
      </w:r>
    </w:p>
    <w:p w14:paraId="46A86CBC" w14:textId="59B13382" w:rsidR="00107DCD" w:rsidRPr="00107DCD" w:rsidRDefault="00107DCD" w:rsidP="006D2D2E">
      <w:pPr>
        <w:spacing w:after="180"/>
        <w:rPr>
          <w:i/>
        </w:rPr>
      </w:pPr>
      <w:r w:rsidRPr="00107DCD">
        <w:rPr>
          <w:i/>
        </w:rPr>
        <w:t>Differentiation</w:t>
      </w:r>
    </w:p>
    <w:p w14:paraId="6044C4A3" w14:textId="27288CE0" w:rsidR="00107DCD" w:rsidRPr="007117F6" w:rsidRDefault="00107DCD" w:rsidP="006D2D2E">
      <w:pPr>
        <w:spacing w:after="180"/>
      </w:pPr>
      <w:r>
        <w:t>You may wish to repeat (or video and replay) the reaction to allow students the opportunity to observe it more than once.</w:t>
      </w:r>
    </w:p>
    <w:p w14:paraId="069DFB11" w14:textId="77777777" w:rsidR="006D2D2E" w:rsidRPr="00323334" w:rsidRDefault="006D2D2E" w:rsidP="006D2D2E">
      <w:pPr>
        <w:spacing w:after="180"/>
        <w:rPr>
          <w:b/>
          <w:color w:val="E36C0A" w:themeColor="accent6" w:themeShade="BF"/>
          <w:sz w:val="24"/>
        </w:rPr>
      </w:pPr>
      <w:r>
        <w:rPr>
          <w:b/>
          <w:color w:val="E36C0A" w:themeColor="accent6" w:themeShade="BF"/>
          <w:sz w:val="24"/>
        </w:rPr>
        <w:t xml:space="preserve">Equipment </w:t>
      </w:r>
    </w:p>
    <w:p w14:paraId="75B56103" w14:textId="77777777" w:rsidR="006D2D2E" w:rsidRDefault="006D2D2E" w:rsidP="006D2D2E">
      <w:pPr>
        <w:spacing w:after="180"/>
      </w:pPr>
      <w:r w:rsidRPr="005B1739">
        <w:t xml:space="preserve">For </w:t>
      </w:r>
      <w:r>
        <w:t>the class</w:t>
      </w:r>
      <w:r w:rsidRPr="005B1739">
        <w:t>:</w:t>
      </w:r>
    </w:p>
    <w:p w14:paraId="4A57A5E0" w14:textId="67157500" w:rsidR="006D2D2E" w:rsidRPr="004B3CB8" w:rsidRDefault="00140340" w:rsidP="006D2D2E">
      <w:pPr>
        <w:pStyle w:val="ListParagraph"/>
        <w:numPr>
          <w:ilvl w:val="0"/>
          <w:numId w:val="1"/>
        </w:numPr>
        <w:spacing w:after="180"/>
      </w:pPr>
      <w:r>
        <w:t>t</w:t>
      </w:r>
      <w:r w:rsidR="0088605F">
        <w:t>est tube and stopper (or lidded glass jar)</w:t>
      </w:r>
    </w:p>
    <w:p w14:paraId="1F8370E6" w14:textId="6B0DE757" w:rsidR="006D2D2E" w:rsidRPr="004B3CB8" w:rsidRDefault="00140340" w:rsidP="006D2D2E">
      <w:pPr>
        <w:pStyle w:val="ListParagraph"/>
        <w:numPr>
          <w:ilvl w:val="0"/>
          <w:numId w:val="1"/>
        </w:numPr>
        <w:spacing w:after="180"/>
      </w:pPr>
      <w:r>
        <w:t>l</w:t>
      </w:r>
      <w:r w:rsidR="006D2D2E" w:rsidRPr="004B3CB8">
        <w:t>ead nitrate</w:t>
      </w:r>
    </w:p>
    <w:p w14:paraId="108ED7F6" w14:textId="7B8379E8" w:rsidR="006D2D2E" w:rsidRPr="00FB40FC" w:rsidRDefault="00140340" w:rsidP="006D2D2E">
      <w:pPr>
        <w:pStyle w:val="ListParagraph"/>
        <w:numPr>
          <w:ilvl w:val="0"/>
          <w:numId w:val="1"/>
        </w:numPr>
        <w:spacing w:after="180"/>
      </w:pPr>
      <w:r>
        <w:t>p</w:t>
      </w:r>
      <w:r w:rsidR="006D2D2E">
        <w:t>otassium iodide</w:t>
      </w:r>
    </w:p>
    <w:p w14:paraId="52FFB8E1" w14:textId="77777777" w:rsidR="006D2D2E" w:rsidRPr="0010427F" w:rsidRDefault="006D2D2E" w:rsidP="006D2D2E">
      <w:pPr>
        <w:spacing w:after="180"/>
        <w:rPr>
          <w:b/>
          <w:color w:val="E36C0A" w:themeColor="accent6" w:themeShade="BF"/>
          <w:sz w:val="24"/>
        </w:rPr>
      </w:pPr>
      <w:r w:rsidRPr="0010427F">
        <w:rPr>
          <w:b/>
          <w:color w:val="E36C0A" w:themeColor="accent6" w:themeShade="BF"/>
          <w:sz w:val="24"/>
        </w:rPr>
        <w:t>Technician notes</w:t>
      </w:r>
    </w:p>
    <w:p w14:paraId="376478A4" w14:textId="77777777" w:rsidR="006D2D2E" w:rsidRPr="00511020" w:rsidRDefault="006D2D2E" w:rsidP="006D2D2E">
      <w:pPr>
        <w:spacing w:after="180"/>
      </w:pPr>
      <w:r w:rsidRPr="00511020">
        <w:t>Particular care should be taken with the use of lead nitrate powder which is harmful if swallowed and if inhaled. Eye protection should be worn. Avoid raising dust when powdered. Care should be taken to avoid skin contact and hands should be washed after use.</w:t>
      </w:r>
    </w:p>
    <w:p w14:paraId="2474EA72" w14:textId="77777777" w:rsidR="006D2D2E" w:rsidRPr="00FB40FC" w:rsidRDefault="006D2D2E" w:rsidP="006D2D2E">
      <w:pPr>
        <w:spacing w:after="180"/>
        <w:rPr>
          <w:b/>
          <w:color w:val="E36C0A" w:themeColor="accent6" w:themeShade="BF"/>
          <w:sz w:val="24"/>
        </w:rPr>
      </w:pPr>
      <w:r w:rsidRPr="0010427F">
        <w:rPr>
          <w:b/>
          <w:color w:val="E36C0A" w:themeColor="accent6" w:themeShade="BF"/>
          <w:sz w:val="24"/>
        </w:rPr>
        <w:t>Health and safety</w:t>
      </w:r>
    </w:p>
    <w:p w14:paraId="3452DA1A" w14:textId="77777777" w:rsidR="006D2D2E" w:rsidRPr="00511020" w:rsidRDefault="006D2D2E" w:rsidP="006D2D2E">
      <w:pPr>
        <w:spacing w:after="180"/>
        <w:rPr>
          <w:b/>
          <w:color w:val="76923C" w:themeColor="accent3" w:themeShade="BF"/>
          <w:sz w:val="24"/>
        </w:rPr>
      </w:pPr>
      <w:r w:rsidRPr="00511020">
        <w:t>Practical work should be carried out in accordance with local health and safety requirements, guidance from manufacturers and suppliers, and guidance available from CLEAPSS.</w:t>
      </w:r>
    </w:p>
    <w:p w14:paraId="6985E43F" w14:textId="77777777" w:rsidR="006D2D2E" w:rsidRPr="00511020" w:rsidRDefault="006D2D2E" w:rsidP="006D2D2E">
      <w:pPr>
        <w:spacing w:after="180"/>
      </w:pPr>
      <w:r w:rsidRPr="00511020">
        <w:t>Particular care should be taken with the use of lead nitrate powder which is harmful if swallowed and if inhaled. Eye protection should be worn. Avoid raising dust when powdered. Care should be taken to avoid skin contact and hands should be washed after use.</w:t>
      </w:r>
    </w:p>
    <w:p w14:paraId="509225B2" w14:textId="77777777" w:rsidR="006D2D2E" w:rsidRPr="00FB40FC" w:rsidRDefault="006D2D2E" w:rsidP="006D2D2E">
      <w:pPr>
        <w:spacing w:after="180"/>
      </w:pPr>
      <w:r w:rsidRPr="00511020">
        <w:t>Full safety guidance may be found on the appropriate CLEAPSS Hazcard.</w:t>
      </w:r>
    </w:p>
    <w:p w14:paraId="11BCEB38" w14:textId="77777777" w:rsidR="006D2D2E" w:rsidRPr="00323334" w:rsidRDefault="006D2D2E" w:rsidP="006D2D2E">
      <w:pPr>
        <w:spacing w:after="180"/>
        <w:rPr>
          <w:b/>
          <w:color w:val="E36C0A" w:themeColor="accent6" w:themeShade="BF"/>
          <w:sz w:val="24"/>
        </w:rPr>
      </w:pPr>
      <w:r w:rsidRPr="00323334">
        <w:rPr>
          <w:b/>
          <w:color w:val="E36C0A" w:themeColor="accent6" w:themeShade="BF"/>
          <w:sz w:val="24"/>
        </w:rPr>
        <w:t>Expected answers</w:t>
      </w:r>
    </w:p>
    <w:p w14:paraId="179876BF" w14:textId="1B9F924C" w:rsidR="006D2D2E" w:rsidRDefault="006D2D2E" w:rsidP="006D2D2E">
      <w:pPr>
        <w:spacing w:after="180"/>
      </w:pPr>
      <w:r>
        <w:t xml:space="preserve">Without any information on the name of the two compounds it would be expected that students would predict </w:t>
      </w:r>
      <w:r w:rsidR="00140340">
        <w:t>the observation ‘no change’.</w:t>
      </w:r>
    </w:p>
    <w:p w14:paraId="4F104817" w14:textId="77777777" w:rsidR="006D2D2E" w:rsidRDefault="006D2D2E" w:rsidP="006D2D2E">
      <w:pPr>
        <w:spacing w:after="180"/>
      </w:pPr>
      <w:r>
        <w:t>Having observed the yellow colour students should deduce that a new substance has been formed.</w:t>
      </w:r>
    </w:p>
    <w:p w14:paraId="3EAA77DE" w14:textId="77777777" w:rsidR="006D2D2E" w:rsidRPr="00323334" w:rsidRDefault="006D2D2E" w:rsidP="006D2D2E">
      <w:pPr>
        <w:spacing w:after="180"/>
        <w:rPr>
          <w:b/>
          <w:color w:val="E36C0A" w:themeColor="accent6" w:themeShade="BF"/>
          <w:sz w:val="24"/>
        </w:rPr>
      </w:pPr>
      <w:r w:rsidRPr="00323334">
        <w:rPr>
          <w:b/>
          <w:color w:val="E36C0A" w:themeColor="accent6" w:themeShade="BF"/>
          <w:sz w:val="24"/>
        </w:rPr>
        <w:t>How to respond - what next?</w:t>
      </w:r>
    </w:p>
    <w:p w14:paraId="2CC54D80" w14:textId="29ABE825" w:rsidR="006D2D2E" w:rsidRDefault="006D2D2E" w:rsidP="006D2D2E">
      <w:pPr>
        <w:spacing w:after="180"/>
      </w:pPr>
      <w:r w:rsidRPr="007117F6">
        <w:t>The key part of this activity is students’ explanation of the appearance of the yellow colour. If students do not recognise that this indicates the formation of a new substance it is worth exploring what their alternative explanations are. These can be categorised using the groupings described earlier.</w:t>
      </w:r>
    </w:p>
    <w:p w14:paraId="42F59994" w14:textId="44B27380" w:rsidR="0088605F" w:rsidRDefault="0088605F" w:rsidP="006D2D2E">
      <w:pPr>
        <w:spacing w:after="180"/>
      </w:pPr>
      <w:r>
        <w:t>A student who is confident that the yellow colour comes from the white powder is explaining the observation using the idea of displacement</w:t>
      </w:r>
      <w:r w:rsidR="00107DCD">
        <w:t xml:space="preserve"> (movement)</w:t>
      </w:r>
      <w:r>
        <w:t>. They</w:t>
      </w:r>
      <w:r w:rsidR="00DD40B2">
        <w:t xml:space="preserve"> may</w:t>
      </w:r>
      <w:r>
        <w:t xml:space="preserve"> think that the yellow colour has moved from inside the white powder.</w:t>
      </w:r>
    </w:p>
    <w:p w14:paraId="22A1A9F8" w14:textId="53BC2F2C" w:rsidR="0088605F" w:rsidRDefault="0088605F" w:rsidP="006D2D2E">
      <w:pPr>
        <w:spacing w:after="180"/>
      </w:pPr>
      <w:r>
        <w:t xml:space="preserve">Thinking that the white substances have changed colour is using the idea of modification. The student </w:t>
      </w:r>
      <w:r w:rsidR="00DD40B2">
        <w:t>may think</w:t>
      </w:r>
      <w:r>
        <w:t xml:space="preserve"> that the identi</w:t>
      </w:r>
      <w:r w:rsidR="009F1B47">
        <w:t>t</w:t>
      </w:r>
      <w:r>
        <w:t xml:space="preserve">y of the substances remains the same but that their properties (colour) have changed. </w:t>
      </w:r>
    </w:p>
    <w:p w14:paraId="38814F0E" w14:textId="49305C8D" w:rsidR="009A3C2B" w:rsidRDefault="009A3C2B" w:rsidP="006D2D2E">
      <w:pPr>
        <w:spacing w:after="180"/>
      </w:pPr>
      <w:r>
        <w:t>The third suggestion (C) is based on the idea of transmutation. Just one substance has changed form to become a yellow substance. This fails to recognise the need for the interaction between the two substances. One substance alone cannot transform into another.</w:t>
      </w:r>
    </w:p>
    <w:p w14:paraId="747F896C" w14:textId="2081903D" w:rsidR="009A3C2B" w:rsidRPr="007117F6" w:rsidRDefault="009A3C2B" w:rsidP="006D2D2E">
      <w:pPr>
        <w:spacing w:after="180"/>
      </w:pPr>
      <w:r>
        <w:t>It should be noted that, in the case of thermal decomposition (see diagnostic question: heating a compound)</w:t>
      </w:r>
      <w:r w:rsidR="00140340">
        <w:t>,</w:t>
      </w:r>
      <w:r>
        <w:t xml:space="preserve"> a chemical change is possible with one starting substance, however in this case two products are formed. </w:t>
      </w:r>
      <w:r w:rsidR="00140340">
        <w:t>A</w:t>
      </w:r>
      <w:r>
        <w:t xml:space="preserve"> single substance</w:t>
      </w:r>
      <w:r w:rsidR="00140340">
        <w:t xml:space="preserve"> cannot transform</w:t>
      </w:r>
      <w:bookmarkStart w:id="2" w:name="_GoBack"/>
      <w:bookmarkEnd w:id="2"/>
      <w:r>
        <w:t xml:space="preserve"> into another single substance.</w:t>
      </w:r>
    </w:p>
    <w:p w14:paraId="283AF6C7" w14:textId="1DD9D386" w:rsidR="006D2D2E" w:rsidRPr="007117F6" w:rsidRDefault="006D2D2E" w:rsidP="006D2D2E">
      <w:pPr>
        <w:spacing w:after="180"/>
      </w:pPr>
      <w:r w:rsidRPr="007117F6">
        <w:t>If students have mis</w:t>
      </w:r>
      <w:r w:rsidR="00107DCD">
        <w:t>understandings</w:t>
      </w:r>
      <w:r w:rsidRPr="007117F6">
        <w:t xml:space="preserve"> about the reason for the formation of the yellow colour their alternative explanations could be challenged. For example, if a student thinks that the yellow colour appears from inside the white powder then samples of the white compound could be</w:t>
      </w:r>
      <w:r w:rsidR="0088605F">
        <w:t xml:space="preserve"> shaken separately or even</w:t>
      </w:r>
      <w:r w:rsidRPr="007117F6">
        <w:t xml:space="preserve"> crushed </w:t>
      </w:r>
      <w:r w:rsidR="0088605F">
        <w:t>with a pestle and mortar to show that no yellow colour appears.</w:t>
      </w:r>
      <w:r w:rsidR="009A3C2B">
        <w:t xml:space="preserve"> </w:t>
      </w:r>
    </w:p>
    <w:p w14:paraId="7919EA82" w14:textId="77777777" w:rsidR="006D2D2E" w:rsidRPr="007117F6" w:rsidRDefault="006D2D2E" w:rsidP="006D2D2E">
      <w:pPr>
        <w:spacing w:after="180"/>
      </w:pPr>
      <w:r w:rsidRPr="007117F6">
        <w:t xml:space="preserve">  The following BEST ‘response activities’ could be used in follow-up to this diagnostic question:</w:t>
      </w:r>
    </w:p>
    <w:p w14:paraId="72468299" w14:textId="2BCB3AAD" w:rsidR="006D2D2E" w:rsidRPr="007117F6" w:rsidRDefault="009A3C2B" w:rsidP="006D2D2E">
      <w:pPr>
        <w:pStyle w:val="ListParagraph"/>
        <w:numPr>
          <w:ilvl w:val="0"/>
          <w:numId w:val="1"/>
        </w:numPr>
        <w:spacing w:after="180"/>
      </w:pPr>
      <w:r>
        <w:t>Counter arguments</w:t>
      </w:r>
    </w:p>
    <w:p w14:paraId="160D0DB6" w14:textId="77777777" w:rsidR="006D2D2E" w:rsidRPr="00323334" w:rsidRDefault="006D2D2E" w:rsidP="006D2D2E">
      <w:pPr>
        <w:spacing w:after="180"/>
        <w:rPr>
          <w:b/>
          <w:color w:val="E36C0A" w:themeColor="accent6" w:themeShade="BF"/>
          <w:sz w:val="24"/>
        </w:rPr>
      </w:pPr>
      <w:r w:rsidRPr="00323334">
        <w:rPr>
          <w:b/>
          <w:color w:val="E36C0A" w:themeColor="accent6" w:themeShade="BF"/>
          <w:sz w:val="24"/>
        </w:rPr>
        <w:t>Acknowledgments</w:t>
      </w:r>
    </w:p>
    <w:p w14:paraId="0DD3C8C6" w14:textId="77777777" w:rsidR="006D2D2E" w:rsidRDefault="006D2D2E" w:rsidP="006D2D2E">
      <w:pPr>
        <w:spacing w:after="180"/>
      </w:pPr>
      <w:bookmarkStart w:id="3" w:name="_Hlk525299492"/>
      <w:r>
        <w:t xml:space="preserve">Developed </w:t>
      </w:r>
      <w:r w:rsidRPr="004B3CB8">
        <w:t>by Helen Harden (UYSEG), from an idea by de Vos and Verdonk (Utrecht University, Netherlands)</w:t>
      </w:r>
    </w:p>
    <w:p w14:paraId="106B2909" w14:textId="7B65828A" w:rsidR="00413B14" w:rsidRDefault="006D2D2E" w:rsidP="006D2D2E">
      <w:pPr>
        <w:spacing w:after="180"/>
      </w:pPr>
      <w:r w:rsidRPr="0045323E">
        <w:t xml:space="preserve">Images: </w:t>
      </w:r>
      <w:bookmarkEnd w:id="3"/>
      <w:r w:rsidR="00413B14">
        <w:t>Sarah Longshaw</w:t>
      </w:r>
    </w:p>
    <w:p w14:paraId="34B86DDB" w14:textId="63175029" w:rsidR="006D2D2E" w:rsidRPr="00413B14" w:rsidRDefault="006D2D2E" w:rsidP="006D2D2E">
      <w:pPr>
        <w:spacing w:after="180"/>
      </w:pPr>
      <w:r w:rsidRPr="00323334">
        <w:rPr>
          <w:b/>
          <w:color w:val="E36C0A" w:themeColor="accent6" w:themeShade="BF"/>
          <w:sz w:val="24"/>
        </w:rPr>
        <w:t>References</w:t>
      </w:r>
    </w:p>
    <w:p w14:paraId="225B3497" w14:textId="60F68D11" w:rsidR="006D2D2E" w:rsidRPr="004B3CB8" w:rsidRDefault="006D2D2E" w:rsidP="006D2D2E">
      <w:pPr>
        <w:pStyle w:val="EndNoteBibliography"/>
      </w:pPr>
      <w:r>
        <w:fldChar w:fldCharType="begin"/>
      </w:r>
      <w:r>
        <w:instrText xml:space="preserve"> ADDIN EN.REFLIST </w:instrText>
      </w:r>
      <w:r>
        <w:fldChar w:fldCharType="separate"/>
      </w:r>
      <w:r w:rsidRPr="004B3CB8">
        <w:t xml:space="preserve">Andersson, B. (1990). Pupils' conceptions of matter and its transformations (age 12-16). </w:t>
      </w:r>
      <w:r w:rsidRPr="004B3CB8">
        <w:rPr>
          <w:i/>
        </w:rPr>
        <w:t>Studies in Science Education,</w:t>
      </w:r>
      <w:r w:rsidRPr="004B3CB8">
        <w:t xml:space="preserve"> 18</w:t>
      </w:r>
      <w:r w:rsidRPr="004B3CB8">
        <w:rPr>
          <w:b/>
        </w:rPr>
        <w:t>,</w:t>
      </w:r>
      <w:r w:rsidRPr="004B3CB8">
        <w:t xml:space="preserve"> 53-85.</w:t>
      </w:r>
    </w:p>
    <w:p w14:paraId="1FFD4A04" w14:textId="77777777" w:rsidR="006D2D2E" w:rsidRPr="004B3CB8" w:rsidRDefault="006D2D2E" w:rsidP="006D2D2E">
      <w:pPr>
        <w:pStyle w:val="EndNoteBibliography"/>
      </w:pPr>
      <w:r w:rsidRPr="004B3CB8">
        <w:t xml:space="preserve">de Vos, W. and Verdonk, A. H. (1985). A new road to reactions (part 1). </w:t>
      </w:r>
      <w:r w:rsidRPr="004B3CB8">
        <w:rPr>
          <w:i/>
        </w:rPr>
        <w:t>Journal of Chemical Education,</w:t>
      </w:r>
      <w:r w:rsidRPr="004B3CB8">
        <w:t xml:space="preserve"> 62(3)</w:t>
      </w:r>
      <w:r w:rsidRPr="004B3CB8">
        <w:rPr>
          <w:b/>
        </w:rPr>
        <w:t>,</w:t>
      </w:r>
      <w:r w:rsidRPr="004B3CB8">
        <w:t xml:space="preserve"> 238-240.</w:t>
      </w:r>
    </w:p>
    <w:p w14:paraId="79B4748F" w14:textId="6D8EB604" w:rsidR="00B46FF9" w:rsidRDefault="006D2D2E" w:rsidP="006D2D2E">
      <w:pPr>
        <w:spacing w:after="180"/>
      </w:pPr>
      <w: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ED847" w14:textId="77777777" w:rsidR="00400463" w:rsidRDefault="00400463" w:rsidP="000B473B">
      <w:r>
        <w:separator/>
      </w:r>
    </w:p>
  </w:endnote>
  <w:endnote w:type="continuationSeparator" w:id="0">
    <w:p w14:paraId="71A9B930" w14:textId="77777777" w:rsidR="00400463" w:rsidRDefault="0040046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1D605" w14:textId="77777777" w:rsidR="00400463" w:rsidRDefault="00400463" w:rsidP="000B473B">
      <w:r>
        <w:separator/>
      </w:r>
    </w:p>
  </w:footnote>
  <w:footnote w:type="continuationSeparator" w:id="0">
    <w:p w14:paraId="108563BD" w14:textId="77777777" w:rsidR="00400463" w:rsidRDefault="0040046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567B3"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F066020" wp14:editId="02A2581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9190647" wp14:editId="40128891">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057E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4A5"/>
    <w:rsid w:val="00015578"/>
    <w:rsid w:val="00024731"/>
    <w:rsid w:val="00026DEC"/>
    <w:rsid w:val="000505CA"/>
    <w:rsid w:val="0007651D"/>
    <w:rsid w:val="0009089A"/>
    <w:rsid w:val="000947E2"/>
    <w:rsid w:val="00095E04"/>
    <w:rsid w:val="000B45C3"/>
    <w:rsid w:val="000B473B"/>
    <w:rsid w:val="000D0E89"/>
    <w:rsid w:val="000D1078"/>
    <w:rsid w:val="000E2689"/>
    <w:rsid w:val="00107DCD"/>
    <w:rsid w:val="001366EA"/>
    <w:rsid w:val="00140340"/>
    <w:rsid w:val="00142613"/>
    <w:rsid w:val="00144DA7"/>
    <w:rsid w:val="0015356E"/>
    <w:rsid w:val="00161D3F"/>
    <w:rsid w:val="001915D4"/>
    <w:rsid w:val="001A1FED"/>
    <w:rsid w:val="001A40E2"/>
    <w:rsid w:val="001B3364"/>
    <w:rsid w:val="001C4805"/>
    <w:rsid w:val="001D0A64"/>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2F3E8A"/>
    <w:rsid w:val="00301AA9"/>
    <w:rsid w:val="003117F6"/>
    <w:rsid w:val="00323334"/>
    <w:rsid w:val="003457F1"/>
    <w:rsid w:val="003533B8"/>
    <w:rsid w:val="003752BE"/>
    <w:rsid w:val="003A346A"/>
    <w:rsid w:val="003B2917"/>
    <w:rsid w:val="003B541B"/>
    <w:rsid w:val="003E2B2F"/>
    <w:rsid w:val="003E6046"/>
    <w:rsid w:val="003F16F9"/>
    <w:rsid w:val="00400463"/>
    <w:rsid w:val="00402E34"/>
    <w:rsid w:val="00413B14"/>
    <w:rsid w:val="00430C1F"/>
    <w:rsid w:val="00442595"/>
    <w:rsid w:val="0045323E"/>
    <w:rsid w:val="004B0EE1"/>
    <w:rsid w:val="004B3468"/>
    <w:rsid w:val="004C5D20"/>
    <w:rsid w:val="004D0D83"/>
    <w:rsid w:val="004E1DF1"/>
    <w:rsid w:val="004E5592"/>
    <w:rsid w:val="004F039C"/>
    <w:rsid w:val="0050055B"/>
    <w:rsid w:val="00524710"/>
    <w:rsid w:val="005344A5"/>
    <w:rsid w:val="00555342"/>
    <w:rsid w:val="005560E2"/>
    <w:rsid w:val="005A452E"/>
    <w:rsid w:val="005A6EE7"/>
    <w:rsid w:val="005F1A7B"/>
    <w:rsid w:val="006355D8"/>
    <w:rsid w:val="00640F97"/>
    <w:rsid w:val="00642ECD"/>
    <w:rsid w:val="006502A0"/>
    <w:rsid w:val="006772F5"/>
    <w:rsid w:val="00695159"/>
    <w:rsid w:val="006A4440"/>
    <w:rsid w:val="006B0615"/>
    <w:rsid w:val="006D166B"/>
    <w:rsid w:val="006D2D2E"/>
    <w:rsid w:val="006F3279"/>
    <w:rsid w:val="006F6C6B"/>
    <w:rsid w:val="00704AEE"/>
    <w:rsid w:val="00722F9A"/>
    <w:rsid w:val="007455B4"/>
    <w:rsid w:val="00745E93"/>
    <w:rsid w:val="00754539"/>
    <w:rsid w:val="00781BC6"/>
    <w:rsid w:val="007A3C86"/>
    <w:rsid w:val="007A683E"/>
    <w:rsid w:val="007A748B"/>
    <w:rsid w:val="007C0776"/>
    <w:rsid w:val="007C26E1"/>
    <w:rsid w:val="007D1D65"/>
    <w:rsid w:val="007E0A9E"/>
    <w:rsid w:val="007E5309"/>
    <w:rsid w:val="007F5D5D"/>
    <w:rsid w:val="00800DE1"/>
    <w:rsid w:val="00813F47"/>
    <w:rsid w:val="0082694A"/>
    <w:rsid w:val="008450D6"/>
    <w:rsid w:val="00856FCA"/>
    <w:rsid w:val="00873B8C"/>
    <w:rsid w:val="00880E3B"/>
    <w:rsid w:val="0088605F"/>
    <w:rsid w:val="008A405F"/>
    <w:rsid w:val="008C7F34"/>
    <w:rsid w:val="008E54DC"/>
    <w:rsid w:val="008E580C"/>
    <w:rsid w:val="0090047A"/>
    <w:rsid w:val="00925026"/>
    <w:rsid w:val="00931264"/>
    <w:rsid w:val="00942A4B"/>
    <w:rsid w:val="00961D59"/>
    <w:rsid w:val="009A3678"/>
    <w:rsid w:val="009A3C2B"/>
    <w:rsid w:val="009B2CE4"/>
    <w:rsid w:val="009B2D55"/>
    <w:rsid w:val="009C0343"/>
    <w:rsid w:val="009E0D11"/>
    <w:rsid w:val="009F1B47"/>
    <w:rsid w:val="00A24A16"/>
    <w:rsid w:val="00A37D14"/>
    <w:rsid w:val="00A42C0B"/>
    <w:rsid w:val="00A559DD"/>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E7C18"/>
    <w:rsid w:val="00BF0BBF"/>
    <w:rsid w:val="00BF6C8A"/>
    <w:rsid w:val="00C05571"/>
    <w:rsid w:val="00C1460B"/>
    <w:rsid w:val="00C16C91"/>
    <w:rsid w:val="00C21132"/>
    <w:rsid w:val="00C246CE"/>
    <w:rsid w:val="00C54711"/>
    <w:rsid w:val="00C57FA2"/>
    <w:rsid w:val="00C734DA"/>
    <w:rsid w:val="00CC2E4D"/>
    <w:rsid w:val="00CC78A5"/>
    <w:rsid w:val="00CC7B16"/>
    <w:rsid w:val="00CE15FE"/>
    <w:rsid w:val="00D02E15"/>
    <w:rsid w:val="00D14F44"/>
    <w:rsid w:val="00D278E8"/>
    <w:rsid w:val="00D421E8"/>
    <w:rsid w:val="00D44604"/>
    <w:rsid w:val="00D479B3"/>
    <w:rsid w:val="00D517CB"/>
    <w:rsid w:val="00D52283"/>
    <w:rsid w:val="00D524E5"/>
    <w:rsid w:val="00D72FEF"/>
    <w:rsid w:val="00D755FA"/>
    <w:rsid w:val="00DC4A4E"/>
    <w:rsid w:val="00DD1874"/>
    <w:rsid w:val="00DD40B2"/>
    <w:rsid w:val="00DD63BD"/>
    <w:rsid w:val="00DF05DB"/>
    <w:rsid w:val="00DF7E20"/>
    <w:rsid w:val="00E172C6"/>
    <w:rsid w:val="00E24309"/>
    <w:rsid w:val="00E24871"/>
    <w:rsid w:val="00E53D82"/>
    <w:rsid w:val="00E9330A"/>
    <w:rsid w:val="00EA035A"/>
    <w:rsid w:val="00EE6B97"/>
    <w:rsid w:val="00F12C3B"/>
    <w:rsid w:val="00F26884"/>
    <w:rsid w:val="00F72E57"/>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ACC8A"/>
  <w15:docId w15:val="{D1FC9589-836D-40DB-85FD-8733B1FC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
    <w:name w:val="EndNote Bibliography"/>
    <w:basedOn w:val="Normal"/>
    <w:link w:val="EndNoteBibliographyChar"/>
    <w:rsid w:val="006D2D2E"/>
    <w:rPr>
      <w:rFonts w:ascii="Calibri" w:hAnsi="Calibri" w:cs="Calibri"/>
      <w:noProof/>
      <w:lang w:val="en-US"/>
    </w:rPr>
  </w:style>
  <w:style w:type="character" w:customStyle="1" w:styleId="EndNoteBibliographyChar">
    <w:name w:val="EndNote Bibliography Char"/>
    <w:basedOn w:val="DefaultParagraphFont"/>
    <w:link w:val="EndNoteBibliography"/>
    <w:rsid w:val="006D2D2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BF5B1-406C-4057-B1AC-FD728422B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template_chemistry_item_diagnostic</Template>
  <TotalTime>197</TotalTime>
  <Pages>4</Pages>
  <Words>1208</Words>
  <Characters>6888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 Harden</dc:creator>
  <cp:keywords/>
  <dc:description/>
  <cp:lastModifiedBy>HEC Harden</cp:lastModifiedBy>
  <cp:revision>12</cp:revision>
  <cp:lastPrinted>2018-10-04T10:52:00Z</cp:lastPrinted>
  <dcterms:created xsi:type="dcterms:W3CDTF">2018-09-17T11:20:00Z</dcterms:created>
  <dcterms:modified xsi:type="dcterms:W3CDTF">2018-11-27T09:23:00Z</dcterms:modified>
</cp:coreProperties>
</file>