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15420" w:rsidP="00201AC2">
      <w:pPr>
        <w:spacing w:after="180"/>
        <w:rPr>
          <w:b/>
          <w:sz w:val="44"/>
          <w:szCs w:val="44"/>
        </w:rPr>
      </w:pPr>
      <w:r>
        <w:rPr>
          <w:b/>
          <w:sz w:val="44"/>
          <w:szCs w:val="44"/>
        </w:rPr>
        <w:t>Day and night</w:t>
      </w:r>
    </w:p>
    <w:p w:rsidR="00201AC2" w:rsidRDefault="00201AC2" w:rsidP="00201AC2">
      <w:pPr>
        <w:spacing w:after="180"/>
      </w:pPr>
    </w:p>
    <w:p w:rsidR="00201AC2" w:rsidRPr="00A94736" w:rsidRDefault="00A94736" w:rsidP="00201AC2">
      <w:pPr>
        <w:spacing w:after="180"/>
        <w:rPr>
          <w:sz w:val="28"/>
          <w:szCs w:val="28"/>
        </w:rPr>
      </w:pPr>
      <w:r w:rsidRPr="00A94736">
        <w:rPr>
          <w:sz w:val="28"/>
          <w:szCs w:val="28"/>
        </w:rPr>
        <w:t>Why do you think it gets dark at night?</w:t>
      </w:r>
    </w:p>
    <w:p w:rsidR="007C26E1" w:rsidRDefault="007C26E1" w:rsidP="00201AC2">
      <w:pPr>
        <w:spacing w:after="180"/>
      </w:pPr>
    </w:p>
    <w:p w:rsidR="00A94736" w:rsidRDefault="00A94736" w:rsidP="00201AC2">
      <w:pPr>
        <w:spacing w:after="180"/>
      </w:pPr>
    </w:p>
    <w:p w:rsidR="00201AC2" w:rsidRPr="00201AC2" w:rsidRDefault="00A94736" w:rsidP="006F3279">
      <w:pPr>
        <w:spacing w:after="240"/>
        <w:rPr>
          <w:szCs w:val="18"/>
        </w:rPr>
      </w:pPr>
      <w:r>
        <w:rPr>
          <w:noProof/>
          <w:szCs w:val="18"/>
          <w:lang w:eastAsia="en-GB"/>
        </w:rPr>
        <w:drawing>
          <wp:inline distT="0" distB="0" distL="0" distR="0">
            <wp:extent cx="5731510" cy="370014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E49833.tmp"/>
                    <pic:cNvPicPr/>
                  </pic:nvPicPr>
                  <pic:blipFill>
                    <a:blip r:embed="rId8">
                      <a:extLst>
                        <a:ext uri="{28A0092B-C50C-407E-A947-70E740481C1C}">
                          <a14:useLocalDpi xmlns:a14="http://schemas.microsoft.com/office/drawing/2010/main" val="0"/>
                        </a:ext>
                      </a:extLst>
                    </a:blip>
                    <a:stretch>
                      <a:fillRect/>
                    </a:stretch>
                  </pic:blipFill>
                  <pic:spPr>
                    <a:xfrm>
                      <a:off x="0" y="0"/>
                      <a:ext cx="5731510" cy="3700145"/>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415420" w:rsidRPr="006F3279" w:rsidRDefault="00415420" w:rsidP="00415420">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Earth in </w:t>
      </w:r>
      <w:r w:rsidR="004F4E82">
        <w:rPr>
          <w:i/>
          <w:sz w:val="18"/>
          <w:szCs w:val="18"/>
        </w:rPr>
        <w:t>s</w:t>
      </w:r>
      <w:r>
        <w:rPr>
          <w:i/>
          <w:sz w:val="18"/>
          <w:szCs w:val="18"/>
        </w:rPr>
        <w:t>pace &gt; Topic PES1: Solar System and beyond</w:t>
      </w:r>
      <w:r w:rsidRPr="00CA4B46">
        <w:rPr>
          <w:i/>
          <w:sz w:val="18"/>
          <w:szCs w:val="18"/>
        </w:rPr>
        <w:t xml:space="preserve"> &gt; </w:t>
      </w:r>
      <w:r>
        <w:rPr>
          <w:i/>
          <w:sz w:val="18"/>
          <w:szCs w:val="18"/>
        </w:rPr>
        <w:t>Key concept</w:t>
      </w:r>
      <w:r w:rsidRPr="00CA4B46">
        <w:rPr>
          <w:i/>
          <w:sz w:val="18"/>
          <w:szCs w:val="18"/>
        </w:rPr>
        <w:t xml:space="preserve"> </w:t>
      </w:r>
      <w:r>
        <w:rPr>
          <w:i/>
          <w:sz w:val="18"/>
          <w:szCs w:val="18"/>
        </w:rPr>
        <w:t>PES1.1</w:t>
      </w:r>
      <w:r w:rsidRPr="00CA4B46">
        <w:rPr>
          <w:i/>
          <w:sz w:val="18"/>
          <w:szCs w:val="18"/>
        </w:rPr>
        <w:t xml:space="preserve">: </w:t>
      </w:r>
      <w:r>
        <w:rPr>
          <w:i/>
          <w:sz w:val="18"/>
          <w:szCs w:val="18"/>
        </w:rPr>
        <w:t>Planets and the Solar System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15420" w:rsidP="006F3279">
            <w:pPr>
              <w:spacing w:after="60"/>
              <w:ind w:left="1304"/>
              <w:rPr>
                <w:b/>
                <w:sz w:val="40"/>
                <w:szCs w:val="40"/>
              </w:rPr>
            </w:pPr>
            <w:r>
              <w:rPr>
                <w:b/>
                <w:sz w:val="40"/>
                <w:szCs w:val="40"/>
              </w:rPr>
              <w:t>Day and night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15420" w:rsidTr="00415420">
        <w:trPr>
          <w:trHeight w:val="340"/>
        </w:trPr>
        <w:tc>
          <w:tcPr>
            <w:tcW w:w="2196" w:type="dxa"/>
          </w:tcPr>
          <w:p w:rsidR="00415420" w:rsidRDefault="00415420" w:rsidP="00415420">
            <w:pPr>
              <w:spacing w:before="60" w:after="60"/>
            </w:pPr>
            <w:r>
              <w:t>Learning focus:</w:t>
            </w:r>
          </w:p>
        </w:tc>
        <w:tc>
          <w:tcPr>
            <w:tcW w:w="6820" w:type="dxa"/>
          </w:tcPr>
          <w:p w:rsidR="00415420" w:rsidRDefault="00415420" w:rsidP="00415420">
            <w:pPr>
              <w:spacing w:before="60" w:after="60"/>
            </w:pPr>
            <w:r w:rsidRPr="00AF72E7">
              <w:t>In the Solar System: eight planets orbit a star called the Sun; moons orbit most of the planets; and the planets spin on their axes. We live on the Earth where: a year is defined as the time for the Earth to orbit the Sun; a day as the time it takes the Earth to spin on its axis; and the Moon orbits in about 28 days. The planets are very small compared to the huge distances between them.</w:t>
            </w:r>
          </w:p>
        </w:tc>
      </w:tr>
      <w:tr w:rsidR="00415420" w:rsidTr="00415420">
        <w:trPr>
          <w:trHeight w:val="340"/>
        </w:trPr>
        <w:tc>
          <w:tcPr>
            <w:tcW w:w="2196" w:type="dxa"/>
          </w:tcPr>
          <w:p w:rsidR="00415420" w:rsidRDefault="00415420" w:rsidP="00415420">
            <w:pPr>
              <w:spacing w:before="60" w:after="60"/>
            </w:pPr>
            <w:r>
              <w:t>Observable learning outcome:</w:t>
            </w:r>
          </w:p>
        </w:tc>
        <w:tc>
          <w:tcPr>
            <w:tcW w:w="6820" w:type="dxa"/>
          </w:tcPr>
          <w:p w:rsidR="00415420" w:rsidRPr="00AF72E7" w:rsidRDefault="00415420" w:rsidP="00415420">
            <w:pPr>
              <w:pStyle w:val="ListParagraph"/>
              <w:numPr>
                <w:ilvl w:val="0"/>
                <w:numId w:val="4"/>
              </w:numPr>
              <w:spacing w:before="60" w:after="60"/>
              <w:ind w:left="385" w:hanging="284"/>
              <w:rPr>
                <w:b/>
              </w:rPr>
            </w:pPr>
            <w:r w:rsidRPr="00415420">
              <w:t>Describe how the Earth spins on its axis and explain what a day is</w:t>
            </w:r>
          </w:p>
        </w:tc>
      </w:tr>
      <w:tr w:rsidR="00415420" w:rsidTr="00415420">
        <w:trPr>
          <w:trHeight w:val="340"/>
        </w:trPr>
        <w:tc>
          <w:tcPr>
            <w:tcW w:w="2196" w:type="dxa"/>
          </w:tcPr>
          <w:p w:rsidR="00415420" w:rsidRDefault="00415420" w:rsidP="00415420">
            <w:pPr>
              <w:spacing w:before="60" w:after="60"/>
            </w:pPr>
            <w:r>
              <w:t>Question type:</w:t>
            </w:r>
          </w:p>
        </w:tc>
        <w:tc>
          <w:tcPr>
            <w:tcW w:w="6820" w:type="dxa"/>
          </w:tcPr>
          <w:p w:rsidR="00415420" w:rsidRDefault="00415420" w:rsidP="00415420">
            <w:pPr>
              <w:spacing w:before="60" w:after="60"/>
            </w:pPr>
            <w:r>
              <w:t>Diagnostic, simple multiple choice</w:t>
            </w:r>
          </w:p>
        </w:tc>
      </w:tr>
      <w:tr w:rsidR="00415420" w:rsidTr="00415420">
        <w:trPr>
          <w:trHeight w:val="340"/>
        </w:trPr>
        <w:tc>
          <w:tcPr>
            <w:tcW w:w="2196" w:type="dxa"/>
          </w:tcPr>
          <w:p w:rsidR="00415420" w:rsidRDefault="00415420" w:rsidP="00415420">
            <w:pPr>
              <w:spacing w:before="60" w:after="60"/>
            </w:pPr>
            <w:r>
              <w:t>Key words:</w:t>
            </w:r>
          </w:p>
        </w:tc>
        <w:tc>
          <w:tcPr>
            <w:tcW w:w="6820" w:type="dxa"/>
          </w:tcPr>
          <w:p w:rsidR="00415420" w:rsidRDefault="00415420" w:rsidP="00415420">
            <w:pPr>
              <w:spacing w:before="60" w:after="60"/>
            </w:pPr>
            <w:r w:rsidRPr="00415420">
              <w:t>Earth, Sun, Moon, axis</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356E3" w:rsidRDefault="00F356E3" w:rsidP="00F327C9">
      <w:pPr>
        <w:spacing w:after="180"/>
      </w:pPr>
      <w:r w:rsidRPr="00E433F4">
        <w:t xml:space="preserve">It can be tempting to keep work on the Solar System simple and descriptive when in fact it is conceptually demanding </w:t>
      </w:r>
      <w:r w:rsidRPr="00E433F4">
        <w:fldChar w:fldCharType="begin"/>
      </w:r>
      <w:r w:rsidRPr="00E433F4">
        <w:instrText xml:space="preserve"> ADDIN EN.CITE &lt;EndNote&gt;&lt;Cite&gt;&lt;Author&gt;Osborne&lt;/Author&gt;&lt;Year&gt;2011&lt;/Year&gt;&lt;IDText&gt;Earth in Space&lt;/IDText&gt;&lt;DisplayText&gt;(Osborne, 2011)&lt;/DisplayText&gt;&lt;record&gt;&lt;titles&gt;&lt;title&gt;Earth in Space&lt;/title&gt;&lt;secondary-title&gt;Teaching Secondary Physics&lt;/secondary-title&gt;&lt;/titles&gt;&lt;pages&gt;203-238&lt;/pages&gt;&lt;contributors&gt;&lt;authors&gt;&lt;author&gt;Osborne, Jonathan&lt;/author&gt;&lt;/authors&gt;&lt;/contributors&gt;&lt;added-date format="utc"&gt;1536591958&lt;/added-date&gt;&lt;pub-location&gt;London&lt;/pub-location&gt;&lt;ref-type name="Book Section"&gt;5&lt;/ref-type&gt;&lt;dates&gt;&lt;year&gt;2011&lt;/year&gt;&lt;/dates&gt;&lt;rec-number&gt;39&lt;/rec-number&gt;&lt;publisher&gt;Hodder Education&lt;/publisher&gt;&lt;last-updated-date format="utc"&gt;1536741498&lt;/last-updated-date&gt;&lt;contributors&gt;&lt;secondary-authors&gt;&lt;author&gt;Sang, David&lt;/author&gt;&lt;/secondary-authors&gt;&lt;/contributors&gt;&lt;/record&gt;&lt;/Cite&gt;&lt;/EndNote&gt;</w:instrText>
      </w:r>
      <w:r w:rsidRPr="00E433F4">
        <w:fldChar w:fldCharType="separate"/>
      </w:r>
      <w:r w:rsidRPr="00E433F4">
        <w:rPr>
          <w:noProof/>
        </w:rPr>
        <w:t>(Osborne, 2011)</w:t>
      </w:r>
      <w:r w:rsidRPr="00E433F4">
        <w:fldChar w:fldCharType="end"/>
      </w:r>
      <w:r w:rsidRPr="00E433F4">
        <w:t>. The scientific explanations for simple observations such as the Sun moving across the sky each day are not obvious and sometimes counter intuitive. The Sun’s ‘movement’ across the sky happens not because the Sun is moving, which is the most obvious explanation, but because the Earth is spinning on its axis.</w:t>
      </w:r>
    </w:p>
    <w:p w:rsidR="00F356E3" w:rsidRDefault="00F356E3" w:rsidP="00F327C9">
      <w:pPr>
        <w:spacing w:after="180"/>
      </w:pPr>
      <w:r>
        <w:t>A study of thirty-two Tasmanian students identified a progression in students’ thinking from a model with the Earth at the centre, which was held by about three-quarters of the 9- and 10-year-olds, to a model with the Sun at the centre that is understood by the majority of the 11- and 12-year-olds</w:t>
      </w:r>
      <w:r w:rsidRPr="00276377">
        <w:t xml:space="preserve"> </w:t>
      </w:r>
      <w:r>
        <w:fldChar w:fldCharType="begin"/>
      </w:r>
      <w:r>
        <w:instrText xml:space="preserve"> ADDIN EN.CITE &lt;EndNote&gt;&lt;Cite&gt;&lt;Author&gt;Jones&lt;/Author&gt;&lt;Year&gt;1987&lt;/Year&gt;&lt;IDText&gt;Children&amp;apos;s conception of the Earth, Sun and Moon&lt;/IDText&gt;&lt;DisplayText&gt;(Jones, Lynch and Reesink, 1987)&lt;/DisplayText&gt;&lt;record&gt;&lt;titles&gt;&lt;title&gt;Children&amp;apos;s conception of the Earth, Sun and Moon&lt;/title&gt;&lt;secondary-title&gt;International Journal of Science Education&lt;/secondary-title&gt;&lt;/titles&gt;&lt;pages&gt;43-53&lt;/pages&gt;&lt;contributors&gt;&lt;authors&gt;&lt;author&gt;Jones, B. L&lt;/author&gt;&lt;author&gt;Lynch, P.P&lt;/author&gt;&lt;author&gt;Reesink, C&lt;/author&gt;&lt;/authors&gt;&lt;/contributors&gt;&lt;added-date format="utc"&gt;1536656275&lt;/added-date&gt;&lt;ref-type name="Journal Article"&gt;17&lt;/ref-type&gt;&lt;dates&gt;&lt;year&gt;1987&lt;/year&gt;&lt;/dates&gt;&lt;rec-number&gt;42&lt;/rec-number&gt;&lt;last-updated-date format="utc"&gt;1536656391&lt;/last-updated-date&gt;&lt;volume&gt;9(1)&lt;/volume&gt;&lt;/record&gt;&lt;/Cite&gt;&lt;/EndNote&gt;</w:instrText>
      </w:r>
      <w:r>
        <w:fldChar w:fldCharType="separate"/>
      </w:r>
      <w:r>
        <w:rPr>
          <w:noProof/>
        </w:rPr>
        <w:t>(Jones, Lynch and Reesink, 1987)</w:t>
      </w:r>
      <w:r>
        <w:fldChar w:fldCharType="end"/>
      </w:r>
      <w:r>
        <w:t>. To correctly explain observable phenomena that are caused by movement of the Earth, Sun and Moon students need to understand the correct scientific model. If they are using a model that is incorrect students are likely to form further misunderstandings and about a quarter of 11- and 12-year-olds are using incorrect models.</w:t>
      </w:r>
    </w:p>
    <w:p w:rsidR="00F327C9" w:rsidRDefault="00F327C9" w:rsidP="00F327C9">
      <w:pPr>
        <w:spacing w:after="180"/>
      </w:pPr>
      <w:r>
        <w:t xml:space="preserve">One of the key findings of </w:t>
      </w:r>
      <w:r>
        <w:fldChar w:fldCharType="begin"/>
      </w:r>
      <w:r>
        <w:instrText xml:space="preserve"> ADDIN EN.CITE &lt;EndNote&gt;&lt;Cite&gt;&lt;Author&gt;Lelliott&lt;/Author&gt;&lt;Year&gt;2009&lt;/Year&gt;&lt;IDText&gt;Big Ideas: A review of astronomy education research 1974-2008&lt;/IDText&gt;&lt;DisplayText&gt;(Lelliott and Rollnick, 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format="utc"&gt;1536578675&lt;/last-updated-date&gt;&lt;electronic-resource-num&gt;10.1080/09500690903214546&lt;/electronic-resource-num&gt;&lt;volume&gt;32:13&lt;/volume&gt;&lt;/record&gt;&lt;/Cite&gt;&lt;/EndNote&gt;</w:instrText>
      </w:r>
      <w:r>
        <w:fldChar w:fldCharType="separate"/>
      </w:r>
      <w:r>
        <w:rPr>
          <w:noProof/>
        </w:rPr>
        <w:t>Lelliott and Rollnick's (2009)</w:t>
      </w:r>
      <w:r>
        <w:fldChar w:fldCharType="end"/>
      </w:r>
      <w:r>
        <w:t xml:space="preserve"> review of astronomy education research (1974-2008) was the need for teachers to use physical models both to scaffold learning and to challenge misunderstanding.</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D76115" w:rsidRPr="00AE7928" w:rsidRDefault="00D76115" w:rsidP="00D76115">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D76115" w:rsidRDefault="00D76115" w:rsidP="00D76115">
      <w:pPr>
        <w:spacing w:after="180"/>
        <w:rPr>
          <w:rFonts w:cstheme="minorHAnsi"/>
        </w:rPr>
      </w:pPr>
      <w:r w:rsidRPr="00AE7928">
        <w:rPr>
          <w:rFonts w:cstheme="minorHAnsi"/>
        </w:rPr>
        <w:lastRenderedPageBreak/>
        <w:t>The answers to the question will show you whether students understood the concept sufficiently well to apply it correctly.</w:t>
      </w:r>
      <w:r>
        <w:rPr>
          <w:rFonts w:cstheme="minorHAnsi"/>
        </w:rPr>
        <w:t xml:space="preserve"> </w:t>
      </w:r>
    </w:p>
    <w:p w:rsidR="00D76115" w:rsidRPr="00816065" w:rsidRDefault="00D76115" w:rsidP="00D76115">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D76115" w:rsidRDefault="00D76115" w:rsidP="00D76115">
      <w:pPr>
        <w:spacing w:after="180"/>
        <w:rPr>
          <w:rFonts w:cstheme="minorHAnsi"/>
          <w:i/>
        </w:rPr>
      </w:pPr>
      <w:r w:rsidRPr="00AE7928">
        <w:rPr>
          <w:rFonts w:cstheme="minorHAnsi"/>
          <w:i/>
        </w:rPr>
        <w:t>Differentiation</w:t>
      </w:r>
    </w:p>
    <w:p w:rsidR="00D76115" w:rsidRPr="00AE7928" w:rsidRDefault="00D76115" w:rsidP="00D76115">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tbl>
      <w:tblPr>
        <w:tblStyle w:val="TableGrid"/>
        <w:tblW w:w="0" w:type="auto"/>
        <w:tblLook w:val="04A0" w:firstRow="1" w:lastRow="0" w:firstColumn="1" w:lastColumn="0" w:noHBand="0" w:noVBand="1"/>
      </w:tblPr>
      <w:tblGrid>
        <w:gridCol w:w="1472"/>
        <w:gridCol w:w="1535"/>
        <w:gridCol w:w="1547"/>
        <w:gridCol w:w="1526"/>
        <w:gridCol w:w="1553"/>
        <w:gridCol w:w="1383"/>
      </w:tblGrid>
      <w:tr w:rsidR="002A3F6D" w:rsidTr="00BD1F07">
        <w:tc>
          <w:tcPr>
            <w:tcW w:w="1472" w:type="dxa"/>
            <w:vAlign w:val="center"/>
          </w:tcPr>
          <w:p w:rsidR="002A3F6D" w:rsidRDefault="002A3F6D" w:rsidP="002A3F6D">
            <w:pPr>
              <w:spacing w:after="60"/>
              <w:jc w:val="center"/>
            </w:pPr>
            <w:r>
              <w:t>Age</w:t>
            </w:r>
          </w:p>
        </w:tc>
        <w:tc>
          <w:tcPr>
            <w:tcW w:w="1535" w:type="dxa"/>
          </w:tcPr>
          <w:p w:rsidR="002A3F6D" w:rsidRPr="002A3F6D" w:rsidRDefault="002A3F6D" w:rsidP="002A3F6D">
            <w:pPr>
              <w:spacing w:after="60"/>
              <w:jc w:val="center"/>
              <w:rPr>
                <w:i/>
                <w:sz w:val="18"/>
                <w:szCs w:val="18"/>
              </w:rPr>
            </w:pPr>
            <w:r w:rsidRPr="002A3F6D">
              <w:rPr>
                <w:i/>
                <w:sz w:val="18"/>
                <w:szCs w:val="18"/>
              </w:rPr>
              <w:t>Answer A</w:t>
            </w:r>
          </w:p>
          <w:p w:rsidR="002A3F6D" w:rsidRDefault="002A3F6D" w:rsidP="002A3F6D">
            <w:pPr>
              <w:spacing w:after="60"/>
              <w:jc w:val="center"/>
            </w:pPr>
            <w:r>
              <w:t>Moon covers the Sun once a day</w:t>
            </w:r>
          </w:p>
        </w:tc>
        <w:tc>
          <w:tcPr>
            <w:tcW w:w="1547" w:type="dxa"/>
          </w:tcPr>
          <w:p w:rsidR="002A3F6D" w:rsidRPr="002A3F6D" w:rsidRDefault="002A3F6D" w:rsidP="002A3F6D">
            <w:pPr>
              <w:spacing w:after="60"/>
              <w:jc w:val="center"/>
              <w:rPr>
                <w:i/>
                <w:sz w:val="18"/>
                <w:szCs w:val="18"/>
              </w:rPr>
            </w:pPr>
            <w:r w:rsidRPr="002A3F6D">
              <w:rPr>
                <w:i/>
                <w:sz w:val="18"/>
                <w:szCs w:val="18"/>
              </w:rPr>
              <w:t>Answer B</w:t>
            </w:r>
          </w:p>
          <w:p w:rsidR="002A3F6D" w:rsidRDefault="002A3F6D" w:rsidP="002A3F6D">
            <w:pPr>
              <w:spacing w:after="60"/>
              <w:jc w:val="center"/>
            </w:pPr>
            <w:r>
              <w:t>Sun goes behind the Earth once a day</w:t>
            </w:r>
          </w:p>
        </w:tc>
        <w:tc>
          <w:tcPr>
            <w:tcW w:w="1526" w:type="dxa"/>
            <w:shd w:val="thinDiagStripe" w:color="D9D9D9" w:themeColor="background1" w:themeShade="D9" w:fill="auto"/>
          </w:tcPr>
          <w:p w:rsidR="002A3F6D" w:rsidRPr="002A3F6D" w:rsidRDefault="002A3F6D" w:rsidP="002A3F6D">
            <w:pPr>
              <w:spacing w:after="60"/>
              <w:jc w:val="center"/>
              <w:rPr>
                <w:i/>
                <w:sz w:val="18"/>
                <w:szCs w:val="18"/>
              </w:rPr>
            </w:pPr>
            <w:r w:rsidRPr="002A3F6D">
              <w:rPr>
                <w:i/>
                <w:sz w:val="18"/>
                <w:szCs w:val="18"/>
              </w:rPr>
              <w:t>Answer C</w:t>
            </w:r>
          </w:p>
          <w:p w:rsidR="0034524C" w:rsidRPr="0034524C" w:rsidRDefault="002A3F6D" w:rsidP="0034524C">
            <w:pPr>
              <w:spacing w:after="60"/>
              <w:jc w:val="center"/>
              <w:rPr>
                <w:b/>
                <w:sz w:val="28"/>
                <w:szCs w:val="28"/>
              </w:rPr>
            </w:pPr>
            <w:r>
              <w:t>Earth spins on its axis once a day</w:t>
            </w:r>
            <w:r w:rsidR="0034524C">
              <w:t xml:space="preserve"> </w:t>
            </w:r>
            <w:r w:rsidR="0034524C" w:rsidRPr="0034524C">
              <w:rPr>
                <w:b/>
                <w:sz w:val="28"/>
                <w:szCs w:val="28"/>
              </w:rPr>
              <w:sym w:font="Wingdings" w:char="F0FC"/>
            </w:r>
          </w:p>
        </w:tc>
        <w:tc>
          <w:tcPr>
            <w:tcW w:w="1553" w:type="dxa"/>
          </w:tcPr>
          <w:p w:rsidR="002A3F6D" w:rsidRPr="002A3F6D" w:rsidRDefault="002A3F6D" w:rsidP="002A3F6D">
            <w:pPr>
              <w:spacing w:after="60"/>
              <w:jc w:val="center"/>
              <w:rPr>
                <w:i/>
                <w:sz w:val="18"/>
                <w:szCs w:val="18"/>
              </w:rPr>
            </w:pPr>
            <w:r w:rsidRPr="002A3F6D">
              <w:rPr>
                <w:i/>
                <w:sz w:val="18"/>
                <w:szCs w:val="18"/>
              </w:rPr>
              <w:t>Answer D</w:t>
            </w:r>
          </w:p>
          <w:p w:rsidR="002A3F6D" w:rsidRDefault="002A3F6D" w:rsidP="002A3F6D">
            <w:pPr>
              <w:spacing w:after="60"/>
              <w:jc w:val="center"/>
            </w:pPr>
            <w:r>
              <w:t>Earth goes around the Sun once a day</w:t>
            </w:r>
          </w:p>
        </w:tc>
        <w:tc>
          <w:tcPr>
            <w:tcW w:w="1383" w:type="dxa"/>
          </w:tcPr>
          <w:p w:rsidR="002A3F6D" w:rsidRDefault="002A3F6D" w:rsidP="002A3F6D">
            <w:pPr>
              <w:spacing w:after="60"/>
              <w:jc w:val="center"/>
              <w:rPr>
                <w:i/>
                <w:sz w:val="18"/>
                <w:szCs w:val="18"/>
              </w:rPr>
            </w:pPr>
          </w:p>
          <w:p w:rsidR="002A3F6D" w:rsidRPr="002A3F6D" w:rsidRDefault="00DB5CA2" w:rsidP="002A3F6D">
            <w:pPr>
              <w:spacing w:after="60"/>
              <w:jc w:val="center"/>
            </w:pPr>
            <w:r>
              <w:t>Clouds cover the Sun</w:t>
            </w:r>
          </w:p>
          <w:p w:rsidR="002A3F6D" w:rsidRPr="002A3F6D" w:rsidRDefault="002A3F6D" w:rsidP="002A3F6D">
            <w:pPr>
              <w:spacing w:after="60"/>
              <w:rPr>
                <w:i/>
                <w:sz w:val="18"/>
                <w:szCs w:val="18"/>
              </w:rPr>
            </w:pPr>
          </w:p>
        </w:tc>
      </w:tr>
      <w:tr w:rsidR="002A3F6D" w:rsidTr="00BD1F07">
        <w:tc>
          <w:tcPr>
            <w:tcW w:w="1472" w:type="dxa"/>
            <w:vAlign w:val="center"/>
          </w:tcPr>
          <w:p w:rsidR="002A3F6D" w:rsidRDefault="002A3F6D" w:rsidP="002A3F6D">
            <w:pPr>
              <w:spacing w:after="180"/>
              <w:jc w:val="center"/>
            </w:pPr>
            <w:r>
              <w:t>9-10</w:t>
            </w:r>
          </w:p>
        </w:tc>
        <w:tc>
          <w:tcPr>
            <w:tcW w:w="1535" w:type="dxa"/>
            <w:vAlign w:val="center"/>
          </w:tcPr>
          <w:p w:rsidR="002A3F6D" w:rsidRDefault="002A3F6D" w:rsidP="002A3F6D">
            <w:pPr>
              <w:spacing w:after="180"/>
              <w:jc w:val="center"/>
            </w:pPr>
            <w:r>
              <w:t>9%</w:t>
            </w:r>
          </w:p>
        </w:tc>
        <w:tc>
          <w:tcPr>
            <w:tcW w:w="1547" w:type="dxa"/>
            <w:vAlign w:val="center"/>
          </w:tcPr>
          <w:p w:rsidR="002A3F6D" w:rsidRDefault="002A3F6D" w:rsidP="002A3F6D">
            <w:pPr>
              <w:spacing w:after="180"/>
              <w:jc w:val="center"/>
            </w:pPr>
            <w:r>
              <w:t>19%</w:t>
            </w:r>
          </w:p>
        </w:tc>
        <w:tc>
          <w:tcPr>
            <w:tcW w:w="1526" w:type="dxa"/>
            <w:shd w:val="thinDiagStripe" w:color="D9D9D9" w:themeColor="background1" w:themeShade="D9" w:fill="auto"/>
            <w:vAlign w:val="center"/>
          </w:tcPr>
          <w:p w:rsidR="002A3F6D" w:rsidRDefault="002A3F6D" w:rsidP="002A3F6D">
            <w:pPr>
              <w:spacing w:after="180"/>
              <w:jc w:val="center"/>
            </w:pPr>
            <w:r>
              <w:t>19%</w:t>
            </w:r>
          </w:p>
        </w:tc>
        <w:tc>
          <w:tcPr>
            <w:tcW w:w="1553" w:type="dxa"/>
            <w:vAlign w:val="center"/>
          </w:tcPr>
          <w:p w:rsidR="002A3F6D" w:rsidRDefault="002A3F6D" w:rsidP="002A3F6D">
            <w:pPr>
              <w:spacing w:after="180"/>
              <w:jc w:val="center"/>
            </w:pPr>
            <w:r>
              <w:t>44%</w:t>
            </w:r>
          </w:p>
        </w:tc>
        <w:tc>
          <w:tcPr>
            <w:tcW w:w="1383" w:type="dxa"/>
          </w:tcPr>
          <w:p w:rsidR="002A3F6D" w:rsidRDefault="002A3F6D" w:rsidP="002A3F6D">
            <w:pPr>
              <w:spacing w:after="180"/>
              <w:jc w:val="center"/>
            </w:pPr>
            <w:r>
              <w:t>9</w:t>
            </w:r>
            <w:r w:rsidR="00DB5CA2">
              <w:t>%</w:t>
            </w:r>
          </w:p>
        </w:tc>
      </w:tr>
      <w:tr w:rsidR="002A3F6D" w:rsidTr="00BD1F07">
        <w:tc>
          <w:tcPr>
            <w:tcW w:w="1472" w:type="dxa"/>
            <w:vAlign w:val="center"/>
          </w:tcPr>
          <w:p w:rsidR="002A3F6D" w:rsidRDefault="002A3F6D" w:rsidP="002A3F6D">
            <w:pPr>
              <w:spacing w:after="180"/>
              <w:jc w:val="center"/>
            </w:pPr>
            <w:r>
              <w:t>11-12</w:t>
            </w:r>
          </w:p>
        </w:tc>
        <w:tc>
          <w:tcPr>
            <w:tcW w:w="1535" w:type="dxa"/>
            <w:vAlign w:val="center"/>
          </w:tcPr>
          <w:p w:rsidR="002A3F6D" w:rsidRDefault="00DB5CA2" w:rsidP="002A3F6D">
            <w:pPr>
              <w:spacing w:after="180"/>
              <w:jc w:val="center"/>
            </w:pPr>
            <w:r>
              <w:t>22%</w:t>
            </w:r>
          </w:p>
        </w:tc>
        <w:tc>
          <w:tcPr>
            <w:tcW w:w="1547" w:type="dxa"/>
            <w:vAlign w:val="center"/>
          </w:tcPr>
          <w:p w:rsidR="002A3F6D" w:rsidRDefault="00DB5CA2" w:rsidP="002A3F6D">
            <w:pPr>
              <w:spacing w:after="180"/>
              <w:jc w:val="center"/>
            </w:pPr>
            <w:r>
              <w:t>20%</w:t>
            </w:r>
          </w:p>
        </w:tc>
        <w:tc>
          <w:tcPr>
            <w:tcW w:w="1526" w:type="dxa"/>
            <w:shd w:val="thinDiagStripe" w:color="D9D9D9" w:themeColor="background1" w:themeShade="D9" w:fill="auto"/>
            <w:vAlign w:val="center"/>
          </w:tcPr>
          <w:p w:rsidR="002A3F6D" w:rsidRDefault="00DB5CA2" w:rsidP="002A3F6D">
            <w:pPr>
              <w:spacing w:after="180"/>
              <w:jc w:val="center"/>
            </w:pPr>
            <w:r>
              <w:t>22%</w:t>
            </w:r>
          </w:p>
        </w:tc>
        <w:tc>
          <w:tcPr>
            <w:tcW w:w="1553" w:type="dxa"/>
            <w:vAlign w:val="center"/>
          </w:tcPr>
          <w:p w:rsidR="002A3F6D" w:rsidRDefault="00DB5CA2" w:rsidP="002A3F6D">
            <w:pPr>
              <w:spacing w:after="180"/>
              <w:jc w:val="center"/>
            </w:pPr>
            <w:r>
              <w:t>29%</w:t>
            </w:r>
          </w:p>
        </w:tc>
        <w:tc>
          <w:tcPr>
            <w:tcW w:w="1383" w:type="dxa"/>
          </w:tcPr>
          <w:p w:rsidR="002A3F6D" w:rsidRDefault="00DB5CA2" w:rsidP="002A3F6D">
            <w:pPr>
              <w:spacing w:after="180"/>
              <w:jc w:val="center"/>
            </w:pPr>
            <w:r>
              <w:t>7%</w:t>
            </w:r>
          </w:p>
        </w:tc>
      </w:tr>
      <w:tr w:rsidR="002A3F6D" w:rsidTr="00BD1F07">
        <w:tc>
          <w:tcPr>
            <w:tcW w:w="1472" w:type="dxa"/>
            <w:vAlign w:val="center"/>
          </w:tcPr>
          <w:p w:rsidR="002A3F6D" w:rsidRDefault="002A3F6D" w:rsidP="002A3F6D">
            <w:pPr>
              <w:spacing w:after="180"/>
              <w:jc w:val="center"/>
            </w:pPr>
            <w:r>
              <w:t>13-14</w:t>
            </w:r>
          </w:p>
        </w:tc>
        <w:tc>
          <w:tcPr>
            <w:tcW w:w="1535" w:type="dxa"/>
            <w:vAlign w:val="center"/>
          </w:tcPr>
          <w:p w:rsidR="002A3F6D" w:rsidRDefault="00DB5CA2" w:rsidP="002A3F6D">
            <w:pPr>
              <w:spacing w:after="180"/>
              <w:jc w:val="center"/>
            </w:pPr>
            <w:r>
              <w:t>18%</w:t>
            </w:r>
          </w:p>
        </w:tc>
        <w:tc>
          <w:tcPr>
            <w:tcW w:w="1547" w:type="dxa"/>
            <w:vAlign w:val="center"/>
          </w:tcPr>
          <w:p w:rsidR="002A3F6D" w:rsidRDefault="00DB5CA2" w:rsidP="002A3F6D">
            <w:pPr>
              <w:spacing w:after="180"/>
              <w:jc w:val="center"/>
            </w:pPr>
            <w:r>
              <w:t>12%</w:t>
            </w:r>
          </w:p>
        </w:tc>
        <w:tc>
          <w:tcPr>
            <w:tcW w:w="1526" w:type="dxa"/>
            <w:shd w:val="thinDiagStripe" w:color="D9D9D9" w:themeColor="background1" w:themeShade="D9" w:fill="auto"/>
            <w:vAlign w:val="center"/>
          </w:tcPr>
          <w:p w:rsidR="002A3F6D" w:rsidRDefault="00DB5CA2" w:rsidP="002A3F6D">
            <w:pPr>
              <w:spacing w:after="180"/>
              <w:jc w:val="center"/>
            </w:pPr>
            <w:r>
              <w:t>47%</w:t>
            </w:r>
          </w:p>
        </w:tc>
        <w:tc>
          <w:tcPr>
            <w:tcW w:w="1553" w:type="dxa"/>
            <w:vAlign w:val="center"/>
          </w:tcPr>
          <w:p w:rsidR="002A3F6D" w:rsidRDefault="00DB5CA2" w:rsidP="00DB5CA2">
            <w:pPr>
              <w:spacing w:after="180"/>
              <w:jc w:val="center"/>
            </w:pPr>
            <w:r>
              <w:t>23%</w:t>
            </w:r>
          </w:p>
        </w:tc>
        <w:tc>
          <w:tcPr>
            <w:tcW w:w="1383" w:type="dxa"/>
          </w:tcPr>
          <w:p w:rsidR="002A3F6D" w:rsidRDefault="00DB5CA2" w:rsidP="002A3F6D">
            <w:pPr>
              <w:spacing w:after="180"/>
              <w:jc w:val="center"/>
            </w:pPr>
            <w:r>
              <w:t>-</w:t>
            </w:r>
          </w:p>
        </w:tc>
      </w:tr>
      <w:tr w:rsidR="00EB742F" w:rsidTr="00BD1F07">
        <w:tc>
          <w:tcPr>
            <w:tcW w:w="1472" w:type="dxa"/>
            <w:vAlign w:val="center"/>
          </w:tcPr>
          <w:p w:rsidR="00EB742F" w:rsidRDefault="00EB742F" w:rsidP="002A3F6D">
            <w:pPr>
              <w:spacing w:after="180"/>
              <w:jc w:val="center"/>
            </w:pPr>
            <w:r>
              <w:t>15-16</w:t>
            </w:r>
          </w:p>
        </w:tc>
        <w:tc>
          <w:tcPr>
            <w:tcW w:w="1535" w:type="dxa"/>
            <w:vAlign w:val="center"/>
          </w:tcPr>
          <w:p w:rsidR="00EB742F" w:rsidRDefault="00EB742F" w:rsidP="002A3F6D">
            <w:pPr>
              <w:spacing w:after="180"/>
              <w:jc w:val="center"/>
            </w:pPr>
            <w:r>
              <w:t>22%</w:t>
            </w:r>
          </w:p>
        </w:tc>
        <w:tc>
          <w:tcPr>
            <w:tcW w:w="1547" w:type="dxa"/>
            <w:vAlign w:val="center"/>
          </w:tcPr>
          <w:p w:rsidR="00EB742F" w:rsidRDefault="00EB742F" w:rsidP="002A3F6D">
            <w:pPr>
              <w:spacing w:after="180"/>
              <w:jc w:val="center"/>
            </w:pPr>
            <w:r>
              <w:t>19%</w:t>
            </w:r>
          </w:p>
        </w:tc>
        <w:tc>
          <w:tcPr>
            <w:tcW w:w="1526" w:type="dxa"/>
            <w:shd w:val="thinDiagStripe" w:color="D9D9D9" w:themeColor="background1" w:themeShade="D9" w:fill="auto"/>
            <w:vAlign w:val="center"/>
          </w:tcPr>
          <w:p w:rsidR="00EB742F" w:rsidRDefault="00EB742F" w:rsidP="002A3F6D">
            <w:pPr>
              <w:spacing w:after="180"/>
              <w:jc w:val="center"/>
            </w:pPr>
            <w:r>
              <w:t>33%</w:t>
            </w:r>
          </w:p>
        </w:tc>
        <w:tc>
          <w:tcPr>
            <w:tcW w:w="1553" w:type="dxa"/>
            <w:vAlign w:val="center"/>
          </w:tcPr>
          <w:p w:rsidR="00EB742F" w:rsidRDefault="00EB742F" w:rsidP="00DB5CA2">
            <w:pPr>
              <w:spacing w:after="180"/>
              <w:jc w:val="center"/>
            </w:pPr>
            <w:r>
              <w:t>26%</w:t>
            </w:r>
          </w:p>
        </w:tc>
        <w:tc>
          <w:tcPr>
            <w:tcW w:w="1383" w:type="dxa"/>
          </w:tcPr>
          <w:p w:rsidR="00EB742F" w:rsidRDefault="00EB742F" w:rsidP="002A3F6D">
            <w:pPr>
              <w:spacing w:after="180"/>
              <w:jc w:val="center"/>
            </w:pPr>
            <w:r>
              <w:t>-</w:t>
            </w:r>
          </w:p>
        </w:tc>
      </w:tr>
    </w:tbl>
    <w:p w:rsidR="00BB2AD2" w:rsidRDefault="00F356E3" w:rsidP="002A3F6D">
      <w:pPr>
        <w:spacing w:after="180"/>
        <w:jc w:val="right"/>
      </w:pPr>
      <w:r>
        <w:t xml:space="preserve">Results from a study </w:t>
      </w:r>
      <w:r w:rsidR="00872119">
        <w:t xml:space="preserve">(n=100) </w:t>
      </w:r>
      <w:r>
        <w:t xml:space="preserve">of 9- to 16-year-olds </w:t>
      </w:r>
      <w:r w:rsidR="00872119">
        <w:t xml:space="preserve">in the </w:t>
      </w:r>
      <w:r w:rsidR="009E4416">
        <w:t>s</w:t>
      </w:r>
      <w:r w:rsidR="00872119">
        <w:t>outh</w:t>
      </w:r>
      <w:r w:rsidR="009E4416">
        <w:t>-w</w:t>
      </w:r>
      <w:r w:rsidR="00872119">
        <w:t xml:space="preserve">est of England </w:t>
      </w:r>
      <w:r w:rsidR="002A3F6D">
        <w:t>(</w:t>
      </w:r>
      <w:r w:rsidR="00BB2AD2">
        <w:fldChar w:fldCharType="begin"/>
      </w:r>
      <w:r w:rsidR="00BB2AD2">
        <w:instrText xml:space="preserve"> ADDIN EN.CITE &lt;EndNote&gt;&lt;Cite&gt;&lt;Author&gt;Baxter&lt;/Author&gt;&lt;Year&gt;1989&lt;/Year&gt;&lt;IDText&gt;Children&amp;apos;s understanding of familiar astronomical events&lt;/IDText&gt;&lt;DisplayText&gt;(Baxter, 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format="utc"&gt;1536652168&lt;/added-date&gt;&lt;ref-type name="Journal Article"&gt;17&lt;/ref-type&gt;&lt;dates&gt;&lt;year&gt;1989&lt;/year&gt;&lt;/dates&gt;&lt;rec-number&gt;41&lt;/rec-number&gt;&lt;last-updated-date format="utc"&gt;1536652257&lt;/last-updated-date&gt;&lt;volume&gt;11 (Special Issue)&lt;/volume&gt;&lt;/record&gt;&lt;/Cite&gt;&lt;/EndNote&gt;</w:instrText>
      </w:r>
      <w:r w:rsidR="00BB2AD2">
        <w:fldChar w:fldCharType="separate"/>
      </w:r>
      <w:r w:rsidR="00BB2AD2">
        <w:rPr>
          <w:noProof/>
        </w:rPr>
        <w:t>Baxter</w:t>
      </w:r>
      <w:r w:rsidR="002A3F6D">
        <w:rPr>
          <w:noProof/>
        </w:rPr>
        <w:t>,</w:t>
      </w:r>
      <w:r w:rsidR="00BB2AD2">
        <w:rPr>
          <w:noProof/>
        </w:rPr>
        <w:t xml:space="preserve"> 1989)</w:t>
      </w:r>
      <w:r w:rsidR="00BB2AD2">
        <w:fldChar w:fldCharType="end"/>
      </w:r>
      <w:r>
        <w:t>.</w:t>
      </w:r>
      <w:r w:rsidR="00BB2AD2">
        <w:t xml:space="preserve">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2442E3" w:rsidRDefault="008955A1" w:rsidP="00A01222">
      <w:pPr>
        <w:spacing w:after="180"/>
      </w:pPr>
      <w:r>
        <w:t>Answer D is most common and partially fits with the correct model of the Earth going around the Sun. Answer B shows a more egocentric view that fits with students</w:t>
      </w:r>
      <w:r w:rsidR="002442E3">
        <w:t>’</w:t>
      </w:r>
      <w:r>
        <w:t xml:space="preserve"> observations </w:t>
      </w:r>
      <w:r w:rsidR="0034524C">
        <w:t>that</w:t>
      </w:r>
      <w:r>
        <w:t xml:space="preserve"> the Sun appear</w:t>
      </w:r>
      <w:r w:rsidR="0034524C">
        <w:t>s</w:t>
      </w:r>
      <w:r>
        <w:t xml:space="preserve"> to move around the Earth</w:t>
      </w:r>
      <w:r w:rsidR="002442E3">
        <w:t xml:space="preserve">, and indeed makes perfect sense from the point of view of the observer. Answer A is related to the false idea that the moon only appears in the sky during the night-time. </w:t>
      </w:r>
    </w:p>
    <w:p w:rsidR="002442E3" w:rsidRDefault="002442E3" w:rsidP="00A01222">
      <w:pPr>
        <w:spacing w:after="180"/>
      </w:pPr>
      <w:r>
        <w:t>All of these misunderstandings show a lot of persistence, perhaps because the scientific view is a more complex and less obvious explanation.</w:t>
      </w:r>
    </w:p>
    <w:p w:rsidR="00414C62" w:rsidRDefault="00A01222" w:rsidP="00A01222">
      <w:pPr>
        <w:spacing w:after="180"/>
      </w:pPr>
      <w:r w:rsidRPr="004F039C">
        <w:t xml:space="preserve">If students have </w:t>
      </w:r>
      <w:r w:rsidR="004B1C32">
        <w:t>misunderstanding</w:t>
      </w:r>
      <w:r w:rsidRPr="004F039C">
        <w:t xml:space="preserve">s about </w:t>
      </w:r>
      <w:r w:rsidR="002442E3">
        <w:t>the cause of day and night</w:t>
      </w:r>
      <w:r w:rsidRPr="004F039C">
        <w:t xml:space="preserve">, </w:t>
      </w:r>
      <w:r w:rsidR="002442E3">
        <w:t xml:space="preserve">it </w:t>
      </w:r>
      <w:r w:rsidR="00A04899">
        <w:t>can help</w:t>
      </w:r>
      <w:r w:rsidR="002442E3">
        <w:t xml:space="preserve"> to use a physical model to </w:t>
      </w:r>
      <w:r w:rsidR="006C6C08">
        <w:t xml:space="preserve">demonstrate how day and night are caused, and to use it to challenge </w:t>
      </w:r>
      <w:r w:rsidR="00A04899">
        <w:t xml:space="preserve">their </w:t>
      </w:r>
      <w:r w:rsidR="006C6C08">
        <w:t xml:space="preserve">misunderstandings. </w:t>
      </w:r>
      <w:r w:rsidR="006F7BFB">
        <w:t>For answers A, B and D you could challenge students to explain how the phases of the Moon (a 28 day cycle) or the seasons of a year can be explained with their model.</w:t>
      </w:r>
      <w:r w:rsidR="0008498D">
        <w:t xml:space="preserve"> </w:t>
      </w:r>
    </w:p>
    <w:p w:rsidR="00414C62" w:rsidRDefault="006F7BFB" w:rsidP="00414C62">
      <w:pPr>
        <w:spacing w:after="180"/>
      </w:pPr>
      <w:r>
        <w:t xml:space="preserve">To show day and night use a globe in a darkened room and illuminate it on one side with a strong light such as an overhead projector. This will give a clear distinction between light and shade on the globe. A small piece of </w:t>
      </w:r>
      <w:proofErr w:type="spellStart"/>
      <w:r>
        <w:t>Blu</w:t>
      </w:r>
      <w:proofErr w:type="spellEnd"/>
      <w:r>
        <w:t xml:space="preserve">-Tack placed on your location will show how day and night </w:t>
      </w:r>
      <w:r w:rsidR="0034524C">
        <w:t>occur</w:t>
      </w:r>
      <w:r>
        <w:t xml:space="preserve"> as the globe is spun on its axis (once per day). The correct direction to spin is anti-clockwise whilst looking down at the North Pole.</w:t>
      </w:r>
      <w:r w:rsidR="0034524C">
        <w:t xml:space="preserve"> </w:t>
      </w:r>
      <w:r w:rsidR="00414C62" w:rsidRPr="00BF4C51">
        <w:t xml:space="preserve">The following BEST ‘response </w:t>
      </w:r>
      <w:r w:rsidR="00414C62">
        <w:t>activity</w:t>
      </w:r>
      <w:r w:rsidR="00414C62" w:rsidRPr="00BF4C51">
        <w:t>’ could be used in follow-up to this diagnostic question:</w:t>
      </w:r>
    </w:p>
    <w:p w:rsidR="00414C62" w:rsidRPr="00A6111E" w:rsidRDefault="00414C62" w:rsidP="00414C62">
      <w:pPr>
        <w:pStyle w:val="ListParagraph"/>
        <w:numPr>
          <w:ilvl w:val="0"/>
          <w:numId w:val="1"/>
        </w:numPr>
        <w:spacing w:after="180"/>
      </w:pPr>
      <w:r w:rsidRPr="00BF4C51">
        <w:t>Response activity: Modelling the</w:t>
      </w:r>
      <w:r>
        <w:t xml:space="preserve"> Earth</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ED02E2">
        <w:t>Peter Fairhurst</w:t>
      </w:r>
      <w:r w:rsidR="007B5821">
        <w:t xml:space="preserve"> </w:t>
      </w:r>
      <w:r w:rsidR="0015356E">
        <w:t>(UYSEG)</w:t>
      </w:r>
      <w:r w:rsidR="0015356E" w:rsidRPr="00ED02E2">
        <w:t xml:space="preserve">, </w:t>
      </w:r>
      <w:r w:rsidR="007B5821">
        <w:t xml:space="preserve">based on illustrations in </w:t>
      </w:r>
      <w:r w:rsidR="007B5821" w:rsidRPr="00563F3B">
        <w:rPr>
          <w:i/>
          <w:noProof/>
        </w:rPr>
        <w:t>Making Sense of Secondary Science</w:t>
      </w:r>
      <w:r w:rsidR="007B5821">
        <w:rPr>
          <w:i/>
          <w:noProof/>
        </w:rPr>
        <w:t xml:space="preserve"> </w:t>
      </w:r>
      <w:r w:rsidR="007B5821" w:rsidRPr="007B5821">
        <w:rPr>
          <w:noProof/>
        </w:rPr>
        <w:fldChar w:fldCharType="begin"/>
      </w:r>
      <w:r w:rsidR="007B5821">
        <w:rPr>
          <w:noProof/>
        </w:rP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7B5821" w:rsidRPr="007B5821">
        <w:rPr>
          <w:noProof/>
        </w:rPr>
        <w:fldChar w:fldCharType="separate"/>
      </w:r>
      <w:r w:rsidR="007B5821">
        <w:rPr>
          <w:noProof/>
        </w:rPr>
        <w:t>(Driver et al., 1994)</w:t>
      </w:r>
      <w:r w:rsidR="007B5821" w:rsidRPr="007B5821">
        <w:rPr>
          <w:noProof/>
        </w:rPr>
        <w:fldChar w:fldCharType="end"/>
      </w:r>
      <w:r w:rsidR="00BC2AD6">
        <w:rPr>
          <w:noProof/>
        </w:rPr>
        <w:t>.</w:t>
      </w:r>
    </w:p>
    <w:p w:rsidR="00CC78A5" w:rsidRDefault="00D278E8" w:rsidP="00E172C6">
      <w:pPr>
        <w:spacing w:after="180"/>
      </w:pPr>
      <w:r w:rsidRPr="0045323E">
        <w:t xml:space="preserve">Images: </w:t>
      </w:r>
      <w:r w:rsidR="007F1BB6" w:rsidRPr="00B47815">
        <w:t>CC0 Public Domain</w:t>
      </w:r>
      <w:r w:rsidR="007F1BB6">
        <w:t>, Peter Fairhurst (UYSEG).</w:t>
      </w:r>
      <w:bookmarkStart w:id="0" w:name="_GoBack"/>
      <w:bookmarkEnd w:id="0"/>
    </w:p>
    <w:p w:rsidR="00B46FF9" w:rsidRDefault="003117F6" w:rsidP="00E24309">
      <w:pPr>
        <w:spacing w:after="180"/>
        <w:rPr>
          <w:b/>
          <w:color w:val="5F497A" w:themeColor="accent4" w:themeShade="BF"/>
          <w:sz w:val="24"/>
        </w:rPr>
      </w:pPr>
      <w:r w:rsidRPr="002C79AE">
        <w:rPr>
          <w:b/>
          <w:color w:val="5F497A" w:themeColor="accent4" w:themeShade="BF"/>
          <w:sz w:val="24"/>
        </w:rPr>
        <w:t>References</w:t>
      </w:r>
    </w:p>
    <w:p w:rsidR="0044499E" w:rsidRPr="00C92FB7" w:rsidRDefault="0044499E" w:rsidP="0044499E">
      <w:pPr>
        <w:pStyle w:val="EndNoteBibliography"/>
        <w:spacing w:after="120"/>
      </w:pPr>
      <w:r w:rsidRPr="00C92FB7">
        <w:t xml:space="preserve">Allen, M. (2014). </w:t>
      </w:r>
      <w:r w:rsidRPr="00C92FB7">
        <w:rPr>
          <w:i/>
        </w:rPr>
        <w:t xml:space="preserve">Misconceptions in Primary Science, Second </w:t>
      </w:r>
      <w:r w:rsidRPr="00C92FB7">
        <w:t>edn</w:t>
      </w:r>
      <w:r w:rsidRPr="00C92FB7">
        <w:rPr>
          <w:i/>
        </w:rPr>
        <w:t xml:space="preserve"> </w:t>
      </w:r>
      <w:r w:rsidRPr="00C92FB7">
        <w:t>Berkshire, UK: Open University Press.</w:t>
      </w:r>
    </w:p>
    <w:p w:rsidR="00F327C9" w:rsidRPr="00F327C9" w:rsidRDefault="007B5821" w:rsidP="003B61FA">
      <w:pPr>
        <w:pStyle w:val="EndNoteBibliography"/>
        <w:spacing w:after="120"/>
      </w:pPr>
      <w:r>
        <w:fldChar w:fldCharType="begin"/>
      </w:r>
      <w:r>
        <w:instrText xml:space="preserve"> ADDIN EN.REFLIST </w:instrText>
      </w:r>
      <w:r>
        <w:fldChar w:fldCharType="separate"/>
      </w:r>
      <w:r w:rsidR="00F327C9" w:rsidRPr="00F327C9">
        <w:t xml:space="preserve">Baxter, J. (1989). Children's understanding of familiar astronomical events. </w:t>
      </w:r>
      <w:r w:rsidR="00F327C9" w:rsidRPr="00F327C9">
        <w:rPr>
          <w:i/>
        </w:rPr>
        <w:t>International Journal of Science Education,</w:t>
      </w:r>
      <w:r w:rsidR="00F327C9" w:rsidRPr="00F327C9">
        <w:t xml:space="preserve"> 11 (Special Issue)</w:t>
      </w:r>
      <w:r w:rsidR="00F327C9" w:rsidRPr="00F327C9">
        <w:rPr>
          <w:b/>
        </w:rPr>
        <w:t>,</w:t>
      </w:r>
      <w:r w:rsidR="00F327C9" w:rsidRPr="00F327C9">
        <w:t xml:space="preserve"> 502-13.</w:t>
      </w:r>
    </w:p>
    <w:p w:rsidR="00F327C9" w:rsidRPr="00F327C9" w:rsidRDefault="00F327C9" w:rsidP="003B61FA">
      <w:pPr>
        <w:pStyle w:val="EndNoteBibliography"/>
        <w:spacing w:after="120"/>
      </w:pPr>
      <w:r w:rsidRPr="00F327C9">
        <w:t xml:space="preserve">Driver, R., et al. (1994). </w:t>
      </w:r>
      <w:r w:rsidRPr="00F327C9">
        <w:rPr>
          <w:i/>
        </w:rPr>
        <w:t xml:space="preserve">Making Sense of Secondary Science: Research into Children's Ideas, </w:t>
      </w:r>
      <w:r w:rsidRPr="00F327C9">
        <w:t>London, UK: Routledge.</w:t>
      </w:r>
    </w:p>
    <w:p w:rsidR="00F327C9" w:rsidRPr="00F327C9" w:rsidRDefault="00F327C9" w:rsidP="003B61FA">
      <w:pPr>
        <w:pStyle w:val="EndNoteBibliography"/>
        <w:spacing w:after="120"/>
      </w:pPr>
      <w:r w:rsidRPr="00F327C9">
        <w:t xml:space="preserve">Jones, B. L., Lynch, P. P. and Reesink, C. (1987). Children's conception of the Earth, Sun and Moon. </w:t>
      </w:r>
      <w:r w:rsidRPr="00F327C9">
        <w:rPr>
          <w:i/>
        </w:rPr>
        <w:t>International Journal of Science Education,</w:t>
      </w:r>
      <w:r w:rsidRPr="00F327C9">
        <w:t xml:space="preserve"> 9(1)</w:t>
      </w:r>
      <w:r w:rsidRPr="00F327C9">
        <w:rPr>
          <w:b/>
        </w:rPr>
        <w:t>,</w:t>
      </w:r>
      <w:r w:rsidRPr="00F327C9">
        <w:t xml:space="preserve"> 43-53.</w:t>
      </w:r>
    </w:p>
    <w:p w:rsidR="00F327C9" w:rsidRPr="00F327C9" w:rsidRDefault="00F327C9" w:rsidP="003B61FA">
      <w:pPr>
        <w:pStyle w:val="EndNoteBibliography"/>
        <w:spacing w:after="120"/>
      </w:pPr>
      <w:r w:rsidRPr="00F327C9">
        <w:t xml:space="preserve">Lelliott, A. and Rollnick, M. (2009). Big Ideas: A review of astronomy education research 1974-2008. </w:t>
      </w:r>
      <w:r w:rsidRPr="00F327C9">
        <w:rPr>
          <w:i/>
        </w:rPr>
        <w:t>International Journal of Science Education,</w:t>
      </w:r>
      <w:r w:rsidRPr="00F327C9">
        <w:t xml:space="preserve"> 32:13</w:t>
      </w:r>
      <w:r w:rsidRPr="00F327C9">
        <w:rPr>
          <w:b/>
        </w:rPr>
        <w:t>,</w:t>
      </w:r>
      <w:r w:rsidRPr="00F327C9">
        <w:t xml:space="preserve"> 1771-1799.</w:t>
      </w:r>
    </w:p>
    <w:p w:rsidR="00C63B9E" w:rsidRPr="00E51402" w:rsidRDefault="007B5821" w:rsidP="00C63B9E">
      <w:pPr>
        <w:pStyle w:val="EndNoteBibliography"/>
        <w:spacing w:after="120"/>
      </w:pPr>
      <w:r>
        <w:fldChar w:fldCharType="end"/>
      </w:r>
      <w:r w:rsidR="00C63B9E" w:rsidRPr="00E51402">
        <w:t xml:space="preserve">Osborne, J. (2011). Earth in Space. In Sang, D. (ed.) </w:t>
      </w:r>
      <w:r w:rsidR="00C63B9E" w:rsidRPr="00E51402">
        <w:rPr>
          <w:i/>
        </w:rPr>
        <w:t>Teaching Secondary Physics.</w:t>
      </w:r>
      <w:r w:rsidR="00C63B9E" w:rsidRPr="00E51402">
        <w:t xml:space="preserve"> London: Hodder Education.</w:t>
      </w:r>
    </w:p>
    <w:p w:rsidR="000A0D12" w:rsidRPr="000A0D12" w:rsidRDefault="000A0D12" w:rsidP="003B61FA">
      <w:pPr>
        <w:spacing w:after="120"/>
      </w:pPr>
    </w:p>
    <w:sectPr w:rsidR="000A0D12" w:rsidRPr="000A0D12"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420" w:rsidRDefault="00415420" w:rsidP="000B473B">
      <w:r>
        <w:separator/>
      </w:r>
    </w:p>
  </w:endnote>
  <w:endnote w:type="continuationSeparator" w:id="0">
    <w:p w:rsidR="00415420" w:rsidRDefault="0041542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D550D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F1BB6">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420" w:rsidRDefault="00415420" w:rsidP="000B473B">
      <w:r>
        <w:separator/>
      </w:r>
    </w:p>
  </w:footnote>
  <w:footnote w:type="continuationSeparator" w:id="0">
    <w:p w:rsidR="00415420" w:rsidRDefault="0041542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3B795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0CC3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D4B0B6C"/>
    <w:multiLevelType w:val="hybridMultilevel"/>
    <w:tmpl w:val="B7388C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15420"/>
    <w:rsid w:val="00015578"/>
    <w:rsid w:val="00024731"/>
    <w:rsid w:val="00026DEC"/>
    <w:rsid w:val="000505CA"/>
    <w:rsid w:val="0007651D"/>
    <w:rsid w:val="0008498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2174"/>
    <w:rsid w:val="0022547C"/>
    <w:rsid w:val="002442E3"/>
    <w:rsid w:val="0025410A"/>
    <w:rsid w:val="0027553E"/>
    <w:rsid w:val="0028012F"/>
    <w:rsid w:val="002828DF"/>
    <w:rsid w:val="00287876"/>
    <w:rsid w:val="00292C53"/>
    <w:rsid w:val="00294E22"/>
    <w:rsid w:val="002A3F6D"/>
    <w:rsid w:val="002B5D71"/>
    <w:rsid w:val="002C22EA"/>
    <w:rsid w:val="002C59BA"/>
    <w:rsid w:val="002C79AE"/>
    <w:rsid w:val="00301AA9"/>
    <w:rsid w:val="003117F6"/>
    <w:rsid w:val="0034524C"/>
    <w:rsid w:val="003533B8"/>
    <w:rsid w:val="003752BE"/>
    <w:rsid w:val="003A346A"/>
    <w:rsid w:val="003B2917"/>
    <w:rsid w:val="003B541B"/>
    <w:rsid w:val="003B61FA"/>
    <w:rsid w:val="003E2B2F"/>
    <w:rsid w:val="003E6046"/>
    <w:rsid w:val="003F16F9"/>
    <w:rsid w:val="00414C62"/>
    <w:rsid w:val="00415420"/>
    <w:rsid w:val="00430C1F"/>
    <w:rsid w:val="00442595"/>
    <w:rsid w:val="0044499E"/>
    <w:rsid w:val="0045323E"/>
    <w:rsid w:val="004B0EE1"/>
    <w:rsid w:val="004B1C32"/>
    <w:rsid w:val="004C5D20"/>
    <w:rsid w:val="004D0D83"/>
    <w:rsid w:val="004E1DF1"/>
    <w:rsid w:val="004E5592"/>
    <w:rsid w:val="004F4E82"/>
    <w:rsid w:val="0050055B"/>
    <w:rsid w:val="00524710"/>
    <w:rsid w:val="00555342"/>
    <w:rsid w:val="005560E2"/>
    <w:rsid w:val="005A452E"/>
    <w:rsid w:val="005A6EE7"/>
    <w:rsid w:val="005F1A7B"/>
    <w:rsid w:val="006355D8"/>
    <w:rsid w:val="00642ECD"/>
    <w:rsid w:val="006502A0"/>
    <w:rsid w:val="006772F5"/>
    <w:rsid w:val="006A4440"/>
    <w:rsid w:val="006B0615"/>
    <w:rsid w:val="006C6C08"/>
    <w:rsid w:val="006D166B"/>
    <w:rsid w:val="006F3279"/>
    <w:rsid w:val="006F7BFB"/>
    <w:rsid w:val="00704AEE"/>
    <w:rsid w:val="00722F9A"/>
    <w:rsid w:val="00754539"/>
    <w:rsid w:val="0077646D"/>
    <w:rsid w:val="00781BC6"/>
    <w:rsid w:val="007A3C86"/>
    <w:rsid w:val="007A683E"/>
    <w:rsid w:val="007A748B"/>
    <w:rsid w:val="007B5821"/>
    <w:rsid w:val="007C26E1"/>
    <w:rsid w:val="007D1D65"/>
    <w:rsid w:val="007E0A9E"/>
    <w:rsid w:val="007E5309"/>
    <w:rsid w:val="007F1BB6"/>
    <w:rsid w:val="00800DE1"/>
    <w:rsid w:val="00813F47"/>
    <w:rsid w:val="008450D6"/>
    <w:rsid w:val="00856FCA"/>
    <w:rsid w:val="00872119"/>
    <w:rsid w:val="00873B8C"/>
    <w:rsid w:val="00880E3B"/>
    <w:rsid w:val="008955A1"/>
    <w:rsid w:val="008A405F"/>
    <w:rsid w:val="008C53A2"/>
    <w:rsid w:val="008C7F34"/>
    <w:rsid w:val="008E580C"/>
    <w:rsid w:val="0090047A"/>
    <w:rsid w:val="00925026"/>
    <w:rsid w:val="00931264"/>
    <w:rsid w:val="00942A4B"/>
    <w:rsid w:val="00961D59"/>
    <w:rsid w:val="009B2D55"/>
    <w:rsid w:val="009C0343"/>
    <w:rsid w:val="009C6B35"/>
    <w:rsid w:val="009E0D11"/>
    <w:rsid w:val="009E4416"/>
    <w:rsid w:val="009F2253"/>
    <w:rsid w:val="00A01222"/>
    <w:rsid w:val="00A04899"/>
    <w:rsid w:val="00A24A16"/>
    <w:rsid w:val="00A37D14"/>
    <w:rsid w:val="00A55E54"/>
    <w:rsid w:val="00A6111E"/>
    <w:rsid w:val="00A6168B"/>
    <w:rsid w:val="00A62028"/>
    <w:rsid w:val="00A94736"/>
    <w:rsid w:val="00AA5B77"/>
    <w:rsid w:val="00AA6236"/>
    <w:rsid w:val="00AB6AE7"/>
    <w:rsid w:val="00AD21F5"/>
    <w:rsid w:val="00AE32C9"/>
    <w:rsid w:val="00B06225"/>
    <w:rsid w:val="00B23C7A"/>
    <w:rsid w:val="00B305F5"/>
    <w:rsid w:val="00B46FF9"/>
    <w:rsid w:val="00B47E1D"/>
    <w:rsid w:val="00B75483"/>
    <w:rsid w:val="00BA7952"/>
    <w:rsid w:val="00BB2AD2"/>
    <w:rsid w:val="00BB44B4"/>
    <w:rsid w:val="00BC2AD6"/>
    <w:rsid w:val="00BD1F07"/>
    <w:rsid w:val="00BF0BBF"/>
    <w:rsid w:val="00BF6C8A"/>
    <w:rsid w:val="00C05571"/>
    <w:rsid w:val="00C246CE"/>
    <w:rsid w:val="00C54711"/>
    <w:rsid w:val="00C57FA2"/>
    <w:rsid w:val="00C63B9E"/>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76115"/>
    <w:rsid w:val="00DB5CA2"/>
    <w:rsid w:val="00DC4A4E"/>
    <w:rsid w:val="00DD1874"/>
    <w:rsid w:val="00DD63BD"/>
    <w:rsid w:val="00DF05DB"/>
    <w:rsid w:val="00DF7E20"/>
    <w:rsid w:val="00E172C6"/>
    <w:rsid w:val="00E24309"/>
    <w:rsid w:val="00E53D82"/>
    <w:rsid w:val="00E9330A"/>
    <w:rsid w:val="00EB742F"/>
    <w:rsid w:val="00ED02E2"/>
    <w:rsid w:val="00EE6B97"/>
    <w:rsid w:val="00F12C3B"/>
    <w:rsid w:val="00F2483A"/>
    <w:rsid w:val="00F26884"/>
    <w:rsid w:val="00F327C9"/>
    <w:rsid w:val="00F356E3"/>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B39703EF-5C73-42FD-A294-64F52BDF0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B582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B5821"/>
    <w:rPr>
      <w:rFonts w:ascii="Calibri" w:hAnsi="Calibri" w:cs="Calibri"/>
      <w:noProof/>
      <w:lang w:val="en-US"/>
    </w:rPr>
  </w:style>
  <w:style w:type="paragraph" w:customStyle="1" w:styleId="EndNoteBibliography">
    <w:name w:val="EndNote Bibliography"/>
    <w:basedOn w:val="Normal"/>
    <w:link w:val="EndNoteBibliographyChar"/>
    <w:rsid w:val="007B5821"/>
    <w:rPr>
      <w:rFonts w:ascii="Calibri" w:hAnsi="Calibri" w:cs="Calibri"/>
      <w:noProof/>
      <w:lang w:val="en-US"/>
    </w:rPr>
  </w:style>
  <w:style w:type="character" w:customStyle="1" w:styleId="EndNoteBibliographyChar">
    <w:name w:val="EndNote Bibliography Char"/>
    <w:basedOn w:val="DefaultParagraphFont"/>
    <w:link w:val="EndNoteBibliography"/>
    <w:rsid w:val="007B582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897D3-E059-411D-9273-6D3EB2F1E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template_physics_item_diagnostic.dotx</Template>
  <TotalTime>105</TotalTime>
  <Pages>4</Pages>
  <Words>1638</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29</cp:revision>
  <cp:lastPrinted>2017-02-24T16:20:00Z</cp:lastPrinted>
  <dcterms:created xsi:type="dcterms:W3CDTF">2018-09-14T14:23:00Z</dcterms:created>
  <dcterms:modified xsi:type="dcterms:W3CDTF">2018-10-01T13:21:00Z</dcterms:modified>
</cp:coreProperties>
</file>