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30BAE" w:rsidP="00201AC2">
      <w:pPr>
        <w:spacing w:after="180"/>
        <w:rPr>
          <w:b/>
          <w:sz w:val="44"/>
          <w:szCs w:val="44"/>
        </w:rPr>
      </w:pPr>
      <w:r w:rsidRPr="00F30BAE">
        <w:rPr>
          <w:b/>
          <w:sz w:val="44"/>
          <w:szCs w:val="44"/>
        </w:rPr>
        <w:t>The other 98%</w:t>
      </w:r>
    </w:p>
    <w:p w:rsidR="00201AC2" w:rsidRDefault="00201AC2" w:rsidP="007401DE"/>
    <w:p w:rsidR="0036073D" w:rsidRDefault="007401DE" w:rsidP="0036073D">
      <w:pPr>
        <w:spacing w:after="180"/>
        <w:jc w:val="center"/>
        <w:rPr>
          <w:highlight w:val="yellow"/>
        </w:rPr>
      </w:pPr>
      <w:r>
        <w:rPr>
          <w:noProof/>
          <w:lang w:eastAsia="en-GB"/>
        </w:rPr>
        <mc:AlternateContent>
          <mc:Choice Requires="wps">
            <w:drawing>
              <wp:anchor distT="0" distB="0" distL="114300" distR="114300" simplePos="0" relativeHeight="251661312" behindDoc="0" locked="0" layoutInCell="1" allowOverlap="1" wp14:anchorId="7CC1D571" wp14:editId="332647A3">
                <wp:simplePos x="0" y="0"/>
                <wp:positionH relativeFrom="column">
                  <wp:posOffset>4518660</wp:posOffset>
                </wp:positionH>
                <wp:positionV relativeFrom="paragraph">
                  <wp:posOffset>865505</wp:posOffset>
                </wp:positionV>
                <wp:extent cx="571500" cy="449580"/>
                <wp:effectExtent l="0" t="0" r="0" b="0"/>
                <wp:wrapNone/>
                <wp:docPr id="7" name="Text Box 7"/>
                <wp:cNvGraphicFramePr/>
                <a:graphic xmlns:a="http://schemas.openxmlformats.org/drawingml/2006/main">
                  <a:graphicData uri="http://schemas.microsoft.com/office/word/2010/wordprocessingShape">
                    <wps:wsp>
                      <wps:cNvSpPr txBox="1"/>
                      <wps:spPr>
                        <a:xfrm>
                          <a:off x="0" y="0"/>
                          <a:ext cx="571500" cy="449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6073D" w:rsidRDefault="0036073D" w:rsidP="0036073D">
                            <w:r>
                              <w:t>DNA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55.8pt;margin-top:68.15pt;width:45pt;height:35.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" filled="f" stroked="f" strokeweight=".5pt">
                <v:textbox style="mso-fit-shape-to-text:t">
                  <w:txbxContent>
                    <w:p w:rsidR="0036073D" w:rsidRDefault="0036073D" w:rsidP="0036073D">
                      <w:r>
                        <w:t>DNA</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0130DBD6" wp14:editId="4A6E6201">
                <wp:simplePos x="0" y="0"/>
                <wp:positionH relativeFrom="column">
                  <wp:posOffset>4198620</wp:posOffset>
                </wp:positionH>
                <wp:positionV relativeFrom="paragraph">
                  <wp:posOffset>1002665</wp:posOffset>
                </wp:positionV>
                <wp:extent cx="365760" cy="76200"/>
                <wp:effectExtent l="0" t="0" r="15240" b="19050"/>
                <wp:wrapNone/>
                <wp:docPr id="11" name="Straight Connector 11"/>
                <wp:cNvGraphicFramePr/>
                <a:graphic xmlns:a="http://schemas.openxmlformats.org/drawingml/2006/main">
                  <a:graphicData uri="http://schemas.microsoft.com/office/word/2010/wordprocessingShape">
                    <wps:wsp>
                      <wps:cNvCnPr/>
                      <wps:spPr>
                        <a:xfrm flipH="1">
                          <a:off x="0" y="0"/>
                          <a:ext cx="365760"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330.6pt,78.95pt" to="359.4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659264" behindDoc="0" locked="0" layoutInCell="1" allowOverlap="1" wp14:anchorId="3D96FD2C" wp14:editId="647B4BE9">
                <wp:simplePos x="0" y="0"/>
                <wp:positionH relativeFrom="column">
                  <wp:posOffset>320040</wp:posOffset>
                </wp:positionH>
                <wp:positionV relativeFrom="paragraph">
                  <wp:posOffset>532130</wp:posOffset>
                </wp:positionV>
                <wp:extent cx="571500" cy="449580"/>
                <wp:effectExtent l="0" t="0" r="0" b="0"/>
                <wp:wrapNone/>
                <wp:docPr id="6" name="Text Box 6"/>
                <wp:cNvGraphicFramePr/>
                <a:graphic xmlns:a="http://schemas.openxmlformats.org/drawingml/2006/main">
                  <a:graphicData uri="http://schemas.microsoft.com/office/word/2010/wordprocessingShape">
                    <wps:wsp>
                      <wps:cNvSpPr txBox="1"/>
                      <wps:spPr>
                        <a:xfrm>
                          <a:off x="0" y="0"/>
                          <a:ext cx="571500" cy="449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6073D" w:rsidRDefault="0036073D" w:rsidP="0036073D">
                            <w:pPr>
                              <w:jc w:val="right"/>
                            </w:pPr>
                            <w:r>
                              <w:t>genes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 o:spid="_x0000_s1027" type="#_x0000_t202" style="position:absolute;left:0;text-align:left;margin-left:25.2pt;margin-top:41.9pt;width:45pt;height:35.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" filled="f" stroked="f" strokeweight=".5pt">
                <v:textbox style="mso-fit-shape-to-text:t">
                  <w:txbxContent>
                    <w:p w:rsidR="0036073D" w:rsidRDefault="0036073D" w:rsidP="0036073D">
                      <w:pPr>
                        <w:jc w:val="right"/>
                      </w:pPr>
                      <w:r>
                        <w:t>genes</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691C1C0F" wp14:editId="766D534C">
                <wp:simplePos x="0" y="0"/>
                <wp:positionH relativeFrom="column">
                  <wp:posOffset>861060</wp:posOffset>
                </wp:positionH>
                <wp:positionV relativeFrom="paragraph">
                  <wp:posOffset>676910</wp:posOffset>
                </wp:positionV>
                <wp:extent cx="259080" cy="68580"/>
                <wp:effectExtent l="0" t="0" r="26670" b="26670"/>
                <wp:wrapNone/>
                <wp:docPr id="10" name="Straight Connector 10"/>
                <wp:cNvGraphicFramePr/>
                <a:graphic xmlns:a="http://schemas.openxmlformats.org/drawingml/2006/main">
                  <a:graphicData uri="http://schemas.microsoft.com/office/word/2010/wordprocessingShape">
                    <wps:wsp>
                      <wps:cNvCnPr/>
                      <wps:spPr>
                        <a:xfrm>
                          <a:off x="0" y="0"/>
                          <a:ext cx="259080"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8pt,53.3pt" to="88.2pt,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" strokecolor="black [3213]" strokeweight="1pt"/>
            </w:pict>
          </mc:Fallback>
        </mc:AlternateContent>
      </w:r>
      <w:r>
        <w:rPr>
          <w:noProof/>
          <w:lang w:eastAsia="en-GB"/>
        </w:rPr>
        <mc:AlternateContent>
          <mc:Choice Requires="wps">
            <w:drawing>
              <wp:anchor distT="0" distB="0" distL="114300" distR="114300" simplePos="0" relativeHeight="251662336" behindDoc="0" locked="0" layoutInCell="1" allowOverlap="1" wp14:anchorId="5B21815F" wp14:editId="2F6CEF9B">
                <wp:simplePos x="0" y="0"/>
                <wp:positionH relativeFrom="column">
                  <wp:posOffset>861060</wp:posOffset>
                </wp:positionH>
                <wp:positionV relativeFrom="paragraph">
                  <wp:posOffset>532130</wp:posOffset>
                </wp:positionV>
                <wp:extent cx="251460" cy="144780"/>
                <wp:effectExtent l="0" t="0" r="15240" b="26670"/>
                <wp:wrapNone/>
                <wp:docPr id="8" name="Straight Connector 8"/>
                <wp:cNvGraphicFramePr/>
                <a:graphic xmlns:a="http://schemas.openxmlformats.org/drawingml/2006/main">
                  <a:graphicData uri="http://schemas.microsoft.com/office/word/2010/wordprocessingShape">
                    <wps:wsp>
                      <wps:cNvCnPr/>
                      <wps:spPr>
                        <a:xfrm flipV="1">
                          <a:off x="0" y="0"/>
                          <a:ext cx="251460" cy="1447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67.8pt,41.9pt" to="87.6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" strokecolor="black [3213]" strokeweight="1pt"/>
            </w:pict>
          </mc:Fallback>
        </mc:AlternateContent>
      </w:r>
      <w:r w:rsidR="0036073D">
        <w:rPr>
          <w:noProof/>
          <w:lang w:eastAsia="en-GB"/>
        </w:rPr>
        <w:drawing>
          <wp:inline distT="0" distB="0" distL="0" distR="0">
            <wp:extent cx="3893820" cy="233892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A to genome_for 98 percent.png"/>
                    <pic:cNvPicPr/>
                  </pic:nvPicPr>
                  <pic:blipFill>
                    <a:blip r:embed="rId8">
                      <a:extLst>
                        <a:ext uri="{28A0092B-C50C-407E-A947-70E740481C1C}">
                          <a14:useLocalDpi xmlns:a14="http://schemas.microsoft.com/office/drawing/2010/main" val="0"/>
                        </a:ext>
                      </a:extLst>
                    </a:blip>
                    <a:stretch>
                      <a:fillRect/>
                    </a:stretch>
                  </pic:blipFill>
                  <pic:spPr>
                    <a:xfrm>
                      <a:off x="0" y="0"/>
                      <a:ext cx="3894173" cy="2339139"/>
                    </a:xfrm>
                    <a:prstGeom prst="rect">
                      <a:avLst/>
                    </a:prstGeom>
                  </pic:spPr>
                </pic:pic>
              </a:graphicData>
            </a:graphic>
          </wp:inline>
        </w:drawing>
      </w:r>
    </w:p>
    <w:p w:rsidR="0036073D" w:rsidRDefault="0036073D" w:rsidP="007401DE">
      <w:pPr>
        <w:rPr>
          <w:highlight w:val="yellow"/>
        </w:rPr>
      </w:pPr>
    </w:p>
    <w:p w:rsidR="00201AC2" w:rsidRDefault="0036073D" w:rsidP="00201AC2">
      <w:pPr>
        <w:spacing w:after="180"/>
      </w:pPr>
      <w:r>
        <w:t>Genes are regions of DNA in your genome.</w:t>
      </w:r>
    </w:p>
    <w:p w:rsidR="0036073D" w:rsidRDefault="0036073D" w:rsidP="00201AC2">
      <w:pPr>
        <w:spacing w:after="180"/>
      </w:pPr>
      <w:r>
        <w:t>Scientists estimate that genes are only about 2% of your genome.</w:t>
      </w:r>
    </w:p>
    <w:p w:rsidR="007C26E1" w:rsidRDefault="007C26E1" w:rsidP="00201AC2">
      <w:pPr>
        <w:spacing w:after="180"/>
      </w:pPr>
    </w:p>
    <w:p w:rsidR="007401DE" w:rsidRDefault="007401DE" w:rsidP="007401DE">
      <w:pPr>
        <w:spacing w:after="180"/>
      </w:pPr>
      <w:r>
        <w:t xml:space="preserve">The table contains statements about </w:t>
      </w:r>
      <w:r>
        <w:t>the other 98% of your genome</w:t>
      </w:r>
      <w:r>
        <w:t xml:space="preserve">. </w:t>
      </w:r>
    </w:p>
    <w:p w:rsidR="007401DE" w:rsidRDefault="007401DE" w:rsidP="007401DE">
      <w:pPr>
        <w:spacing w:after="180"/>
      </w:pPr>
      <w:r>
        <w:t xml:space="preserve">Some of the statements are </w:t>
      </w:r>
      <w:r w:rsidRPr="00D6541B">
        <w:rPr>
          <w:b/>
        </w:rPr>
        <w:t>right</w:t>
      </w:r>
      <w:r>
        <w:t xml:space="preserve"> and some are </w:t>
      </w:r>
      <w:r w:rsidRPr="00D6541B">
        <w:rPr>
          <w:b/>
        </w:rPr>
        <w:t>wrong</w:t>
      </w:r>
      <w:r>
        <w:t>.</w:t>
      </w:r>
    </w:p>
    <w:p w:rsidR="007401DE" w:rsidRDefault="007401DE" w:rsidP="007401DE">
      <w:pPr>
        <w:spacing w:after="120"/>
      </w:pPr>
      <w:r w:rsidRPr="007805CD">
        <w:t xml:space="preserve">Tick </w:t>
      </w:r>
      <w:r w:rsidRPr="00267298">
        <w:rPr>
          <w:b/>
        </w:rPr>
        <w:t>one</w:t>
      </w:r>
      <w:r w:rsidRPr="007805CD">
        <w:t xml:space="preserve"> box </w:t>
      </w:r>
      <w:r>
        <w:t xml:space="preserve">for </w:t>
      </w:r>
      <w:r w:rsidRPr="00267298">
        <w:t>each</w:t>
      </w:r>
      <w:r>
        <w:t xml:space="preserve"> statement.</w:t>
      </w:r>
    </w:p>
    <w:p w:rsidR="007401DE" w:rsidRDefault="007401DE" w:rsidP="007401DE"/>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401DE" w:rsidTr="00936240">
        <w:tc>
          <w:tcPr>
            <w:tcW w:w="4649" w:type="dxa"/>
            <w:gridSpan w:val="2"/>
            <w:vAlign w:val="center"/>
          </w:tcPr>
          <w:p w:rsidR="007401DE" w:rsidRDefault="007401DE" w:rsidP="00A33734">
            <w:pPr>
              <w:spacing w:before="60" w:after="60"/>
            </w:pPr>
            <w:r>
              <w:rPr>
                <w:b/>
              </w:rPr>
              <w:t>Statements</w:t>
            </w:r>
          </w:p>
        </w:tc>
        <w:tc>
          <w:tcPr>
            <w:tcW w:w="1098" w:type="dxa"/>
            <w:vAlign w:val="center"/>
          </w:tcPr>
          <w:p w:rsidR="007401DE" w:rsidRDefault="007401DE" w:rsidP="00A33734">
            <w:pPr>
              <w:spacing w:before="60" w:after="60"/>
              <w:jc w:val="center"/>
            </w:pPr>
            <w:r>
              <w:t xml:space="preserve">I am </w:t>
            </w:r>
            <w:r w:rsidRPr="009269FA">
              <w:rPr>
                <w:b/>
              </w:rPr>
              <w:t>sure</w:t>
            </w:r>
            <w:r>
              <w:t xml:space="preserve"> this is right</w:t>
            </w:r>
          </w:p>
        </w:tc>
        <w:tc>
          <w:tcPr>
            <w:tcW w:w="1099" w:type="dxa"/>
            <w:vAlign w:val="center"/>
          </w:tcPr>
          <w:p w:rsidR="007401DE" w:rsidRDefault="007401DE" w:rsidP="00A33734">
            <w:pPr>
              <w:spacing w:before="60" w:after="60"/>
              <w:jc w:val="center"/>
            </w:pPr>
            <w:r>
              <w:t xml:space="preserve">I </w:t>
            </w:r>
            <w:r w:rsidRPr="009269FA">
              <w:rPr>
                <w:b/>
              </w:rPr>
              <w:t>think</w:t>
            </w:r>
            <w:r>
              <w:t xml:space="preserve"> this is right</w:t>
            </w:r>
          </w:p>
        </w:tc>
        <w:tc>
          <w:tcPr>
            <w:tcW w:w="1098" w:type="dxa"/>
            <w:vAlign w:val="center"/>
          </w:tcPr>
          <w:p w:rsidR="007401DE" w:rsidRDefault="007401DE" w:rsidP="00A33734">
            <w:pPr>
              <w:spacing w:before="60" w:after="60"/>
              <w:jc w:val="center"/>
            </w:pPr>
            <w:r>
              <w:t xml:space="preserve">I </w:t>
            </w:r>
            <w:r w:rsidRPr="009269FA">
              <w:rPr>
                <w:b/>
              </w:rPr>
              <w:t>think</w:t>
            </w:r>
            <w:r>
              <w:t xml:space="preserve"> this is wrong</w:t>
            </w:r>
          </w:p>
        </w:tc>
        <w:tc>
          <w:tcPr>
            <w:tcW w:w="1099" w:type="dxa"/>
            <w:vAlign w:val="center"/>
          </w:tcPr>
          <w:p w:rsidR="007401DE" w:rsidRDefault="007401DE" w:rsidP="00A33734">
            <w:pPr>
              <w:spacing w:before="60" w:after="60"/>
              <w:jc w:val="center"/>
            </w:pPr>
            <w:r>
              <w:t xml:space="preserve">I am </w:t>
            </w:r>
            <w:r w:rsidRPr="009269FA">
              <w:rPr>
                <w:b/>
              </w:rPr>
              <w:t>sure</w:t>
            </w:r>
            <w:r>
              <w:t xml:space="preserve"> this is wrong</w:t>
            </w:r>
          </w:p>
        </w:tc>
      </w:tr>
      <w:tr w:rsidR="007401DE" w:rsidTr="00936240">
        <w:trPr>
          <w:trHeight w:val="907"/>
        </w:trPr>
        <w:tc>
          <w:tcPr>
            <w:tcW w:w="425" w:type="dxa"/>
            <w:vAlign w:val="center"/>
          </w:tcPr>
          <w:p w:rsidR="007401DE" w:rsidRPr="009269FA" w:rsidRDefault="007401DE" w:rsidP="00A33734">
            <w:pPr>
              <w:spacing w:before="60" w:after="60"/>
              <w:jc w:val="center"/>
              <w:rPr>
                <w:b/>
              </w:rPr>
            </w:pPr>
            <w:r w:rsidRPr="009269FA">
              <w:rPr>
                <w:b/>
              </w:rPr>
              <w:t>1</w:t>
            </w:r>
          </w:p>
        </w:tc>
        <w:tc>
          <w:tcPr>
            <w:tcW w:w="4224" w:type="dxa"/>
            <w:vAlign w:val="center"/>
          </w:tcPr>
          <w:p w:rsidR="007401DE" w:rsidRDefault="005E2595" w:rsidP="00936240">
            <w:pPr>
              <w:spacing w:before="60" w:after="60"/>
            </w:pPr>
            <w:r>
              <w:t>C</w:t>
            </w:r>
            <w:r w:rsidRPr="00936240">
              <w:t xml:space="preserve">ells use the information coded in </w:t>
            </w:r>
            <w:r>
              <w:t>the other 98%</w:t>
            </w:r>
            <w:r w:rsidRPr="00936240">
              <w:t xml:space="preserve"> as instructions to make</w:t>
            </w:r>
            <w:r>
              <w:t xml:space="preserve"> proteins.</w:t>
            </w: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r>
      <w:tr w:rsidR="007401DE" w:rsidTr="00936240">
        <w:trPr>
          <w:trHeight w:val="907"/>
        </w:trPr>
        <w:tc>
          <w:tcPr>
            <w:tcW w:w="425" w:type="dxa"/>
            <w:vAlign w:val="center"/>
          </w:tcPr>
          <w:p w:rsidR="007401DE" w:rsidRPr="009269FA" w:rsidRDefault="007401DE" w:rsidP="00A33734">
            <w:pPr>
              <w:spacing w:before="60" w:after="60"/>
              <w:jc w:val="center"/>
              <w:rPr>
                <w:b/>
              </w:rPr>
            </w:pPr>
            <w:r w:rsidRPr="009269FA">
              <w:rPr>
                <w:b/>
              </w:rPr>
              <w:t>2</w:t>
            </w:r>
          </w:p>
        </w:tc>
        <w:tc>
          <w:tcPr>
            <w:tcW w:w="4224" w:type="dxa"/>
            <w:vAlign w:val="center"/>
          </w:tcPr>
          <w:p w:rsidR="007401DE" w:rsidRDefault="00C23FD8" w:rsidP="00936240">
            <w:pPr>
              <w:spacing w:before="60" w:after="60"/>
            </w:pPr>
            <w:r>
              <w:t>It’s just junk.</w:t>
            </w: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r>
      <w:tr w:rsidR="007401DE" w:rsidTr="00936240">
        <w:trPr>
          <w:trHeight w:val="907"/>
        </w:trPr>
        <w:tc>
          <w:tcPr>
            <w:tcW w:w="425" w:type="dxa"/>
            <w:vAlign w:val="center"/>
          </w:tcPr>
          <w:p w:rsidR="007401DE" w:rsidRPr="009269FA" w:rsidRDefault="007401DE" w:rsidP="00A33734">
            <w:pPr>
              <w:spacing w:before="60" w:after="60"/>
              <w:jc w:val="center"/>
              <w:rPr>
                <w:b/>
              </w:rPr>
            </w:pPr>
            <w:r w:rsidRPr="009269FA">
              <w:rPr>
                <w:b/>
              </w:rPr>
              <w:t>3</w:t>
            </w:r>
          </w:p>
        </w:tc>
        <w:tc>
          <w:tcPr>
            <w:tcW w:w="4224" w:type="dxa"/>
            <w:vAlign w:val="center"/>
          </w:tcPr>
          <w:p w:rsidR="007401DE" w:rsidRDefault="005E2595" w:rsidP="00936240">
            <w:pPr>
              <w:spacing w:before="60" w:after="60"/>
            </w:pPr>
            <w:r>
              <w:t>C</w:t>
            </w:r>
            <w:r w:rsidRPr="00936240">
              <w:t xml:space="preserve">ells use the information coded in </w:t>
            </w:r>
            <w:r>
              <w:t>the other 98%</w:t>
            </w:r>
            <w:r w:rsidRPr="00936240">
              <w:t xml:space="preserve"> </w:t>
            </w:r>
            <w:r>
              <w:t>to control when genes are used.</w:t>
            </w: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r>
      <w:tr w:rsidR="007401DE" w:rsidTr="00936240">
        <w:trPr>
          <w:trHeight w:val="907"/>
        </w:trPr>
        <w:tc>
          <w:tcPr>
            <w:tcW w:w="425" w:type="dxa"/>
            <w:vAlign w:val="center"/>
          </w:tcPr>
          <w:p w:rsidR="007401DE" w:rsidRPr="009269FA" w:rsidRDefault="007401DE" w:rsidP="00A33734">
            <w:pPr>
              <w:spacing w:before="60" w:after="60"/>
              <w:jc w:val="center"/>
              <w:rPr>
                <w:b/>
              </w:rPr>
            </w:pPr>
            <w:r w:rsidRPr="009269FA">
              <w:rPr>
                <w:b/>
              </w:rPr>
              <w:t>4</w:t>
            </w:r>
          </w:p>
        </w:tc>
        <w:tc>
          <w:tcPr>
            <w:tcW w:w="4224" w:type="dxa"/>
            <w:vAlign w:val="center"/>
          </w:tcPr>
          <w:p w:rsidR="007401DE" w:rsidRDefault="005E2595" w:rsidP="00A33734">
            <w:pPr>
              <w:spacing w:before="60" w:after="60"/>
            </w:pPr>
            <w:r>
              <w:t>The informati</w:t>
            </w:r>
            <w:r w:rsidR="005329BD">
              <w:t>on coded in the other 98% can</w:t>
            </w:r>
            <w:r>
              <w:t xml:space="preserve"> affect our characteristics.</w:t>
            </w: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c>
          <w:tcPr>
            <w:tcW w:w="1098" w:type="dxa"/>
            <w:vAlign w:val="center"/>
          </w:tcPr>
          <w:p w:rsidR="007401DE" w:rsidRDefault="007401DE" w:rsidP="00A33734">
            <w:pPr>
              <w:spacing w:before="60" w:after="60"/>
              <w:jc w:val="center"/>
            </w:pPr>
          </w:p>
        </w:tc>
        <w:tc>
          <w:tcPr>
            <w:tcW w:w="1099" w:type="dxa"/>
            <w:vAlign w:val="center"/>
          </w:tcPr>
          <w:p w:rsidR="007401DE" w:rsidRDefault="007401DE" w:rsidP="00A33734">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5310FD" w:rsidP="006F3279">
      <w:pPr>
        <w:spacing w:after="240"/>
        <w:rPr>
          <w:i/>
          <w:sz w:val="18"/>
          <w:szCs w:val="18"/>
        </w:rPr>
      </w:pPr>
      <w:r w:rsidRPr="005310FD">
        <w:rPr>
          <w:i/>
          <w:sz w:val="18"/>
          <w:szCs w:val="18"/>
        </w:rPr>
        <w:lastRenderedPageBreak/>
        <w:t>Biology&gt; Big idea BHL: Heredity and life cycles &gt; Topic BHL1: Inheritance and the genome &gt; Key concept BHL1.2: 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30BAE" w:rsidP="006F3279">
            <w:pPr>
              <w:spacing w:after="60"/>
              <w:ind w:left="1304"/>
              <w:rPr>
                <w:b/>
                <w:sz w:val="40"/>
                <w:szCs w:val="40"/>
              </w:rPr>
            </w:pPr>
            <w:r w:rsidRPr="00F30BAE">
              <w:rPr>
                <w:b/>
                <w:sz w:val="40"/>
                <w:szCs w:val="40"/>
              </w:rPr>
              <w:t>The other 98%</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5310FD" w:rsidP="0007651D">
            <w:pPr>
              <w:spacing w:before="60" w:after="60"/>
            </w:pPr>
            <w:r w:rsidRPr="005310FD">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310FD" w:rsidP="0007651D">
            <w:pPr>
              <w:spacing w:before="60" w:after="60"/>
              <w:rPr>
                <w:b/>
              </w:rPr>
            </w:pPr>
            <w:r w:rsidRPr="005310FD">
              <w:t>Apply the idea that cells use the information stored in other regions of the genome to control when genes are used.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5310FD" w:rsidP="0021607B">
            <w:pPr>
              <w:spacing w:before="60" w:after="60"/>
            </w:pPr>
            <w:r w:rsidRPr="005310FD">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310FD" w:rsidP="000505CA">
            <w:pPr>
              <w:spacing w:before="60" w:after="60"/>
            </w:pPr>
            <w:r>
              <w:t>genome</w:t>
            </w:r>
          </w:p>
        </w:tc>
      </w:tr>
    </w:tbl>
    <w:p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B305F5">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5B372A" w:rsidRDefault="00F72ECC" w:rsidP="00AD59C9">
            <w:pPr>
              <w:spacing w:after="60"/>
              <w:rPr>
                <w:color w:val="538135"/>
                <w:sz w:val="20"/>
              </w:rPr>
            </w:pPr>
            <w:r w:rsidRPr="005B372A">
              <w:rPr>
                <w:b/>
                <w:color w:val="538135"/>
              </w:rPr>
              <w:t xml:space="preserve">BRIDGING </w:t>
            </w:r>
          </w:p>
          <w:p w:rsidR="00F72ECC" w:rsidRDefault="00F72ECC" w:rsidP="00C30819">
            <w:r w:rsidRPr="00F72ECC">
              <w:rPr>
                <w:sz w:val="20"/>
              </w:rPr>
              <w:t>This</w:t>
            </w:r>
            <w:r w:rsidR="007C26E1">
              <w:rPr>
                <w:sz w:val="20"/>
              </w:rPr>
              <w:t xml:space="preserve"> diagnostic</w:t>
            </w:r>
            <w:r w:rsidRPr="00F72ECC">
              <w:rPr>
                <w:sz w:val="20"/>
              </w:rPr>
              <w:t xml:space="preserve"> </w:t>
            </w:r>
            <w:r w:rsidR="00C30819">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C23FD8" w:rsidP="0050055B">
      <w:pPr>
        <w:spacing w:after="180"/>
      </w:pPr>
      <w:r>
        <w:t xml:space="preserve">Defined simply, the genome is the entire DNA of an organism. Recent estimates suggest that genes (“coding” regions of DNA whose sequences encode the order in which amino acids are joined together to make proteins) make up less than 2% of the DNA in the genome </w:t>
      </w:r>
      <w:r>
        <w:fldChar w:fldCharType="begin"/>
      </w:r>
      <w:r>
        <w:instrText xml:space="preserve"> ADDIN EN.CITE &lt;EndNote&gt;&lt;Cite&gt;&lt;Author&gt;Pennisi&lt;/Author&gt;&lt;Year&gt;2007&lt;/Year&gt;&lt;IDText&gt;DNA study forces rethink of what it means to be a gene&lt;/IDText&gt;&lt;DisplayText&gt;(Pennisi, 2007)&lt;/DisplayText&gt;&lt;record&gt;&lt;titles&gt;&lt;title&gt;DNA study forces rethink of what it means to be a gene&lt;/title&gt;&lt;secondary-title&gt;Science&lt;/secondary-title&gt;&lt;/titles&gt;&lt;pages&gt;1556-1557&lt;/pages&gt;&lt;number&gt;5831&lt;/number&gt;&lt;contributors&gt;&lt;authors&gt;&lt;author&gt;Pennisi, Elizabeth&lt;/author&gt;&lt;/authors&gt;&lt;/contributors&gt;&lt;added-date format="utc"&gt;1544611283&lt;/added-date&gt;&lt;ref-type name="Journal Article"&gt;17&lt;/ref-type&gt;&lt;dates&gt;&lt;year&gt;2007&lt;/year&gt;&lt;/dates&gt;&lt;rec-number&gt;8507&lt;/rec-number&gt;&lt;last-updated-date format="utc"&gt;1544611363&lt;/last-updated-date&gt;&lt;volume&gt;316&lt;/volume&gt;&lt;/record&gt;&lt;/Cite&gt;&lt;/EndNote&gt;</w:instrText>
      </w:r>
      <w:r>
        <w:fldChar w:fldCharType="separate"/>
      </w:r>
      <w:r>
        <w:rPr>
          <w:noProof/>
        </w:rPr>
        <w:t>(Pennisi, 2007)</w:t>
      </w:r>
      <w:r>
        <w:fldChar w:fldCharType="end"/>
      </w:r>
      <w:r>
        <w:t>; up to 80% of the remaining “non-coding” DNA – historically mischaracterised as “junk” – is important in controlling gene expression (how and when genes are used to make proteins). Most heritable traits are affected by multiple regions of coding and non-coding DNA.</w:t>
      </w:r>
    </w:p>
    <w:p w:rsidR="00C23FD8" w:rsidRDefault="00C23FD8" w:rsidP="0050055B">
      <w:pPr>
        <w:spacing w:after="180"/>
      </w:pPr>
      <w:r>
        <w:t xml:space="preserve">Science education researchers have acknowledged that we live in a genomic era. The genomes of humans and many other organisms have been sequenced, and the study of the functions and importance of genes has broadened to whole genomes. Teaching and learning about inheritance and genetics at school must aim to prepare students to live and work in the genomic era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w:t>
      </w:r>
    </w:p>
    <w:p w:rsidR="00C23FD8" w:rsidRDefault="00C23FD8" w:rsidP="0050055B">
      <w:pPr>
        <w:spacing w:after="180"/>
      </w:pPr>
      <w:r>
        <w:t xml:space="preserve">Up to the age of 14, a useful approach may be to embed ‘pro-genomics’ and ‘pre-genomics’ practices – for example, use of language and concepts that dispose students to thinking about whole genomes rather than just genes, and that represent the first steps on a learning progression that will enable fuller understanding of genomics to be built later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23FD8" w:rsidRDefault="00C23FD8" w:rsidP="00C23FD8">
      <w:pPr>
        <w:spacing w:after="120"/>
      </w:pPr>
      <w:r>
        <w:t xml:space="preserve">Students should complete the confidence grid individually. This could be a pencil and paper exercise, or you could use the presentation with an electronic voting system or mini white boards. </w:t>
      </w:r>
    </w:p>
    <w:p w:rsidR="00C23FD8" w:rsidRPr="00934C98" w:rsidRDefault="00C23FD8" w:rsidP="00C23FD8">
      <w:pPr>
        <w:spacing w:after="120"/>
        <w:rPr>
          <w:i/>
        </w:rPr>
      </w:pPr>
      <w:r w:rsidRPr="00934C98">
        <w:rPr>
          <w:i/>
        </w:rPr>
        <w:t>Differentiation</w:t>
      </w:r>
    </w:p>
    <w:p w:rsidR="00FD60D7" w:rsidRPr="00C54711" w:rsidRDefault="00C23FD8" w:rsidP="00C23FD8">
      <w:pPr>
        <w:spacing w:after="18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203332" w:rsidRDefault="00203332" w:rsidP="00026DEC">
      <w:pPr>
        <w:spacing w:after="180"/>
        <w:rPr>
          <w:b/>
          <w:color w:val="538135"/>
          <w:sz w:val="24"/>
        </w:rPr>
      </w:pPr>
    </w:p>
    <w:p w:rsidR="00E172C6" w:rsidRPr="005B372A" w:rsidRDefault="00BB44B4" w:rsidP="00026DEC">
      <w:pPr>
        <w:spacing w:after="180"/>
        <w:rPr>
          <w:b/>
          <w:color w:val="538135"/>
          <w:sz w:val="24"/>
        </w:rPr>
      </w:pPr>
      <w:r w:rsidRPr="005B372A">
        <w:rPr>
          <w:b/>
          <w:color w:val="538135"/>
          <w:sz w:val="24"/>
        </w:rPr>
        <w:t>Expected answers</w:t>
      </w:r>
    </w:p>
    <w:p w:rsidR="00203332" w:rsidRDefault="00203332" w:rsidP="00E455F3">
      <w:pPr>
        <w:pStyle w:val="ListParagraph"/>
        <w:numPr>
          <w:ilvl w:val="0"/>
          <w:numId w:val="4"/>
        </w:numPr>
        <w:spacing w:after="180"/>
        <w:ind w:left="426"/>
      </w:pPr>
      <w:r>
        <w:t>Cells use the information coded in the other 98% a</w:t>
      </w:r>
      <w:r>
        <w:t xml:space="preserve">s instructions to make proteins – </w:t>
      </w:r>
      <w:r w:rsidRPr="00203332">
        <w:rPr>
          <w:b/>
        </w:rPr>
        <w:t>wrong</w:t>
      </w:r>
      <w:r>
        <w:t xml:space="preserve"> </w:t>
      </w:r>
      <w:r w:rsidR="00E455F3">
        <w:t>(</w:t>
      </w:r>
      <w:r w:rsidR="00E455F3" w:rsidRPr="00E455F3">
        <w:t xml:space="preserve">the information coded in </w:t>
      </w:r>
      <w:r w:rsidR="00E455F3">
        <w:t xml:space="preserve">genes – </w:t>
      </w:r>
      <w:r w:rsidR="00E455F3" w:rsidRPr="00E455F3">
        <w:t xml:space="preserve">the </w:t>
      </w:r>
      <w:r w:rsidR="00E455F3">
        <w:t>2</w:t>
      </w:r>
      <w:r w:rsidR="00E455F3" w:rsidRPr="00E455F3">
        <w:t xml:space="preserve">% </w:t>
      </w:r>
      <w:r w:rsidR="00E455F3">
        <w:t>–</w:t>
      </w:r>
      <w:r w:rsidR="00E455F3">
        <w:t xml:space="preserve"> is used </w:t>
      </w:r>
      <w:r w:rsidR="00E455F3" w:rsidRPr="00E455F3">
        <w:t>as instructions to make proteins</w:t>
      </w:r>
      <w:r w:rsidR="00E455F3">
        <w:t>)</w:t>
      </w:r>
    </w:p>
    <w:p w:rsidR="00203332" w:rsidRDefault="00203332" w:rsidP="00E455F3">
      <w:pPr>
        <w:pStyle w:val="ListParagraph"/>
        <w:numPr>
          <w:ilvl w:val="0"/>
          <w:numId w:val="4"/>
        </w:numPr>
        <w:spacing w:after="180"/>
        <w:ind w:left="426"/>
      </w:pPr>
      <w:r>
        <w:t xml:space="preserve">It’s just junk – </w:t>
      </w:r>
      <w:r w:rsidRPr="00203332">
        <w:rPr>
          <w:b/>
        </w:rPr>
        <w:t>wrong</w:t>
      </w:r>
      <w:r>
        <w:t xml:space="preserve"> </w:t>
      </w:r>
      <w:r w:rsidR="00E455F3">
        <w:t>(</w:t>
      </w:r>
      <w:r w:rsidR="00801ABD">
        <w:t xml:space="preserve">up to 80% of </w:t>
      </w:r>
      <w:r w:rsidR="00801ABD">
        <w:t xml:space="preserve">it </w:t>
      </w:r>
      <w:r w:rsidR="00801ABD">
        <w:t>is important in controlling gene expression</w:t>
      </w:r>
      <w:r w:rsidR="00801ABD">
        <w:t xml:space="preserve"> – i.e. </w:t>
      </w:r>
      <w:r w:rsidR="00801ABD">
        <w:t xml:space="preserve">how and when </w:t>
      </w:r>
      <w:r w:rsidR="00801ABD">
        <w:t>genes are used to make proteins</w:t>
      </w:r>
      <w:bookmarkStart w:id="0" w:name="_GoBack"/>
      <w:bookmarkEnd w:id="0"/>
      <w:r w:rsidR="00E455F3">
        <w:t>)</w:t>
      </w:r>
    </w:p>
    <w:p w:rsidR="00203332" w:rsidRDefault="00203332" w:rsidP="00E455F3">
      <w:pPr>
        <w:pStyle w:val="ListParagraph"/>
        <w:numPr>
          <w:ilvl w:val="0"/>
          <w:numId w:val="4"/>
        </w:numPr>
        <w:spacing w:after="180"/>
        <w:ind w:left="426"/>
      </w:pPr>
      <w:r>
        <w:t>Cells use the information coded in the other 98%</w:t>
      </w:r>
      <w:r>
        <w:t xml:space="preserve"> to control when genes are used – </w:t>
      </w:r>
      <w:r w:rsidRPr="00203332">
        <w:rPr>
          <w:b/>
        </w:rPr>
        <w:t>right</w:t>
      </w:r>
      <w:r>
        <w:t xml:space="preserve"> </w:t>
      </w:r>
    </w:p>
    <w:p w:rsidR="00BF6C8A" w:rsidRDefault="00203332" w:rsidP="00E455F3">
      <w:pPr>
        <w:pStyle w:val="ListParagraph"/>
        <w:numPr>
          <w:ilvl w:val="0"/>
          <w:numId w:val="4"/>
        </w:numPr>
        <w:spacing w:after="180"/>
        <w:ind w:left="426"/>
      </w:pPr>
      <w:r>
        <w:t>The information coded in the other 98%</w:t>
      </w:r>
      <w:r>
        <w:t xml:space="preserve"> can affect our characteristics – </w:t>
      </w:r>
      <w:r w:rsidRPr="00203332">
        <w:rPr>
          <w:b/>
        </w:rPr>
        <w:t>right</w:t>
      </w:r>
      <w:r>
        <w:t xml:space="preserve">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C23FD8" w:rsidRDefault="00C23FD8" w:rsidP="00C23FD8">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286553" w:rsidRDefault="00C23FD8" w:rsidP="00B24F62">
      <w:pPr>
        <w:spacing w:after="180"/>
      </w:pPr>
      <w:r w:rsidRPr="00286553">
        <w:t xml:space="preserve">Researchers have used constructivist approaches that enable students to build their own explanations of the structure and function of DNA and the genome, which may help to develop students’ understanding and overcome misconceptions, including the use of group discussions </w:t>
      </w:r>
      <w:r w:rsidRPr="00286553">
        <w:fldChar w:fldCharType="begin"/>
      </w:r>
      <w:r w:rsidRPr="00286553">
        <w:instrText xml:space="preserve"> ADDIN EN.CITE &lt;EndNote&gt;&lt;Cite&gt;&lt;Author&gt;Lewis&lt;/Author&gt;&lt;Year&gt;2004&lt;/Year&gt;&lt;IDText&gt;Traits, genes, particles and information: re-visiting students&amp;apos; understandings of genetics&lt;/IDText&gt;&lt;Prefix&gt;e.g. &lt;/Prefix&gt;&lt;DisplayText&gt;(e.g. Lewis and Kattmann, 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Pr="00286553">
        <w:fldChar w:fldCharType="separate"/>
      </w:r>
      <w:r w:rsidRPr="00286553">
        <w:rPr>
          <w:noProof/>
        </w:rPr>
        <w:t>(e.g. Lewis and Kattmann, 2004)</w:t>
      </w:r>
      <w:r w:rsidRPr="00286553">
        <w:fldChar w:fldCharType="end"/>
      </w:r>
      <w:r w:rsidRPr="00286553">
        <w:t>.</w:t>
      </w:r>
      <w:r w:rsidRPr="00286553">
        <w:t xml:space="preserve"> </w:t>
      </w:r>
      <w:r w:rsidR="00B24F62" w:rsidRPr="00286553">
        <w:t xml:space="preserve">If students have </w:t>
      </w:r>
      <w:r w:rsidR="00AE3075" w:rsidRPr="00286553">
        <w:t>misunderstanding</w:t>
      </w:r>
      <w:r w:rsidR="00B24F62" w:rsidRPr="00286553">
        <w:t xml:space="preserve">s about </w:t>
      </w:r>
      <w:r w:rsidRPr="00286553">
        <w:t xml:space="preserve">how genes (coding regions) and non-coding regions of the genome are used by cells, it may be helpful to think in terms of metaphors related to everyday </w:t>
      </w:r>
      <w:r w:rsidR="00286553" w:rsidRPr="00286553">
        <w:t>concepts.</w:t>
      </w:r>
      <w:r w:rsidRPr="00286553">
        <w:t xml:space="preserve"> </w:t>
      </w:r>
      <w:r w:rsidR="00B24F62" w:rsidRPr="00286553">
        <w:t xml:space="preserve">The following BEST ‘response </w:t>
      </w:r>
      <w:r w:rsidR="00286553" w:rsidRPr="00286553">
        <w:t>activity</w:t>
      </w:r>
      <w:r w:rsidR="00B24F62" w:rsidRPr="00286553">
        <w:t xml:space="preserve">’ </w:t>
      </w:r>
      <w:r w:rsidR="00286553" w:rsidRPr="00286553">
        <w:t xml:space="preserve">challenges students, in groups, to describe how different regions of the genome work together, and </w:t>
      </w:r>
      <w:r w:rsidR="00B24F62" w:rsidRPr="00286553">
        <w:t xml:space="preserve">could be used in </w:t>
      </w:r>
      <w:r w:rsidR="00286553" w:rsidRPr="00286553">
        <w:t>response</w:t>
      </w:r>
      <w:r w:rsidR="00B24F62" w:rsidRPr="00286553">
        <w:t xml:space="preserve"> to this diagnostic question:</w:t>
      </w:r>
    </w:p>
    <w:p w:rsidR="00B24F62" w:rsidRPr="00286553" w:rsidRDefault="00B24F62" w:rsidP="00B24F62">
      <w:pPr>
        <w:pStyle w:val="ListParagraph"/>
        <w:numPr>
          <w:ilvl w:val="0"/>
          <w:numId w:val="1"/>
        </w:numPr>
        <w:spacing w:after="180"/>
      </w:pPr>
      <w:r w:rsidRPr="00286553">
        <w:t xml:space="preserve">Response </w:t>
      </w:r>
      <w:r w:rsidR="00641E99" w:rsidRPr="00286553">
        <w:t>activity</w:t>
      </w:r>
      <w:r w:rsidR="00286553">
        <w:t>: Genome journalist</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23FD8">
        <w:t>Alistair Moore</w:t>
      </w:r>
      <w:r w:rsidR="0015356E">
        <w:t xml:space="preserve"> (UYSEG)</w:t>
      </w:r>
      <w:r>
        <w:t>.</w:t>
      </w:r>
    </w:p>
    <w:p w:rsidR="00CC78A5" w:rsidRDefault="00D278E8" w:rsidP="00E172C6">
      <w:pPr>
        <w:spacing w:after="180"/>
      </w:pPr>
      <w:r w:rsidRPr="0045323E">
        <w:t xml:space="preserve">Images: </w:t>
      </w:r>
      <w:r w:rsidR="00C23FD8">
        <w:t xml:space="preserve">adapted by UYSEG from </w:t>
      </w:r>
      <w:r w:rsidR="00C23FD8" w:rsidRPr="00A55D21">
        <w:t>pixabay.com/OpenClipart-Vectors (156404)</w:t>
      </w:r>
    </w:p>
    <w:p w:rsidR="00B46FF9" w:rsidRDefault="003117F6" w:rsidP="00E24309">
      <w:pPr>
        <w:spacing w:after="180"/>
        <w:rPr>
          <w:b/>
          <w:color w:val="538135"/>
          <w:sz w:val="24"/>
        </w:rPr>
      </w:pPr>
      <w:r w:rsidRPr="005B372A">
        <w:rPr>
          <w:b/>
          <w:color w:val="538135"/>
          <w:sz w:val="24"/>
        </w:rPr>
        <w:t>References</w:t>
      </w:r>
    </w:p>
    <w:p w:rsidR="00C23FD8" w:rsidRPr="00C23FD8" w:rsidRDefault="00C23FD8" w:rsidP="00C23FD8">
      <w:pPr>
        <w:pStyle w:val="EndNoteBibliography"/>
        <w:spacing w:after="120"/>
        <w:rPr>
          <w:sz w:val="20"/>
          <w:szCs w:val="20"/>
        </w:rPr>
      </w:pPr>
      <w:r w:rsidRPr="00C23FD8">
        <w:rPr>
          <w:sz w:val="20"/>
          <w:szCs w:val="20"/>
        </w:rPr>
        <w:fldChar w:fldCharType="begin"/>
      </w:r>
      <w:r w:rsidRPr="00C23FD8">
        <w:rPr>
          <w:sz w:val="20"/>
          <w:szCs w:val="20"/>
        </w:rPr>
        <w:instrText xml:space="preserve"> ADDIN EN.REFLIST </w:instrText>
      </w:r>
      <w:r w:rsidRPr="00C23FD8">
        <w:rPr>
          <w:sz w:val="20"/>
          <w:szCs w:val="20"/>
        </w:rPr>
        <w:fldChar w:fldCharType="separate"/>
      </w:r>
      <w:r w:rsidRPr="00C23FD8">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C23FD8" w:rsidRPr="00C23FD8" w:rsidRDefault="00C23FD8" w:rsidP="00C23FD8">
      <w:pPr>
        <w:pStyle w:val="EndNoteBibliography"/>
        <w:spacing w:after="120"/>
        <w:rPr>
          <w:sz w:val="20"/>
          <w:szCs w:val="20"/>
        </w:rPr>
      </w:pPr>
      <w:r w:rsidRPr="00C23FD8">
        <w:rPr>
          <w:sz w:val="20"/>
          <w:szCs w:val="20"/>
        </w:rPr>
        <w:t xml:space="preserve">Lewis, J. and Kattmann, U. (2004). Traits, genes, particles and information: re-visiting students' understandings of genetics. </w:t>
      </w:r>
      <w:r w:rsidRPr="00C23FD8">
        <w:rPr>
          <w:i/>
          <w:sz w:val="20"/>
          <w:szCs w:val="20"/>
        </w:rPr>
        <w:t>International Journal of Science Education,</w:t>
      </w:r>
      <w:r w:rsidRPr="00C23FD8">
        <w:rPr>
          <w:sz w:val="20"/>
          <w:szCs w:val="20"/>
        </w:rPr>
        <w:t xml:space="preserve"> 26(2)</w:t>
      </w:r>
      <w:r w:rsidRPr="00C23FD8">
        <w:rPr>
          <w:b/>
          <w:sz w:val="20"/>
          <w:szCs w:val="20"/>
        </w:rPr>
        <w:t>,</w:t>
      </w:r>
      <w:r w:rsidRPr="00C23FD8">
        <w:rPr>
          <w:sz w:val="20"/>
          <w:szCs w:val="20"/>
        </w:rPr>
        <w:t xml:space="preserve"> 195-206.</w:t>
      </w:r>
    </w:p>
    <w:p w:rsidR="00C23FD8" w:rsidRPr="00C23FD8" w:rsidRDefault="00C23FD8" w:rsidP="00C23FD8">
      <w:pPr>
        <w:pStyle w:val="EndNoteBibliography"/>
        <w:spacing w:after="120"/>
        <w:rPr>
          <w:sz w:val="20"/>
          <w:szCs w:val="20"/>
        </w:rPr>
      </w:pPr>
      <w:r w:rsidRPr="00C23FD8">
        <w:rPr>
          <w:sz w:val="20"/>
          <w:szCs w:val="20"/>
        </w:rPr>
        <w:t xml:space="preserve">Pennisi, E. (2007). DNA study forces rethink of what it means to be a gene. </w:t>
      </w:r>
      <w:r w:rsidRPr="00C23FD8">
        <w:rPr>
          <w:i/>
          <w:sz w:val="20"/>
          <w:szCs w:val="20"/>
        </w:rPr>
        <w:t>Science,</w:t>
      </w:r>
      <w:r w:rsidRPr="00C23FD8">
        <w:rPr>
          <w:sz w:val="20"/>
          <w:szCs w:val="20"/>
        </w:rPr>
        <w:t xml:space="preserve"> 316(5831)</w:t>
      </w:r>
      <w:r w:rsidRPr="00C23FD8">
        <w:rPr>
          <w:b/>
          <w:sz w:val="20"/>
          <w:szCs w:val="20"/>
        </w:rPr>
        <w:t>,</w:t>
      </w:r>
      <w:r w:rsidRPr="00C23FD8">
        <w:rPr>
          <w:sz w:val="20"/>
          <w:szCs w:val="20"/>
        </w:rPr>
        <w:t xml:space="preserve"> 1556-1557.</w:t>
      </w:r>
    </w:p>
    <w:p w:rsidR="00C23FD8" w:rsidRPr="00C23FD8" w:rsidRDefault="00C23FD8" w:rsidP="00C23FD8">
      <w:pPr>
        <w:pStyle w:val="EndNoteBibliography"/>
        <w:spacing w:after="120"/>
        <w:rPr>
          <w:sz w:val="20"/>
          <w:szCs w:val="20"/>
        </w:rPr>
      </w:pPr>
      <w:r w:rsidRPr="00C23FD8">
        <w:rPr>
          <w:sz w:val="20"/>
          <w:szCs w:val="20"/>
        </w:rPr>
        <w:t xml:space="preserve">Stern, F. and Kampourakis, K. (2017). Teaching for genetics literacy in the post-genomic era. </w:t>
      </w:r>
      <w:r w:rsidRPr="00C23FD8">
        <w:rPr>
          <w:i/>
          <w:sz w:val="20"/>
          <w:szCs w:val="20"/>
        </w:rPr>
        <w:t>Studies in Science Education,</w:t>
      </w:r>
      <w:r w:rsidRPr="00C23FD8">
        <w:rPr>
          <w:sz w:val="20"/>
          <w:szCs w:val="20"/>
        </w:rPr>
        <w:t xml:space="preserve"> 53(2)</w:t>
      </w:r>
      <w:r w:rsidRPr="00C23FD8">
        <w:rPr>
          <w:b/>
          <w:sz w:val="20"/>
          <w:szCs w:val="20"/>
        </w:rPr>
        <w:t>,</w:t>
      </w:r>
      <w:r w:rsidRPr="00C23FD8">
        <w:rPr>
          <w:sz w:val="20"/>
          <w:szCs w:val="20"/>
        </w:rPr>
        <w:t xml:space="preserve"> 193-225.</w:t>
      </w:r>
    </w:p>
    <w:p w:rsidR="005B372A" w:rsidRPr="005B372A" w:rsidRDefault="00C23FD8" w:rsidP="00C23FD8">
      <w:pPr>
        <w:spacing w:after="120"/>
      </w:pPr>
      <w:r w:rsidRPr="00C23FD8">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BAE" w:rsidRDefault="00F30BAE" w:rsidP="000B473B">
      <w:r>
        <w:separator/>
      </w:r>
    </w:p>
  </w:endnote>
  <w:endnote w:type="continuationSeparator" w:id="0">
    <w:p w:rsidR="00F30BAE" w:rsidRDefault="00F30BA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01AB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BAE" w:rsidRDefault="00F30BAE" w:rsidP="000B473B">
      <w:r>
        <w:separator/>
      </w:r>
    </w:p>
  </w:footnote>
  <w:footnote w:type="continuationSeparator" w:id="0">
    <w:p w:rsidR="00F30BAE" w:rsidRDefault="00F30BAE"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6970BA"/>
    <w:multiLevelType w:val="hybridMultilevel"/>
    <w:tmpl w:val="AA4C9E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30BAE"/>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03332"/>
    <w:rsid w:val="00214608"/>
    <w:rsid w:val="0021607B"/>
    <w:rsid w:val="002178AC"/>
    <w:rsid w:val="0022547C"/>
    <w:rsid w:val="0025410A"/>
    <w:rsid w:val="0027553E"/>
    <w:rsid w:val="0028012F"/>
    <w:rsid w:val="002828DF"/>
    <w:rsid w:val="00286553"/>
    <w:rsid w:val="00287876"/>
    <w:rsid w:val="00292C53"/>
    <w:rsid w:val="00294E22"/>
    <w:rsid w:val="002C22EA"/>
    <w:rsid w:val="002C59BA"/>
    <w:rsid w:val="00301AA9"/>
    <w:rsid w:val="003117F6"/>
    <w:rsid w:val="003533B8"/>
    <w:rsid w:val="0036073D"/>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310FD"/>
    <w:rsid w:val="005329BD"/>
    <w:rsid w:val="00555342"/>
    <w:rsid w:val="005560E2"/>
    <w:rsid w:val="005A452E"/>
    <w:rsid w:val="005A6EE7"/>
    <w:rsid w:val="005B372A"/>
    <w:rsid w:val="005E2595"/>
    <w:rsid w:val="005F1A7B"/>
    <w:rsid w:val="006355D8"/>
    <w:rsid w:val="00641E99"/>
    <w:rsid w:val="00642ECD"/>
    <w:rsid w:val="006502A0"/>
    <w:rsid w:val="006772F5"/>
    <w:rsid w:val="006A4440"/>
    <w:rsid w:val="006B0615"/>
    <w:rsid w:val="006D166B"/>
    <w:rsid w:val="006F3279"/>
    <w:rsid w:val="00704AEE"/>
    <w:rsid w:val="00722F9A"/>
    <w:rsid w:val="007401DE"/>
    <w:rsid w:val="00754539"/>
    <w:rsid w:val="00781BC6"/>
    <w:rsid w:val="007A3C86"/>
    <w:rsid w:val="007A683E"/>
    <w:rsid w:val="007A748B"/>
    <w:rsid w:val="007C26E1"/>
    <w:rsid w:val="007D1D65"/>
    <w:rsid w:val="007E0A9E"/>
    <w:rsid w:val="007E5309"/>
    <w:rsid w:val="00800DE1"/>
    <w:rsid w:val="00801ABD"/>
    <w:rsid w:val="00813F47"/>
    <w:rsid w:val="008450D6"/>
    <w:rsid w:val="00856FCA"/>
    <w:rsid w:val="00873B8C"/>
    <w:rsid w:val="00880E3B"/>
    <w:rsid w:val="008A405F"/>
    <w:rsid w:val="008C7F34"/>
    <w:rsid w:val="008E580C"/>
    <w:rsid w:val="0090047A"/>
    <w:rsid w:val="00925026"/>
    <w:rsid w:val="00931264"/>
    <w:rsid w:val="00936240"/>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3FD8"/>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455F3"/>
    <w:rsid w:val="00E53D82"/>
    <w:rsid w:val="00E9330A"/>
    <w:rsid w:val="00EE6B97"/>
    <w:rsid w:val="00F12C3B"/>
    <w:rsid w:val="00F26884"/>
    <w:rsid w:val="00F30BAE"/>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23FD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23FD8"/>
    <w:rPr>
      <w:rFonts w:ascii="Calibri" w:hAnsi="Calibri" w:cs="Calibri"/>
      <w:noProof/>
      <w:lang w:val="en-US"/>
    </w:rPr>
  </w:style>
  <w:style w:type="paragraph" w:customStyle="1" w:styleId="EndNoteBibliography">
    <w:name w:val="EndNote Bibliography"/>
    <w:basedOn w:val="Normal"/>
    <w:link w:val="EndNoteBibliographyChar"/>
    <w:rsid w:val="00C23FD8"/>
    <w:rPr>
      <w:rFonts w:ascii="Calibri" w:hAnsi="Calibri" w:cs="Calibri"/>
      <w:noProof/>
      <w:lang w:val="en-US"/>
    </w:rPr>
  </w:style>
  <w:style w:type="character" w:customStyle="1" w:styleId="EndNoteBibliographyChar">
    <w:name w:val="EndNote Bibliography Char"/>
    <w:basedOn w:val="DefaultParagraphFont"/>
    <w:link w:val="EndNoteBibliography"/>
    <w:rsid w:val="00C23FD8"/>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23FD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23FD8"/>
    <w:rPr>
      <w:rFonts w:ascii="Calibri" w:hAnsi="Calibri" w:cs="Calibri"/>
      <w:noProof/>
      <w:lang w:val="en-US"/>
    </w:rPr>
  </w:style>
  <w:style w:type="paragraph" w:customStyle="1" w:styleId="EndNoteBibliography">
    <w:name w:val="EndNote Bibliography"/>
    <w:basedOn w:val="Normal"/>
    <w:link w:val="EndNoteBibliographyChar"/>
    <w:rsid w:val="00C23FD8"/>
    <w:rPr>
      <w:rFonts w:ascii="Calibri" w:hAnsi="Calibri" w:cs="Calibri"/>
      <w:noProof/>
      <w:lang w:val="en-US"/>
    </w:rPr>
  </w:style>
  <w:style w:type="character" w:customStyle="1" w:styleId="EndNoteBibliographyChar">
    <w:name w:val="EndNote Bibliography Char"/>
    <w:basedOn w:val="DefaultParagraphFont"/>
    <w:link w:val="EndNoteBibliography"/>
    <w:rsid w:val="00C23FD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27</TotalTime>
  <Pages>3</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cp:revision>
  <cp:lastPrinted>2017-02-24T16:20:00Z</cp:lastPrinted>
  <dcterms:created xsi:type="dcterms:W3CDTF">2018-12-18T18:35:00Z</dcterms:created>
  <dcterms:modified xsi:type="dcterms:W3CDTF">2018-12-18T19:23:00Z</dcterms:modified>
</cp:coreProperties>
</file>