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1AC2" w:rsidRPr="001A40E2" w:rsidRDefault="0007263B" w:rsidP="00201AC2">
      <w:pPr>
        <w:spacing w:after="180"/>
        <w:rPr>
          <w:b/>
          <w:sz w:val="44"/>
          <w:szCs w:val="44"/>
        </w:rPr>
      </w:pPr>
      <w:r w:rsidRPr="0007263B">
        <w:rPr>
          <w:b/>
          <w:sz w:val="44"/>
          <w:szCs w:val="44"/>
        </w:rPr>
        <w:t>Dogs and their puppies</w:t>
      </w:r>
    </w:p>
    <w:p w:rsidR="00201AC2" w:rsidRDefault="00201AC2" w:rsidP="00201AC2">
      <w:pPr>
        <w:spacing w:after="180"/>
      </w:pPr>
    </w:p>
    <w:p w:rsidR="00201AC2" w:rsidRDefault="00EA364C" w:rsidP="00201AC2">
      <w:pPr>
        <w:spacing w:after="180"/>
      </w:pPr>
      <w:r>
        <w:t>The photographs show two different breeds of dog.</w:t>
      </w:r>
      <w:r w:rsidR="003A3DC2">
        <w:t xml:space="preserve"> They are both fully grown.</w:t>
      </w:r>
    </w:p>
    <w:p w:rsidR="00EA364C" w:rsidRDefault="00EA364C" w:rsidP="00201AC2">
      <w:pPr>
        <w:spacing w:after="180"/>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08"/>
        <w:gridCol w:w="4508"/>
      </w:tblGrid>
      <w:tr w:rsidR="00EA364C" w:rsidTr="00EA364C">
        <w:tc>
          <w:tcPr>
            <w:tcW w:w="4508" w:type="dxa"/>
            <w:vAlign w:val="bottom"/>
          </w:tcPr>
          <w:p w:rsidR="00EA364C" w:rsidRDefault="00EA364C" w:rsidP="00EA364C">
            <w:pPr>
              <w:jc w:val="center"/>
            </w:pPr>
            <w:r>
              <w:rPr>
                <w:noProof/>
                <w:lang w:eastAsia="en-GB"/>
              </w:rPr>
              <w:drawing>
                <wp:inline distT="0" distB="0" distL="0" distR="0">
                  <wp:extent cx="1924050" cy="1701503"/>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solated-361525_640.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1937729" cy="1713599"/>
                          </a:xfrm>
                          <a:prstGeom prst="rect">
                            <a:avLst/>
                          </a:prstGeom>
                        </pic:spPr>
                      </pic:pic>
                    </a:graphicData>
                  </a:graphic>
                </wp:inline>
              </w:drawing>
            </w:r>
          </w:p>
          <w:p w:rsidR="003A3DC2" w:rsidRDefault="003A3DC2" w:rsidP="00EA364C">
            <w:pPr>
              <w:jc w:val="center"/>
            </w:pPr>
          </w:p>
        </w:tc>
        <w:tc>
          <w:tcPr>
            <w:tcW w:w="4508" w:type="dxa"/>
            <w:vAlign w:val="bottom"/>
          </w:tcPr>
          <w:p w:rsidR="00EA364C" w:rsidRDefault="00EA364C" w:rsidP="00EA364C">
            <w:pPr>
              <w:jc w:val="center"/>
            </w:pPr>
            <w:r>
              <w:rPr>
                <w:noProof/>
                <w:lang w:eastAsia="en-GB"/>
              </w:rPr>
              <w:drawing>
                <wp:inline distT="0" distB="0" distL="0" distR="0">
                  <wp:extent cx="2390140" cy="2543175"/>
                  <wp:effectExtent l="0" t="0" r="0" b="9525"/>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dog-1275207_640.jpg"/>
                          <pic:cNvPicPr/>
                        </pic:nvPicPr>
                        <pic:blipFill rotWithShape="1">
                          <a:blip r:embed="rId8" cstate="print">
                            <a:extLst>
                              <a:ext uri="{28A0092B-C50C-407E-A947-70E740481C1C}">
                                <a14:useLocalDpi xmlns:a14="http://schemas.microsoft.com/office/drawing/2010/main" val="0"/>
                              </a:ext>
                            </a:extLst>
                          </a:blip>
                          <a:srcRect t="25253" b="3757"/>
                          <a:stretch/>
                        </pic:blipFill>
                        <pic:spPr bwMode="auto">
                          <a:xfrm>
                            <a:off x="0" y="0"/>
                            <a:ext cx="2396791" cy="2550252"/>
                          </a:xfrm>
                          <a:prstGeom prst="rect">
                            <a:avLst/>
                          </a:prstGeom>
                          <a:ln>
                            <a:noFill/>
                          </a:ln>
                          <a:extLst>
                            <a:ext uri="{53640926-AAD7-44D8-BBD7-CCE9431645EC}">
                              <a14:shadowObscured xmlns:a14="http://schemas.microsoft.com/office/drawing/2010/main"/>
                            </a:ext>
                          </a:extLst>
                        </pic:spPr>
                      </pic:pic>
                    </a:graphicData>
                  </a:graphic>
                </wp:inline>
              </w:drawing>
            </w:r>
          </w:p>
        </w:tc>
      </w:tr>
      <w:tr w:rsidR="00EA364C" w:rsidTr="00EA364C">
        <w:tc>
          <w:tcPr>
            <w:tcW w:w="4508" w:type="dxa"/>
            <w:vAlign w:val="bottom"/>
          </w:tcPr>
          <w:p w:rsidR="00EA364C" w:rsidRDefault="00EA364C" w:rsidP="00EA364C">
            <w:pPr>
              <w:jc w:val="center"/>
            </w:pPr>
          </w:p>
          <w:p w:rsidR="00EA364C" w:rsidRDefault="00EA364C" w:rsidP="00EA364C">
            <w:pPr>
              <w:jc w:val="center"/>
            </w:pPr>
            <w:r>
              <w:t>Terrier</w:t>
            </w:r>
          </w:p>
        </w:tc>
        <w:tc>
          <w:tcPr>
            <w:tcW w:w="4508" w:type="dxa"/>
            <w:vAlign w:val="bottom"/>
          </w:tcPr>
          <w:p w:rsidR="00EA364C" w:rsidRDefault="00EA364C" w:rsidP="00EA364C">
            <w:pPr>
              <w:jc w:val="center"/>
            </w:pPr>
            <w:r>
              <w:t>Great Dane</w:t>
            </w:r>
          </w:p>
        </w:tc>
      </w:tr>
    </w:tbl>
    <w:p w:rsidR="00EA364C" w:rsidRDefault="00EA364C" w:rsidP="00201AC2">
      <w:pPr>
        <w:spacing w:after="180"/>
      </w:pPr>
    </w:p>
    <w:p w:rsidR="007C26E1" w:rsidRDefault="007C26E1" w:rsidP="00201AC2">
      <w:pPr>
        <w:spacing w:after="180"/>
      </w:pPr>
    </w:p>
    <w:p w:rsidR="00CD40DF" w:rsidRPr="00036E2F" w:rsidRDefault="00CD40DF" w:rsidP="00CD40DF">
      <w:pPr>
        <w:pStyle w:val="ListParagraph"/>
        <w:numPr>
          <w:ilvl w:val="0"/>
          <w:numId w:val="4"/>
        </w:numPr>
        <w:spacing w:after="240"/>
        <w:ind w:left="426"/>
        <w:rPr>
          <w:szCs w:val="18"/>
        </w:rPr>
      </w:pPr>
      <w:r>
        <w:rPr>
          <w:szCs w:val="18"/>
        </w:rPr>
        <w:t xml:space="preserve">Two </w:t>
      </w:r>
      <w:r w:rsidRPr="00AC6C25">
        <w:rPr>
          <w:b/>
          <w:szCs w:val="18"/>
        </w:rPr>
        <w:t>terriers</w:t>
      </w:r>
      <w:r>
        <w:rPr>
          <w:szCs w:val="18"/>
        </w:rPr>
        <w:t xml:space="preserve"> have a puppy together. What will the puppy look like?</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D40DF" w:rsidTr="00836530">
        <w:trPr>
          <w:trHeight w:val="567"/>
        </w:trPr>
        <w:tc>
          <w:tcPr>
            <w:tcW w:w="572" w:type="dxa"/>
          </w:tcPr>
          <w:p w:rsidR="00CD40DF" w:rsidRPr="00461B7C" w:rsidRDefault="00CD40DF" w:rsidP="00836530">
            <w:pPr>
              <w:rPr>
                <w:b/>
                <w:szCs w:val="18"/>
              </w:rPr>
            </w:pPr>
            <w:r>
              <w:rPr>
                <w:b/>
                <w:szCs w:val="18"/>
              </w:rPr>
              <w:t>A</w:t>
            </w:r>
          </w:p>
        </w:tc>
        <w:tc>
          <w:tcPr>
            <w:tcW w:w="7882" w:type="dxa"/>
          </w:tcPr>
          <w:p w:rsidR="00CD40DF" w:rsidRDefault="00CD40DF" w:rsidP="00836530">
            <w:pPr>
              <w:rPr>
                <w:szCs w:val="18"/>
              </w:rPr>
            </w:pPr>
            <w:r>
              <w:rPr>
                <w:szCs w:val="18"/>
              </w:rPr>
              <w:t>It will look like a terrier.</w:t>
            </w:r>
          </w:p>
        </w:tc>
      </w:tr>
      <w:tr w:rsidR="00CD40DF" w:rsidTr="00836530">
        <w:trPr>
          <w:trHeight w:val="567"/>
        </w:trPr>
        <w:tc>
          <w:tcPr>
            <w:tcW w:w="572" w:type="dxa"/>
          </w:tcPr>
          <w:p w:rsidR="00CD40DF" w:rsidRPr="00461B7C" w:rsidRDefault="00CD40DF" w:rsidP="00836530">
            <w:pPr>
              <w:rPr>
                <w:b/>
                <w:szCs w:val="18"/>
              </w:rPr>
            </w:pPr>
            <w:r>
              <w:rPr>
                <w:b/>
                <w:szCs w:val="18"/>
              </w:rPr>
              <w:t>B</w:t>
            </w:r>
          </w:p>
        </w:tc>
        <w:tc>
          <w:tcPr>
            <w:tcW w:w="7882" w:type="dxa"/>
          </w:tcPr>
          <w:p w:rsidR="00CD40DF" w:rsidRDefault="00CD40DF" w:rsidP="00CD40DF">
            <w:pPr>
              <w:rPr>
                <w:szCs w:val="18"/>
              </w:rPr>
            </w:pPr>
            <w:r>
              <w:rPr>
                <w:szCs w:val="18"/>
              </w:rPr>
              <w:t>It could look like a Great Dane.</w:t>
            </w:r>
          </w:p>
        </w:tc>
      </w:tr>
      <w:tr w:rsidR="00CD40DF" w:rsidTr="00836530">
        <w:trPr>
          <w:trHeight w:val="567"/>
        </w:trPr>
        <w:tc>
          <w:tcPr>
            <w:tcW w:w="572" w:type="dxa"/>
          </w:tcPr>
          <w:p w:rsidR="00CD40DF" w:rsidRPr="00461B7C" w:rsidRDefault="00CD40DF" w:rsidP="00836530">
            <w:pPr>
              <w:rPr>
                <w:b/>
                <w:szCs w:val="18"/>
              </w:rPr>
            </w:pPr>
            <w:r>
              <w:rPr>
                <w:b/>
                <w:szCs w:val="18"/>
              </w:rPr>
              <w:t>C</w:t>
            </w:r>
          </w:p>
        </w:tc>
        <w:tc>
          <w:tcPr>
            <w:tcW w:w="7882" w:type="dxa"/>
          </w:tcPr>
          <w:p w:rsidR="00CD40DF" w:rsidRDefault="00CD40DF" w:rsidP="00836530">
            <w:pPr>
              <w:rPr>
                <w:szCs w:val="18"/>
              </w:rPr>
            </w:pPr>
            <w:r>
              <w:rPr>
                <w:szCs w:val="18"/>
              </w:rPr>
              <w:t>It could look like any breed of dog.</w:t>
            </w:r>
          </w:p>
        </w:tc>
      </w:tr>
    </w:tbl>
    <w:p w:rsidR="00CD40DF" w:rsidRDefault="00CD40DF" w:rsidP="00CD40DF">
      <w:pPr>
        <w:rPr>
          <w:szCs w:val="18"/>
        </w:rPr>
      </w:pPr>
    </w:p>
    <w:p w:rsidR="00CD40DF" w:rsidRDefault="00CD40DF" w:rsidP="00CD40DF">
      <w:pPr>
        <w:pStyle w:val="ListParagraph"/>
        <w:numPr>
          <w:ilvl w:val="0"/>
          <w:numId w:val="4"/>
        </w:numPr>
        <w:spacing w:after="240"/>
        <w:ind w:left="426"/>
        <w:rPr>
          <w:szCs w:val="18"/>
        </w:rPr>
      </w:pPr>
      <w:r>
        <w:rPr>
          <w:szCs w:val="18"/>
        </w:rPr>
        <w:t>How would you explain your answer to question 1?</w:t>
      </w:r>
    </w:p>
    <w:tbl>
      <w:tblPr>
        <w:tblStyle w:val="TableGrid"/>
        <w:tblW w:w="0" w:type="auto"/>
        <w:tblInd w:w="56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2"/>
        <w:gridCol w:w="7882"/>
      </w:tblGrid>
      <w:tr w:rsidR="00CD40DF" w:rsidTr="00836530">
        <w:trPr>
          <w:trHeight w:val="567"/>
        </w:trPr>
        <w:tc>
          <w:tcPr>
            <w:tcW w:w="572" w:type="dxa"/>
          </w:tcPr>
          <w:p w:rsidR="00CD40DF" w:rsidRPr="00461B7C" w:rsidRDefault="00CD40DF" w:rsidP="00836530">
            <w:pPr>
              <w:rPr>
                <w:b/>
                <w:szCs w:val="18"/>
              </w:rPr>
            </w:pPr>
            <w:r>
              <w:rPr>
                <w:b/>
                <w:szCs w:val="18"/>
              </w:rPr>
              <w:t>A</w:t>
            </w:r>
          </w:p>
        </w:tc>
        <w:tc>
          <w:tcPr>
            <w:tcW w:w="7882" w:type="dxa"/>
          </w:tcPr>
          <w:p w:rsidR="00CD40DF" w:rsidRDefault="00CD40DF" w:rsidP="00836530">
            <w:pPr>
              <w:rPr>
                <w:szCs w:val="18"/>
              </w:rPr>
            </w:pPr>
            <w:r>
              <w:rPr>
                <w:szCs w:val="18"/>
              </w:rPr>
              <w:t>Dogs give birth to dogs.</w:t>
            </w:r>
          </w:p>
        </w:tc>
      </w:tr>
      <w:tr w:rsidR="00CD40DF" w:rsidTr="00836530">
        <w:trPr>
          <w:trHeight w:val="567"/>
        </w:trPr>
        <w:tc>
          <w:tcPr>
            <w:tcW w:w="572" w:type="dxa"/>
          </w:tcPr>
          <w:p w:rsidR="00CD40DF" w:rsidRPr="00461B7C" w:rsidRDefault="00CD40DF" w:rsidP="00836530">
            <w:pPr>
              <w:rPr>
                <w:b/>
                <w:szCs w:val="18"/>
              </w:rPr>
            </w:pPr>
            <w:r>
              <w:rPr>
                <w:b/>
                <w:szCs w:val="18"/>
              </w:rPr>
              <w:t>B</w:t>
            </w:r>
          </w:p>
        </w:tc>
        <w:tc>
          <w:tcPr>
            <w:tcW w:w="7882" w:type="dxa"/>
          </w:tcPr>
          <w:p w:rsidR="00CD40DF" w:rsidRDefault="00CD40DF" w:rsidP="00836530">
            <w:pPr>
              <w:rPr>
                <w:szCs w:val="18"/>
              </w:rPr>
            </w:pPr>
            <w:r>
              <w:rPr>
                <w:szCs w:val="18"/>
              </w:rPr>
              <w:t>A terrier is too small to give birth to a Great Dane.</w:t>
            </w:r>
          </w:p>
        </w:tc>
      </w:tr>
      <w:tr w:rsidR="00CD40DF" w:rsidTr="00836530">
        <w:trPr>
          <w:trHeight w:val="567"/>
        </w:trPr>
        <w:tc>
          <w:tcPr>
            <w:tcW w:w="572" w:type="dxa"/>
          </w:tcPr>
          <w:p w:rsidR="00CD40DF" w:rsidRPr="00461B7C" w:rsidRDefault="00CD40DF" w:rsidP="00836530">
            <w:pPr>
              <w:rPr>
                <w:b/>
                <w:szCs w:val="18"/>
              </w:rPr>
            </w:pPr>
            <w:r>
              <w:rPr>
                <w:b/>
                <w:szCs w:val="18"/>
              </w:rPr>
              <w:t>C</w:t>
            </w:r>
          </w:p>
        </w:tc>
        <w:tc>
          <w:tcPr>
            <w:tcW w:w="7882" w:type="dxa"/>
          </w:tcPr>
          <w:p w:rsidR="00CD40DF" w:rsidRDefault="001C79B4" w:rsidP="001C79B4">
            <w:pPr>
              <w:rPr>
                <w:szCs w:val="18"/>
              </w:rPr>
            </w:pPr>
            <w:r>
              <w:rPr>
                <w:szCs w:val="18"/>
              </w:rPr>
              <w:t>The puppy gets its features from its parents.</w:t>
            </w:r>
          </w:p>
        </w:tc>
      </w:tr>
      <w:tr w:rsidR="00CD40DF" w:rsidTr="00836530">
        <w:trPr>
          <w:trHeight w:val="567"/>
        </w:trPr>
        <w:tc>
          <w:tcPr>
            <w:tcW w:w="572" w:type="dxa"/>
          </w:tcPr>
          <w:p w:rsidR="00CD40DF" w:rsidRDefault="00CD40DF" w:rsidP="00836530">
            <w:pPr>
              <w:rPr>
                <w:b/>
                <w:szCs w:val="18"/>
              </w:rPr>
            </w:pPr>
            <w:r>
              <w:rPr>
                <w:b/>
                <w:szCs w:val="18"/>
              </w:rPr>
              <w:t>D</w:t>
            </w:r>
          </w:p>
        </w:tc>
        <w:tc>
          <w:tcPr>
            <w:tcW w:w="7882" w:type="dxa"/>
          </w:tcPr>
          <w:p w:rsidR="00CD40DF" w:rsidRDefault="001C79B4" w:rsidP="006777EF">
            <w:pPr>
              <w:rPr>
                <w:szCs w:val="18"/>
              </w:rPr>
            </w:pPr>
            <w:r>
              <w:rPr>
                <w:szCs w:val="18"/>
              </w:rPr>
              <w:t>Terriers can only give birth to terriers.</w:t>
            </w:r>
          </w:p>
        </w:tc>
      </w:tr>
    </w:tbl>
    <w:p w:rsidR="00201AC2" w:rsidRPr="00201AC2" w:rsidRDefault="00201AC2" w:rsidP="006F3279">
      <w:pPr>
        <w:spacing w:after="240"/>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07263B" w:rsidP="006F3279">
      <w:pPr>
        <w:spacing w:after="240"/>
        <w:rPr>
          <w:i/>
          <w:sz w:val="18"/>
          <w:szCs w:val="18"/>
        </w:rPr>
      </w:pPr>
      <w:r w:rsidRPr="0007263B">
        <w:rPr>
          <w:i/>
          <w:sz w:val="18"/>
          <w:szCs w:val="18"/>
        </w:rPr>
        <w:lastRenderedPageBreak/>
        <w:t>Biology&gt; Big idea BHL: Heredity and life cycles &gt; Topic BHL1: Inheritance and the genome</w:t>
      </w:r>
      <w:r w:rsidR="006F3279" w:rsidRPr="0007263B">
        <w:rPr>
          <w:i/>
          <w:sz w:val="18"/>
          <w:szCs w:val="18"/>
        </w:rPr>
        <w:t xml:space="preserve"> &gt; </w:t>
      </w:r>
      <w:r w:rsidR="0007651D" w:rsidRPr="0007263B">
        <w:rPr>
          <w:i/>
          <w:sz w:val="18"/>
          <w:szCs w:val="18"/>
        </w:rPr>
        <w:t>Key concept</w:t>
      </w:r>
      <w:r w:rsidR="006F3279" w:rsidRPr="0007263B">
        <w:rPr>
          <w:i/>
          <w:sz w:val="18"/>
          <w:szCs w:val="18"/>
        </w:rPr>
        <w:t xml:space="preserve"> B</w:t>
      </w:r>
      <w:r w:rsidRPr="0007263B">
        <w:rPr>
          <w:i/>
          <w:sz w:val="18"/>
          <w:szCs w:val="18"/>
        </w:rPr>
        <w:t>HL1.1</w:t>
      </w:r>
      <w:r w:rsidR="006F3279" w:rsidRPr="0007263B">
        <w:rPr>
          <w:i/>
          <w:sz w:val="18"/>
          <w:szCs w:val="18"/>
        </w:rPr>
        <w:t xml:space="preserve">: </w:t>
      </w:r>
      <w:r w:rsidRPr="0007263B">
        <w:rPr>
          <w:i/>
          <w:sz w:val="18"/>
          <w:szCs w:val="18"/>
        </w:rPr>
        <w:t>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07263B" w:rsidP="006F3279">
            <w:pPr>
              <w:spacing w:after="60"/>
              <w:ind w:left="1304"/>
              <w:rPr>
                <w:b/>
                <w:sz w:val="40"/>
                <w:szCs w:val="40"/>
              </w:rPr>
            </w:pPr>
            <w:r w:rsidRPr="0007263B">
              <w:rPr>
                <w:b/>
                <w:sz w:val="40"/>
                <w:szCs w:val="40"/>
              </w:rPr>
              <w:t>Dogs and their puppies</w:t>
            </w:r>
          </w:p>
        </w:tc>
      </w:tr>
    </w:tbl>
    <w:p w:rsidR="006F3279" w:rsidRDefault="006F3279" w:rsidP="00D57831">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07263B" w:rsidP="0007651D">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365283" w:rsidP="0007651D">
            <w:pPr>
              <w:spacing w:before="60" w:after="60"/>
              <w:rPr>
                <w:b/>
              </w:rPr>
            </w:pPr>
            <w:r w:rsidRPr="00365283">
              <w:t>Recall that offspring inherit characteristics from each of their parents.</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6B140F" w:rsidP="0021607B">
            <w:pPr>
              <w:spacing w:before="60" w:after="60"/>
            </w:pPr>
            <w:r w:rsidRPr="006B140F">
              <w:t>Two-tier multiple choice</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DB440D" w:rsidP="000505CA">
            <w:pPr>
              <w:spacing w:before="60" w:after="60"/>
            </w:pPr>
            <w:r>
              <w:t>heredity, reproduction</w:t>
            </w:r>
          </w:p>
        </w:tc>
      </w:tr>
    </w:tbl>
    <w:p w:rsidR="0009089A" w:rsidRDefault="0009089A" w:rsidP="00D57831"/>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B305F5">
        <w:tc>
          <w:tcPr>
            <w:tcW w:w="709" w:type="dxa"/>
            <w:shd w:val="clear" w:color="auto" w:fill="C2D69B" w:themeFill="accent3" w:themeFillTint="99"/>
            <w:tcMar>
              <w:left w:w="28" w:type="dxa"/>
              <w:bottom w:w="57" w:type="dxa"/>
              <w:right w:w="28" w:type="dxa"/>
            </w:tcMar>
            <w:vAlign w:val="center"/>
          </w:tcPr>
          <w:p w:rsidR="005A6EE7" w:rsidRPr="00F72ECC" w:rsidRDefault="00C54711" w:rsidP="00F72ECC">
            <w:pPr>
              <w:jc w:val="center"/>
              <w:rPr>
                <w:b/>
                <w:color w:val="FFFFFF" w:themeColor="background1"/>
                <w:sz w:val="40"/>
              </w:rPr>
            </w:pPr>
            <w:r>
              <w:rPr>
                <w:b/>
                <w:color w:val="FFFFFF" w:themeColor="background1"/>
                <w:sz w:val="56"/>
              </w:rPr>
              <w:t>P</w:t>
            </w:r>
          </w:p>
        </w:tc>
        <w:tc>
          <w:tcPr>
            <w:tcW w:w="8307" w:type="dxa"/>
            <w:tcMar>
              <w:left w:w="170" w:type="dxa"/>
            </w:tcMar>
            <w:vAlign w:val="center"/>
          </w:tcPr>
          <w:p w:rsidR="00F72ECC" w:rsidRPr="005B372A" w:rsidRDefault="00C54711" w:rsidP="00F72ECC">
            <w:pPr>
              <w:spacing w:after="60"/>
              <w:rPr>
                <w:color w:val="538135"/>
                <w:sz w:val="20"/>
              </w:rPr>
            </w:pPr>
            <w:r w:rsidRPr="005B372A">
              <w:rPr>
                <w:b/>
                <w:color w:val="538135"/>
              </w:rPr>
              <w:t>PRIOR UNDERSTANDING</w:t>
            </w:r>
            <w:r w:rsidR="00F72ECC" w:rsidRPr="005B372A">
              <w:rPr>
                <w:b/>
                <w:color w:val="538135"/>
              </w:rPr>
              <w:t xml:space="preserve"> </w:t>
            </w:r>
          </w:p>
          <w:p w:rsidR="005A6EE7" w:rsidRDefault="00F72ECC" w:rsidP="00C30819">
            <w:r w:rsidRPr="00F72ECC">
              <w:rPr>
                <w:sz w:val="20"/>
              </w:rPr>
              <w:t xml:space="preserve">This </w:t>
            </w:r>
            <w:r w:rsidR="007C26E1">
              <w:rPr>
                <w:sz w:val="20"/>
              </w:rPr>
              <w:t xml:space="preserve">diagnostic </w:t>
            </w:r>
            <w:r w:rsidR="00C30819">
              <w:rPr>
                <w:sz w:val="20"/>
              </w:rPr>
              <w:t>question</w:t>
            </w:r>
            <w:r w:rsidRPr="00F72ECC">
              <w:rPr>
                <w:sz w:val="20"/>
              </w:rPr>
              <w:t xml:space="preserve"> </w:t>
            </w:r>
            <w:r w:rsidR="007C26E1">
              <w:rPr>
                <w:sz w:val="20"/>
              </w:rPr>
              <w:t xml:space="preserve">probes understanding of </w:t>
            </w:r>
            <w:r w:rsidR="004C5D20" w:rsidRPr="00F72ECC">
              <w:rPr>
                <w:sz w:val="20"/>
              </w:rPr>
              <w:t xml:space="preserve">ideas </w:t>
            </w:r>
            <w:r w:rsidR="004C5D20">
              <w:rPr>
                <w:sz w:val="20"/>
              </w:rPr>
              <w:t>that are usually taught at age 5-11</w:t>
            </w:r>
            <w:r w:rsidR="004C5D20" w:rsidRPr="00F72ECC">
              <w:rPr>
                <w:sz w:val="20"/>
              </w:rPr>
              <w:t>, to aid transition</w:t>
            </w:r>
            <w:r w:rsidR="004C5D20">
              <w:rPr>
                <w:sz w:val="20"/>
              </w:rPr>
              <w:t xml:space="preserve"> from earlier </w:t>
            </w:r>
            <w:r w:rsidR="00C54711">
              <w:rPr>
                <w:sz w:val="20"/>
              </w:rPr>
              <w:t xml:space="preserve">stages of </w:t>
            </w:r>
            <w:r w:rsidR="004C5D20">
              <w:rPr>
                <w:sz w:val="20"/>
              </w:rPr>
              <w:t>learning</w:t>
            </w:r>
            <w:r w:rsidR="004C5D20" w:rsidRPr="00F72ECC">
              <w:rPr>
                <w:sz w:val="20"/>
              </w:rPr>
              <w:t>.</w:t>
            </w:r>
            <w:r w:rsidRPr="00F72ECC">
              <w:rPr>
                <w:sz w:val="20"/>
              </w:rPr>
              <w:t xml:space="preserve"> </w:t>
            </w:r>
          </w:p>
        </w:tc>
      </w:tr>
    </w:tbl>
    <w:p w:rsidR="005A6EE7" w:rsidRDefault="005A6EE7" w:rsidP="00890CDB"/>
    <w:p w:rsidR="00C05571" w:rsidRPr="005B372A" w:rsidRDefault="00BB44B4" w:rsidP="00D57831">
      <w:pPr>
        <w:spacing w:after="120"/>
        <w:rPr>
          <w:b/>
          <w:color w:val="538135"/>
          <w:sz w:val="24"/>
        </w:rPr>
      </w:pPr>
      <w:r w:rsidRPr="005B372A">
        <w:rPr>
          <w:b/>
          <w:color w:val="538135"/>
          <w:sz w:val="24"/>
        </w:rPr>
        <w:t>What does the research say</w:t>
      </w:r>
      <w:r w:rsidR="00C05571" w:rsidRPr="005B372A">
        <w:rPr>
          <w:b/>
          <w:color w:val="538135"/>
          <w:sz w:val="24"/>
        </w:rPr>
        <w:t>?</w:t>
      </w:r>
    </w:p>
    <w:p w:rsidR="00C05571" w:rsidRDefault="006B140F" w:rsidP="00D57831">
      <w:pPr>
        <w:spacing w:after="120"/>
      </w:pPr>
      <w:r>
        <w:t xml:space="preserve">From their everyday experiences (for example, of families and pets) students at age 11 should be aware that living organisms can reproduce to make offspring of the same kind (species resemblance), and that offspring are usually similar but not identical to their parents (body traits resemblance). These ideas are likely to have been formalised through science education before age 11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w:t>
      </w:r>
    </w:p>
    <w:p w:rsidR="00326FC3" w:rsidRDefault="006B140F" w:rsidP="00D57831">
      <w:pPr>
        <w:spacing w:after="120"/>
      </w:pPr>
      <w:r>
        <w:t xml:space="preserve">Lewis </w:t>
      </w:r>
      <w:r>
        <w:fldChar w:fldCharType="begin"/>
      </w:r>
      <w:r>
        <w:instrText xml:space="preserve"> ADDIN EN.CITE &lt;EndNote&gt;&lt;Cite ExcludeAuth="1"&gt;&lt;Author&gt;Lewis&lt;/Author&gt;&lt;Year&gt;2004&lt;/Year&gt;&lt;IDText&gt;Traits, genes, particles and information: re-visiting students&amp;apos; understandings of genetics&lt;/IDText&gt;&lt;DisplayText&gt;(2004)&lt;/DisplayText&gt;&lt;record&gt;&lt;keywords&gt;&lt;keyword&gt;g6,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format="utc"&gt;1544608166&lt;/last-updated-date&gt;&lt;volume&gt;26&lt;/volume&gt;&lt;/record&gt;&lt;/Cite&gt;&lt;/EndNote&gt;</w:instrText>
      </w:r>
      <w:r>
        <w:fldChar w:fldCharType="separate"/>
      </w:r>
      <w:r>
        <w:rPr>
          <w:noProof/>
        </w:rPr>
        <w:t>(2004)</w:t>
      </w:r>
      <w:r>
        <w:fldChar w:fldCharType="end"/>
      </w:r>
      <w:r>
        <w:t xml:space="preserve"> and others have argued that “students’ everyday conceptions [of heredity and family resemblance] are an essential starting point from which scientific understanding can be developed”, and she suggests “beginning the teaching with discussion of observed phenomena relating to heredity [to] provide opportunities for students to articulate their everyday experiences and conceptions”. Allen </w:t>
      </w:r>
      <w:r>
        <w:fldChar w:fldCharType="begin"/>
      </w:r>
      <w:r>
        <w:instrText xml:space="preserve"> ADDIN EN.CITE &lt;EndNote&gt;&lt;Cite ExcludeAuth="1"&gt;&lt;Author&gt;Allen&lt;/Author&gt;&lt;Year&gt;2014&lt;/Year&gt;&lt;IDText&gt;Misconceptions in Primary Science&lt;/IDText&gt;&lt;DisplayText&gt;(2014)&lt;/DisplayText&gt;&lt;record&gt;&lt;isbn&gt;9780335262663&lt;/isbn&gt;&lt;titles&gt;&lt;title&gt;Misconceptions in Primary Science&lt;/title&gt;&lt;/titles&gt;&lt;contributors&gt;&lt;authors&gt;&lt;author&gt;Allen, Michael&lt;/author&gt;&lt;/authors&gt;&lt;/contributors&gt;&lt;edition&gt;Second&lt;/edition&gt;&lt;added-date format="utc"&gt;1529954284&lt;/added-date&gt;&lt;pub-location&gt;Berkshire, UK&lt;/pub-location&gt;&lt;ref-type name="Book"&gt;6&lt;/ref-type&gt;&lt;dates&gt;&lt;year&gt;2014&lt;/year&gt;&lt;/dates&gt;&lt;rec-number&gt;8427&lt;/rec-number&gt;&lt;publisher&gt;Open University Press&lt;/publisher&gt;&lt;last-updated-date format="utc"&gt;1530123252&lt;/last-updated-date&gt;&lt;/record&gt;&lt;/Cite&gt;&lt;/EndNote&gt;</w:instrText>
      </w:r>
      <w:r>
        <w:fldChar w:fldCharType="separate"/>
      </w:r>
      <w:r>
        <w:rPr>
          <w:noProof/>
        </w:rPr>
        <w:t>(2014)</w:t>
      </w:r>
      <w:r>
        <w:fldChar w:fldCharType="end"/>
      </w:r>
      <w:r>
        <w:t xml:space="preserve"> suggests dogs and puppies as a useful</w:t>
      </w:r>
      <w:r w:rsidR="00326FC3">
        <w:t xml:space="preserve"> and familiar context.</w:t>
      </w:r>
    </w:p>
    <w:p w:rsidR="006B140F" w:rsidRDefault="00326FC3" w:rsidP="00D57831">
      <w:pPr>
        <w:spacing w:after="120"/>
      </w:pPr>
      <w:proofErr w:type="spellStart"/>
      <w:r>
        <w:t>Ergazaki</w:t>
      </w:r>
      <w:proofErr w:type="spellEnd"/>
      <w:r>
        <w:t xml:space="preserve"> </w:t>
      </w:r>
      <w:r>
        <w:fldChar w:fldCharType="begin"/>
      </w:r>
      <w:r>
        <w:instrText xml:space="preserve"> ADDIN EN.CITE &lt;EndNote&gt;&lt;Cite ExcludeAuth="1"&gt;&lt;Author&gt;Ergazaki&lt;/Author&gt;&lt;Year&gt;2015&lt;/Year&gt;&lt;IDText&gt;Introducing a precursor model of inheritance to young children&lt;/IDText&gt;&lt;DisplayText&gt;(2015)&lt;/DisplayText&gt;&lt;record&gt;&lt;keywords&gt;&lt;keyword&gt;EDUCATIONAL intervention&lt;/keyword&gt;&lt;keyword&gt;TEACHING methods&lt;/keyword&gt;&lt;keyword&gt;SCIENCE education&lt;/keyword&gt;&lt;keyword&gt;EARLY childhood education&lt;/keyword&gt;&lt;keyword&gt;REPRODUCTION -- Study &amp;amp; teaching&lt;/keyword&gt;&lt;keyword&gt;PARENT-child communication&lt;/keyword&gt;&lt;keyword&gt;Biology education&lt;/keyword&gt;&lt;keyword&gt;Destabilizing preschoolers’ intentional reasoning&lt;/keyword&gt;&lt;keyword&gt;Early childhood education&lt;/keyword&gt;&lt;keyword&gt;Teaching inheritance to preschoolers&lt;/keyword&gt;&lt;/keywords&gt;&lt;urls&gt;&lt;related-urls&gt;&lt;url&gt;http://search.ebscohost.com/login.aspx?direct=true&amp;amp;db=bri&amp;amp;AN=112685007&amp;amp;site=ehost-live&lt;/url&gt;&lt;/related-urls&gt;&lt;/urls&gt;&lt;isbn&gt;09500693&lt;/isbn&gt;&lt;work-type&gt;Case Study&lt;/work-type&gt;&lt;titles&gt;&lt;title&gt;Introducing a precursor model of inheritance to young children&lt;/title&gt;&lt;secondary-title&gt;International Journal of Science Education&lt;/secondary-title&gt;&lt;/titles&gt;&lt;pages&gt;3118-3142&lt;/pages&gt;&lt;number&gt;18&lt;/number&gt;&lt;contributors&gt;&lt;authors&gt;&lt;author&gt;Ergazaki, Marida&lt;/author&gt;&lt;author&gt;Valanidou, Eftychia&lt;/author&gt;&lt;author&gt;Kasimati, Maria-Christina&lt;/author&gt;&lt;author&gt;Kalantzi, Mara&lt;/author&gt;&lt;/authors&gt;&lt;/contributors&gt;&lt;added-date format="utc"&gt;1544465136&lt;/added-date&gt;&lt;ref-type name="Journal Article"&gt;17&lt;/ref-type&gt;&lt;dates&gt;&lt;year&gt;2015&lt;/year&gt;&lt;/dates&gt;&lt;remote-database-provider&gt;EBSCOhost&lt;/remote-database-provider&gt;&lt;rec-number&gt;8500&lt;/rec-number&gt;&lt;last-updated-date format="utc"&gt;1544476210&lt;/last-updated-date&gt;&lt;electronic-resource-num&gt;10.1080/09500693.2015.1121551&lt;/electronic-resource-num&gt;&lt;volume&gt;37&lt;/volume&gt;&lt;remote-database-name&gt;bri&lt;/remote-database-name&gt;&lt;/record&gt;&lt;/Cite&gt;&lt;/EndNote&gt;</w:instrText>
      </w:r>
      <w:r>
        <w:fldChar w:fldCharType="separate"/>
      </w:r>
      <w:r>
        <w:rPr>
          <w:noProof/>
        </w:rPr>
        <w:t>(2015)</w:t>
      </w:r>
      <w:r>
        <w:fldChar w:fldCharType="end"/>
      </w:r>
      <w:r>
        <w:t xml:space="preserve"> found that most young children from the age of 5 were able to recognise that “X gives birth to X”</w:t>
      </w:r>
      <w:r w:rsidR="00DB440D">
        <w:t xml:space="preserve">, suggesting familiarity with the concept of </w:t>
      </w:r>
      <w:r>
        <w:t>parent</w:t>
      </w:r>
      <w:r w:rsidR="00DB440D">
        <w:t>s-offspring species resemblance</w:t>
      </w:r>
      <w:r>
        <w:t>.</w:t>
      </w:r>
    </w:p>
    <w:p w:rsidR="007A748B" w:rsidRPr="005B372A" w:rsidRDefault="007A748B" w:rsidP="00D57831">
      <w:pPr>
        <w:spacing w:after="120"/>
        <w:rPr>
          <w:b/>
          <w:color w:val="538135"/>
          <w:sz w:val="24"/>
        </w:rPr>
      </w:pPr>
      <w:r w:rsidRPr="005B372A">
        <w:rPr>
          <w:b/>
          <w:color w:val="538135"/>
          <w:sz w:val="24"/>
        </w:rPr>
        <w:t xml:space="preserve">Ways to use this </w:t>
      </w:r>
      <w:r w:rsidR="00641E99" w:rsidRPr="005B372A">
        <w:rPr>
          <w:b/>
          <w:color w:val="538135"/>
          <w:sz w:val="24"/>
        </w:rPr>
        <w:t>question</w:t>
      </w:r>
    </w:p>
    <w:p w:rsidR="0050214C" w:rsidRDefault="0050214C" w:rsidP="00D57831">
      <w:pPr>
        <w:spacing w:after="120"/>
      </w:pPr>
      <w:r>
        <w:t xml:space="preserve">Students should complete the questions individually. This could be a pencil and paper exercise, or you could use the PowerPoint presentation with an electronic voting system or mini white boards. </w:t>
      </w:r>
    </w:p>
    <w:p w:rsidR="0050214C" w:rsidRDefault="0050214C" w:rsidP="00D57831">
      <w:pPr>
        <w:spacing w:after="120"/>
        <w:rPr>
          <w:i/>
        </w:rPr>
      </w:pPr>
      <w:r>
        <w:t>The answers to the questions will show you whether students understand that living organisms reproduce to make offspring of the same kind (the concept of species resemblance), and that offspring inherit features from each of their parents.</w:t>
      </w:r>
    </w:p>
    <w:p w:rsidR="0050214C" w:rsidRPr="007B2550" w:rsidRDefault="0050214C" w:rsidP="00D57831">
      <w:pPr>
        <w:spacing w:after="120"/>
        <w:rPr>
          <w:i/>
        </w:rPr>
      </w:pPr>
      <w:r w:rsidRPr="007B2550">
        <w:rPr>
          <w:i/>
        </w:rPr>
        <w:t>Differentiation</w:t>
      </w:r>
    </w:p>
    <w:p w:rsidR="002C3817" w:rsidRDefault="002C3817" w:rsidP="00D57831">
      <w:pPr>
        <w:spacing w:after="120"/>
      </w:pPr>
      <w:r w:rsidRPr="002C3817">
        <w:t xml:space="preserve">If students are not likely to be familiar with dogs, or with </w:t>
      </w:r>
      <w:r w:rsidR="00DD4BBF">
        <w:t xml:space="preserve">the notion of </w:t>
      </w:r>
      <w:r w:rsidRPr="002C3817">
        <w:t xml:space="preserve">different </w:t>
      </w:r>
      <w:r w:rsidR="00DD4BBF">
        <w:t xml:space="preserve">breeds </w:t>
      </w:r>
      <w:r w:rsidRPr="002C3817">
        <w:t>of the same species, the dogs could be replaced with different animals.</w:t>
      </w:r>
    </w:p>
    <w:p w:rsidR="0050214C" w:rsidRPr="002C3817" w:rsidRDefault="0050214C" w:rsidP="00D57831">
      <w:pPr>
        <w:spacing w:after="120"/>
      </w:pPr>
      <w:r>
        <w:t>You may choose to read the questions to the class, so that everyone can focus on the science. In some situations it may be more appropriate for a teaching assistant to read for one or two students.</w:t>
      </w:r>
      <w:r w:rsidRPr="00C54711">
        <w:rPr>
          <w:highlight w:val="yellow"/>
        </w:rPr>
        <w:t xml:space="preserve"> </w:t>
      </w:r>
    </w:p>
    <w:p w:rsidR="00E172C6" w:rsidRPr="005B372A" w:rsidRDefault="00BB44B4" w:rsidP="00D57831">
      <w:pPr>
        <w:spacing w:after="120"/>
        <w:rPr>
          <w:b/>
          <w:color w:val="538135"/>
          <w:sz w:val="24"/>
        </w:rPr>
      </w:pPr>
      <w:r w:rsidRPr="00AC6C25">
        <w:rPr>
          <w:b/>
          <w:color w:val="538135"/>
          <w:sz w:val="24"/>
        </w:rPr>
        <w:lastRenderedPageBreak/>
        <w:t>Expected answers</w:t>
      </w:r>
    </w:p>
    <w:p w:rsidR="00BF6C8A" w:rsidRDefault="00FF5493" w:rsidP="00D57831">
      <w:pPr>
        <w:pStyle w:val="ListParagraph"/>
        <w:numPr>
          <w:ilvl w:val="0"/>
          <w:numId w:val="5"/>
        </w:numPr>
        <w:spacing w:after="120"/>
      </w:pPr>
      <w:r w:rsidRPr="00FF5493">
        <w:t>A – It will look like a terrier.</w:t>
      </w:r>
    </w:p>
    <w:p w:rsidR="00FF5493" w:rsidRPr="00FF5493" w:rsidRDefault="00FF5493" w:rsidP="00D57831">
      <w:pPr>
        <w:pStyle w:val="ListParagraph"/>
        <w:numPr>
          <w:ilvl w:val="0"/>
          <w:numId w:val="5"/>
        </w:numPr>
        <w:spacing w:after="120"/>
      </w:pPr>
      <w:r>
        <w:t xml:space="preserve">C – </w:t>
      </w:r>
      <w:r w:rsidRPr="00FF5493">
        <w:t>The puppy gets its features from its parents.</w:t>
      </w:r>
    </w:p>
    <w:p w:rsidR="006A4440" w:rsidRPr="005B372A" w:rsidRDefault="004C5D20" w:rsidP="00D57831">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2127D9" w:rsidRDefault="0025019B" w:rsidP="00D57831">
      <w:pPr>
        <w:spacing w:after="120"/>
      </w:pPr>
      <w:r w:rsidRPr="0025019B">
        <w:t>S</w:t>
      </w:r>
      <w:r>
        <w:t>t</w:t>
      </w:r>
      <w:r w:rsidRPr="0025019B">
        <w:t xml:space="preserve">udents who </w:t>
      </w:r>
      <w:r>
        <w:t>answer question 2 with option B (“</w:t>
      </w:r>
      <w:r w:rsidRPr="0025019B">
        <w:t>A terrier is too smal</w:t>
      </w:r>
      <w:r>
        <w:t>l to give birth to a Great Dane”)</w:t>
      </w:r>
      <w:r w:rsidR="002127D9">
        <w:t xml:space="preserve"> may be deducing their answer from the pictures rather than applying understanding of the inheritance of characteristics from parents. Students who select option A (“</w:t>
      </w:r>
      <w:r w:rsidR="002127D9" w:rsidRPr="002127D9">
        <w:t>Dogs give birth to dogs</w:t>
      </w:r>
      <w:r w:rsidR="002127D9">
        <w:t>”) or option D (“</w:t>
      </w:r>
      <w:r w:rsidR="002127D9" w:rsidRPr="002127D9">
        <w:t xml:space="preserve">Terriers </w:t>
      </w:r>
      <w:r w:rsidR="002127D9">
        <w:t>can only give birth to terriers”) likely understand that living organisms reproduce to make offspring of the same kind (the concept of species resemblance) as they are applying an “X gives birth to X not Y” rule; however, they have not chosen the best explanation for the puppy’s appearance in this particular context. Option A sidesteps the issue of different breeds, while option D is not strictly true as the puppy of a terrier that mated with another breed of dog would have features of both parents/breeds.</w:t>
      </w:r>
    </w:p>
    <w:p w:rsidR="00D57831" w:rsidRPr="0025019B" w:rsidRDefault="00D57831" w:rsidP="00D57831">
      <w:pPr>
        <w:spacing w:after="120"/>
      </w:pPr>
      <w:r w:rsidRPr="00580B92">
        <w:t>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Responses often work best when the activities involve paired or small group discussions, which encourage social construction of new ideas through dialogue.</w:t>
      </w:r>
    </w:p>
    <w:p w:rsidR="00B24F62" w:rsidRPr="00C45354" w:rsidRDefault="0006740A" w:rsidP="00D57831">
      <w:pPr>
        <w:spacing w:after="120"/>
      </w:pPr>
      <w:r>
        <w:t>Researchers have use</w:t>
      </w:r>
      <w:r w:rsidR="00DC545A">
        <w:t xml:space="preserve">d </w:t>
      </w:r>
      <w:r>
        <w:t xml:space="preserve">formative assessments coupled with constructivist approaches that enable students to build their own explanations of heredity, which may help to develop students’ understanding and overcome misconceptions, including the use of group </w:t>
      </w:r>
      <w:r w:rsidRPr="00C45354">
        <w:t>discussions</w:t>
      </w:r>
      <w:r w:rsidR="00C45354">
        <w:t xml:space="preserve"> and challenging students to use their understanding to make predictions</w:t>
      </w:r>
      <w:r w:rsidRPr="00C45354">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 xml:space="preserve">. </w:t>
      </w:r>
      <w:r w:rsidR="00B24F62" w:rsidRPr="00C45354">
        <w:t xml:space="preserve">If students have </w:t>
      </w:r>
      <w:r w:rsidR="00AE3075" w:rsidRPr="00C45354">
        <w:t>misunderstanding</w:t>
      </w:r>
      <w:r w:rsidR="00B24F62" w:rsidRPr="00C45354">
        <w:t>s about</w:t>
      </w:r>
      <w:r w:rsidR="00C45354" w:rsidRPr="00C45354">
        <w:t xml:space="preserve"> parents-offspring resemblance, t</w:t>
      </w:r>
      <w:r w:rsidR="00B24F62" w:rsidRPr="00C45354">
        <w:t xml:space="preserve">he following BEST ‘response </w:t>
      </w:r>
      <w:r w:rsidR="00641E99" w:rsidRPr="00C45354">
        <w:t>activit</w:t>
      </w:r>
      <w:r w:rsidR="00C45354" w:rsidRPr="00C45354">
        <w:t>y</w:t>
      </w:r>
      <w:r w:rsidR="00B24F62" w:rsidRPr="00C45354">
        <w:t xml:space="preserve">’ </w:t>
      </w:r>
      <w:r w:rsidR="00C45354" w:rsidRPr="00C45354">
        <w:t xml:space="preserve">describes a group discussion </w:t>
      </w:r>
      <w:r w:rsidR="00DC545A">
        <w:t xml:space="preserve">and prediction </w:t>
      </w:r>
      <w:r w:rsidR="00C45354" w:rsidRPr="00C45354">
        <w:t xml:space="preserve">activity that </w:t>
      </w:r>
      <w:r w:rsidR="00B24F62" w:rsidRPr="00C45354">
        <w:t>could be used in follow-up to this diagnostic question:</w:t>
      </w:r>
    </w:p>
    <w:p w:rsidR="00B24F62" w:rsidRPr="00C45354" w:rsidRDefault="00B24F62" w:rsidP="00D57831">
      <w:pPr>
        <w:pStyle w:val="ListParagraph"/>
        <w:numPr>
          <w:ilvl w:val="0"/>
          <w:numId w:val="1"/>
        </w:numPr>
        <w:spacing w:after="120"/>
      </w:pPr>
      <w:r w:rsidRPr="00C45354">
        <w:t xml:space="preserve">Response </w:t>
      </w:r>
      <w:r w:rsidR="00641E99" w:rsidRPr="00C45354">
        <w:t>activity</w:t>
      </w:r>
      <w:r w:rsidRPr="00C45354">
        <w:t xml:space="preserve">: </w:t>
      </w:r>
      <w:r w:rsidR="00C45354" w:rsidRPr="00C45354">
        <w:t>What will the</w:t>
      </w:r>
      <w:r w:rsidR="00296E85">
        <w:t xml:space="preserve"> offspring</w:t>
      </w:r>
      <w:r w:rsidR="00C45354" w:rsidRPr="00C45354">
        <w:t xml:space="preserve"> look like?</w:t>
      </w:r>
      <w:bookmarkStart w:id="0" w:name="_GoBack"/>
      <w:bookmarkEnd w:id="0"/>
    </w:p>
    <w:p w:rsidR="003117F6" w:rsidRPr="005B372A" w:rsidRDefault="00CC78A5" w:rsidP="00D57831">
      <w:pPr>
        <w:spacing w:after="120"/>
        <w:rPr>
          <w:b/>
          <w:color w:val="538135"/>
          <w:sz w:val="24"/>
        </w:rPr>
      </w:pPr>
      <w:r w:rsidRPr="005B372A">
        <w:rPr>
          <w:b/>
          <w:color w:val="538135"/>
          <w:sz w:val="24"/>
        </w:rPr>
        <w:t>Acknowledgments</w:t>
      </w:r>
    </w:p>
    <w:p w:rsidR="00D278E8" w:rsidRPr="00890CDB" w:rsidRDefault="00D278E8" w:rsidP="00D57831">
      <w:pPr>
        <w:spacing w:after="120"/>
      </w:pPr>
      <w:r w:rsidRPr="00890CDB">
        <w:t xml:space="preserve">Developed </w:t>
      </w:r>
      <w:r w:rsidR="0015356E" w:rsidRPr="00890CDB">
        <w:t xml:space="preserve">by </w:t>
      </w:r>
      <w:r w:rsidR="00DB440D" w:rsidRPr="00890CDB">
        <w:t>Alistair Moore</w:t>
      </w:r>
      <w:r w:rsidR="0015356E" w:rsidRPr="00890CDB">
        <w:t xml:space="preserve"> (UYSEG)</w:t>
      </w:r>
      <w:r w:rsidRPr="00890CDB">
        <w:t>.</w:t>
      </w:r>
    </w:p>
    <w:p w:rsidR="00CC78A5" w:rsidRPr="00890CDB" w:rsidRDefault="00D278E8" w:rsidP="00D57831">
      <w:pPr>
        <w:spacing w:after="120"/>
      </w:pPr>
      <w:r w:rsidRPr="00890CDB">
        <w:t xml:space="preserve">Images: </w:t>
      </w:r>
      <w:r w:rsidR="00EA364C" w:rsidRPr="00890CDB">
        <w:t>terrier – pixabay.com/</w:t>
      </w:r>
      <w:proofErr w:type="spellStart"/>
      <w:r w:rsidR="00EA364C" w:rsidRPr="00890CDB">
        <w:t>Schwarzenarzisse</w:t>
      </w:r>
      <w:proofErr w:type="spellEnd"/>
      <w:r w:rsidR="00EA364C" w:rsidRPr="00890CDB">
        <w:t xml:space="preserve"> (361525); Great Dane – pixabay.com/</w:t>
      </w:r>
      <w:proofErr w:type="spellStart"/>
      <w:r w:rsidR="00EA364C" w:rsidRPr="00890CDB">
        <w:t>alles</w:t>
      </w:r>
      <w:proofErr w:type="spellEnd"/>
      <w:r w:rsidR="00EA364C" w:rsidRPr="00890CDB">
        <w:t>-so-</w:t>
      </w:r>
      <w:proofErr w:type="spellStart"/>
      <w:r w:rsidR="00EA364C" w:rsidRPr="00890CDB">
        <w:t>schoen</w:t>
      </w:r>
      <w:proofErr w:type="spellEnd"/>
      <w:r w:rsidR="00EA364C" w:rsidRPr="00890CDB">
        <w:t>-bunt-</w:t>
      </w:r>
      <w:proofErr w:type="spellStart"/>
      <w:r w:rsidR="00EA364C" w:rsidRPr="00890CDB">
        <w:t>hier</w:t>
      </w:r>
      <w:proofErr w:type="spellEnd"/>
      <w:r w:rsidR="00EA364C" w:rsidRPr="00890CDB">
        <w:t xml:space="preserve"> (1275207)</w:t>
      </w:r>
    </w:p>
    <w:p w:rsidR="00B46FF9" w:rsidRDefault="003117F6" w:rsidP="00D57831">
      <w:pPr>
        <w:spacing w:after="120"/>
        <w:rPr>
          <w:b/>
          <w:color w:val="538135"/>
          <w:sz w:val="24"/>
        </w:rPr>
      </w:pPr>
      <w:r w:rsidRPr="005B372A">
        <w:rPr>
          <w:b/>
          <w:color w:val="538135"/>
          <w:sz w:val="24"/>
        </w:rPr>
        <w:t>References</w:t>
      </w:r>
    </w:p>
    <w:p w:rsidR="0006740A" w:rsidRPr="0006740A" w:rsidRDefault="006B140F" w:rsidP="00890CDB">
      <w:pPr>
        <w:pStyle w:val="EndNoteBibliography"/>
        <w:spacing w:after="120"/>
        <w:rPr>
          <w:sz w:val="20"/>
          <w:szCs w:val="20"/>
        </w:rPr>
      </w:pPr>
      <w:r w:rsidRPr="0006740A">
        <w:rPr>
          <w:sz w:val="20"/>
          <w:szCs w:val="20"/>
        </w:rPr>
        <w:fldChar w:fldCharType="begin"/>
      </w:r>
      <w:r w:rsidRPr="0006740A">
        <w:rPr>
          <w:sz w:val="20"/>
          <w:szCs w:val="20"/>
        </w:rPr>
        <w:instrText xml:space="preserve"> ADDIN EN.REFLIST </w:instrText>
      </w:r>
      <w:r w:rsidRPr="0006740A">
        <w:rPr>
          <w:sz w:val="20"/>
          <w:szCs w:val="20"/>
        </w:rPr>
        <w:fldChar w:fldCharType="separate"/>
      </w:r>
      <w:r w:rsidR="0006740A" w:rsidRPr="0006740A">
        <w:rPr>
          <w:sz w:val="20"/>
          <w:szCs w:val="20"/>
        </w:rPr>
        <w:t xml:space="preserve">AAAS Project 2061. (2009). </w:t>
      </w:r>
      <w:r w:rsidR="0006740A" w:rsidRPr="0006740A">
        <w:rPr>
          <w:i/>
          <w:sz w:val="20"/>
          <w:szCs w:val="20"/>
        </w:rPr>
        <w:t xml:space="preserve">Benchmarks for Science Literacy </w:t>
      </w:r>
      <w:r w:rsidR="0006740A" w:rsidRPr="0006740A">
        <w:rPr>
          <w:sz w:val="20"/>
          <w:szCs w:val="20"/>
        </w:rPr>
        <w:t xml:space="preserve">[Online]. Available at: </w:t>
      </w:r>
      <w:hyperlink r:id="rId11" w:history="1">
        <w:r w:rsidR="0006740A" w:rsidRPr="0006740A">
          <w:rPr>
            <w:rStyle w:val="Hyperlink"/>
            <w:sz w:val="20"/>
            <w:szCs w:val="20"/>
          </w:rPr>
          <w:t>http://www.project2061.org/publications/bsl/online/index.php</w:t>
        </w:r>
      </w:hyperlink>
      <w:r w:rsidR="0006740A" w:rsidRPr="0006740A">
        <w:rPr>
          <w:sz w:val="20"/>
          <w:szCs w:val="20"/>
        </w:rPr>
        <w:t>.</w:t>
      </w:r>
    </w:p>
    <w:p w:rsidR="0006740A" w:rsidRPr="0006740A" w:rsidRDefault="0006740A" w:rsidP="00890CDB">
      <w:pPr>
        <w:pStyle w:val="EndNoteBibliography"/>
        <w:spacing w:after="120"/>
        <w:rPr>
          <w:sz w:val="20"/>
          <w:szCs w:val="20"/>
        </w:rPr>
      </w:pPr>
      <w:r w:rsidRPr="0006740A">
        <w:rPr>
          <w:sz w:val="20"/>
          <w:szCs w:val="20"/>
        </w:rPr>
        <w:t xml:space="preserve">Allen, M. (2014). </w:t>
      </w:r>
      <w:r w:rsidRPr="0006740A">
        <w:rPr>
          <w:i/>
          <w:sz w:val="20"/>
          <w:szCs w:val="20"/>
        </w:rPr>
        <w:t xml:space="preserve">Misconceptions in Primary Science, Second </w:t>
      </w:r>
      <w:r w:rsidRPr="0006740A">
        <w:rPr>
          <w:sz w:val="20"/>
          <w:szCs w:val="20"/>
        </w:rPr>
        <w:t>edn</w:t>
      </w:r>
      <w:r w:rsidRPr="0006740A">
        <w:rPr>
          <w:i/>
          <w:sz w:val="20"/>
          <w:szCs w:val="20"/>
        </w:rPr>
        <w:t xml:space="preserve"> </w:t>
      </w:r>
      <w:r w:rsidRPr="0006740A">
        <w:rPr>
          <w:sz w:val="20"/>
          <w:szCs w:val="20"/>
        </w:rPr>
        <w:t>Berkshire, UK: Open University Press.</w:t>
      </w:r>
    </w:p>
    <w:p w:rsidR="0006740A" w:rsidRPr="0006740A" w:rsidRDefault="0006740A" w:rsidP="00890CDB">
      <w:pPr>
        <w:pStyle w:val="EndNoteBibliography"/>
        <w:spacing w:after="120"/>
        <w:rPr>
          <w:sz w:val="20"/>
          <w:szCs w:val="20"/>
        </w:rPr>
      </w:pPr>
      <w:r w:rsidRPr="0006740A">
        <w:rPr>
          <w:sz w:val="20"/>
          <w:szCs w:val="20"/>
        </w:rPr>
        <w:t xml:space="preserve">Chin, C. and Teou, L.-Y. (2010). Formative assessment: using concept cartoon, pupil's drawings, and group discussions to tackle children's ideas about biological inheritance. </w:t>
      </w:r>
      <w:r w:rsidRPr="0006740A">
        <w:rPr>
          <w:i/>
          <w:sz w:val="20"/>
          <w:szCs w:val="20"/>
        </w:rPr>
        <w:t>Journal of Biological Education,</w:t>
      </w:r>
      <w:r w:rsidRPr="0006740A">
        <w:rPr>
          <w:sz w:val="20"/>
          <w:szCs w:val="20"/>
        </w:rPr>
        <w:t xml:space="preserve"> 44(3)</w:t>
      </w:r>
      <w:r w:rsidRPr="0006740A">
        <w:rPr>
          <w:b/>
          <w:sz w:val="20"/>
          <w:szCs w:val="20"/>
        </w:rPr>
        <w:t>,</w:t>
      </w:r>
      <w:r w:rsidRPr="0006740A">
        <w:rPr>
          <w:sz w:val="20"/>
          <w:szCs w:val="20"/>
        </w:rPr>
        <w:t xml:space="preserve"> 108-115.</w:t>
      </w:r>
    </w:p>
    <w:p w:rsidR="0006740A" w:rsidRPr="0006740A" w:rsidRDefault="0006740A" w:rsidP="00890CDB">
      <w:pPr>
        <w:pStyle w:val="EndNoteBibliography"/>
        <w:spacing w:after="120"/>
        <w:rPr>
          <w:sz w:val="20"/>
          <w:szCs w:val="20"/>
        </w:rPr>
      </w:pPr>
      <w:r w:rsidRPr="0006740A">
        <w:rPr>
          <w:sz w:val="20"/>
          <w:szCs w:val="20"/>
        </w:rPr>
        <w:t xml:space="preserve">Department for Education (2013). </w:t>
      </w:r>
      <w:r w:rsidRPr="0006740A">
        <w:rPr>
          <w:i/>
          <w:sz w:val="20"/>
          <w:szCs w:val="20"/>
        </w:rPr>
        <w:t xml:space="preserve">Science programmes of study: key stages 1 and 2 - National curriculum in England (DFE-00182-2013), </w:t>
      </w:r>
      <w:r w:rsidRPr="0006740A">
        <w:rPr>
          <w:sz w:val="20"/>
          <w:szCs w:val="20"/>
        </w:rPr>
        <w:t>London, UK.</w:t>
      </w:r>
    </w:p>
    <w:p w:rsidR="0006740A" w:rsidRPr="0006740A" w:rsidRDefault="0006740A" w:rsidP="00890CDB">
      <w:pPr>
        <w:pStyle w:val="EndNoteBibliography"/>
        <w:spacing w:after="120"/>
        <w:rPr>
          <w:sz w:val="20"/>
          <w:szCs w:val="20"/>
        </w:rPr>
      </w:pPr>
      <w:r w:rsidRPr="0006740A">
        <w:rPr>
          <w:sz w:val="20"/>
          <w:szCs w:val="20"/>
        </w:rPr>
        <w:t xml:space="preserve">Ergazaki, M., et al. (2015). Introducing a precursor model of inheritance to young children. </w:t>
      </w:r>
      <w:r w:rsidRPr="0006740A">
        <w:rPr>
          <w:i/>
          <w:sz w:val="20"/>
          <w:szCs w:val="20"/>
        </w:rPr>
        <w:t>International Journal of Science Education,</w:t>
      </w:r>
      <w:r w:rsidRPr="0006740A">
        <w:rPr>
          <w:sz w:val="20"/>
          <w:szCs w:val="20"/>
        </w:rPr>
        <w:t xml:space="preserve"> 37(18)</w:t>
      </w:r>
      <w:r w:rsidRPr="0006740A">
        <w:rPr>
          <w:b/>
          <w:sz w:val="20"/>
          <w:szCs w:val="20"/>
        </w:rPr>
        <w:t>,</w:t>
      </w:r>
      <w:r w:rsidRPr="0006740A">
        <w:rPr>
          <w:sz w:val="20"/>
          <w:szCs w:val="20"/>
        </w:rPr>
        <w:t xml:space="preserve"> 3118-3142.</w:t>
      </w:r>
    </w:p>
    <w:p w:rsidR="005B372A" w:rsidRPr="005B372A" w:rsidRDefault="0006740A" w:rsidP="00890CDB">
      <w:pPr>
        <w:pStyle w:val="EndNoteBibliography"/>
        <w:spacing w:after="120"/>
      </w:pPr>
      <w:r w:rsidRPr="0006740A">
        <w:rPr>
          <w:sz w:val="20"/>
          <w:szCs w:val="20"/>
        </w:rPr>
        <w:t xml:space="preserve">Lewis, J. and Kattmann, U. (2004). Traits, genes, particles and information: re-visiting students' understandings of genetics. </w:t>
      </w:r>
      <w:r w:rsidRPr="0006740A">
        <w:rPr>
          <w:i/>
          <w:sz w:val="20"/>
          <w:szCs w:val="20"/>
        </w:rPr>
        <w:t>International Journal of Science Education,</w:t>
      </w:r>
      <w:r w:rsidRPr="0006740A">
        <w:rPr>
          <w:sz w:val="20"/>
          <w:szCs w:val="20"/>
        </w:rPr>
        <w:t xml:space="preserve"> 26(2)</w:t>
      </w:r>
      <w:r w:rsidRPr="0006740A">
        <w:rPr>
          <w:b/>
          <w:sz w:val="20"/>
          <w:szCs w:val="20"/>
        </w:rPr>
        <w:t>,</w:t>
      </w:r>
      <w:r w:rsidRPr="0006740A">
        <w:rPr>
          <w:sz w:val="20"/>
          <w:szCs w:val="20"/>
        </w:rPr>
        <w:t xml:space="preserve"> 195-206.</w:t>
      </w:r>
      <w:r w:rsidR="006B140F" w:rsidRPr="0006740A">
        <w:rPr>
          <w:sz w:val="20"/>
          <w:szCs w:val="20"/>
        </w:rPr>
        <w:fldChar w:fldCharType="end"/>
      </w:r>
    </w:p>
    <w:sectPr w:rsidR="005B372A" w:rsidRPr="005B372A" w:rsidSect="00642ECD">
      <w:headerReference w:type="default" r:id="rId12"/>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263B" w:rsidRDefault="0007263B" w:rsidP="000B473B">
      <w:r>
        <w:separator/>
      </w:r>
    </w:p>
  </w:endnote>
  <w:endnote w:type="continuationSeparator" w:id="0">
    <w:p w:rsidR="0007263B" w:rsidRDefault="0007263B"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38829885"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296E85">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263B" w:rsidRDefault="0007263B" w:rsidP="000B473B">
      <w:r>
        <w:separator/>
      </w:r>
    </w:p>
  </w:footnote>
  <w:footnote w:type="continuationSeparator" w:id="0">
    <w:p w:rsidR="0007263B" w:rsidRDefault="0007263B" w:rsidP="000B473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7E3672D"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D209526"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03CA4"/>
    <w:multiLevelType w:val="hybridMultilevel"/>
    <w:tmpl w:val="FD36B036"/>
    <w:lvl w:ilvl="0" w:tplc="11AAF14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54064141"/>
    <w:multiLevelType w:val="hybridMultilevel"/>
    <w:tmpl w:val="3F2601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07263B"/>
    <w:rsid w:val="00015578"/>
    <w:rsid w:val="00024731"/>
    <w:rsid w:val="00026DEC"/>
    <w:rsid w:val="000505CA"/>
    <w:rsid w:val="0006740A"/>
    <w:rsid w:val="0007263B"/>
    <w:rsid w:val="0007651D"/>
    <w:rsid w:val="0009089A"/>
    <w:rsid w:val="000947E2"/>
    <w:rsid w:val="00095E04"/>
    <w:rsid w:val="000B473B"/>
    <w:rsid w:val="000D0E89"/>
    <w:rsid w:val="000E2689"/>
    <w:rsid w:val="00110978"/>
    <w:rsid w:val="00142613"/>
    <w:rsid w:val="00144DA7"/>
    <w:rsid w:val="0015356E"/>
    <w:rsid w:val="00161D3F"/>
    <w:rsid w:val="001915D4"/>
    <w:rsid w:val="001A1FED"/>
    <w:rsid w:val="001A40E2"/>
    <w:rsid w:val="001C4805"/>
    <w:rsid w:val="001C79B4"/>
    <w:rsid w:val="00201AC2"/>
    <w:rsid w:val="002127D9"/>
    <w:rsid w:val="00214608"/>
    <w:rsid w:val="0021607B"/>
    <w:rsid w:val="002178AC"/>
    <w:rsid w:val="0022547C"/>
    <w:rsid w:val="0025019B"/>
    <w:rsid w:val="0025410A"/>
    <w:rsid w:val="0027553E"/>
    <w:rsid w:val="0028012F"/>
    <w:rsid w:val="002828DF"/>
    <w:rsid w:val="00287876"/>
    <w:rsid w:val="00292C53"/>
    <w:rsid w:val="00294E22"/>
    <w:rsid w:val="00296E85"/>
    <w:rsid w:val="002C22EA"/>
    <w:rsid w:val="002C3817"/>
    <w:rsid w:val="002C59BA"/>
    <w:rsid w:val="00301AA9"/>
    <w:rsid w:val="003117F6"/>
    <w:rsid w:val="00326FC3"/>
    <w:rsid w:val="003533B8"/>
    <w:rsid w:val="00365283"/>
    <w:rsid w:val="003752BE"/>
    <w:rsid w:val="00380A34"/>
    <w:rsid w:val="003A346A"/>
    <w:rsid w:val="003A3DC2"/>
    <w:rsid w:val="003B2917"/>
    <w:rsid w:val="003B541B"/>
    <w:rsid w:val="003E2B2F"/>
    <w:rsid w:val="003E6046"/>
    <w:rsid w:val="003F16F9"/>
    <w:rsid w:val="00430C1F"/>
    <w:rsid w:val="00431AE5"/>
    <w:rsid w:val="00442595"/>
    <w:rsid w:val="0045323E"/>
    <w:rsid w:val="004B0EE1"/>
    <w:rsid w:val="004C5D20"/>
    <w:rsid w:val="004D0D83"/>
    <w:rsid w:val="004E1DF1"/>
    <w:rsid w:val="004E5592"/>
    <w:rsid w:val="0050055B"/>
    <w:rsid w:val="0050214C"/>
    <w:rsid w:val="00524710"/>
    <w:rsid w:val="00555342"/>
    <w:rsid w:val="005560E2"/>
    <w:rsid w:val="005A452E"/>
    <w:rsid w:val="005A6EE7"/>
    <w:rsid w:val="005B372A"/>
    <w:rsid w:val="005F1A7B"/>
    <w:rsid w:val="006355D8"/>
    <w:rsid w:val="00641E99"/>
    <w:rsid w:val="00642ECD"/>
    <w:rsid w:val="006502A0"/>
    <w:rsid w:val="006772F5"/>
    <w:rsid w:val="006777EF"/>
    <w:rsid w:val="006A4440"/>
    <w:rsid w:val="006B0615"/>
    <w:rsid w:val="006B140F"/>
    <w:rsid w:val="006D166B"/>
    <w:rsid w:val="006F3279"/>
    <w:rsid w:val="00704AEE"/>
    <w:rsid w:val="00722F9A"/>
    <w:rsid w:val="00754539"/>
    <w:rsid w:val="00781BC6"/>
    <w:rsid w:val="007A3C86"/>
    <w:rsid w:val="007A683E"/>
    <w:rsid w:val="007A748B"/>
    <w:rsid w:val="007C26E1"/>
    <w:rsid w:val="007D1D65"/>
    <w:rsid w:val="007E0A9E"/>
    <w:rsid w:val="007E5309"/>
    <w:rsid w:val="00800DE1"/>
    <w:rsid w:val="00813F47"/>
    <w:rsid w:val="008450D6"/>
    <w:rsid w:val="00856FCA"/>
    <w:rsid w:val="00873B8C"/>
    <w:rsid w:val="00880E3B"/>
    <w:rsid w:val="00890CDB"/>
    <w:rsid w:val="008A405F"/>
    <w:rsid w:val="008C7F34"/>
    <w:rsid w:val="008E580C"/>
    <w:rsid w:val="0090047A"/>
    <w:rsid w:val="00925026"/>
    <w:rsid w:val="00931264"/>
    <w:rsid w:val="00942A4B"/>
    <w:rsid w:val="00961D59"/>
    <w:rsid w:val="0098200F"/>
    <w:rsid w:val="009B2D55"/>
    <w:rsid w:val="009C0343"/>
    <w:rsid w:val="009E0D11"/>
    <w:rsid w:val="00A24A16"/>
    <w:rsid w:val="00A37D14"/>
    <w:rsid w:val="00A6111E"/>
    <w:rsid w:val="00A6168B"/>
    <w:rsid w:val="00A62028"/>
    <w:rsid w:val="00AA6236"/>
    <w:rsid w:val="00AB6AE7"/>
    <w:rsid w:val="00AC6C25"/>
    <w:rsid w:val="00AD21F5"/>
    <w:rsid w:val="00AE00C1"/>
    <w:rsid w:val="00AE3075"/>
    <w:rsid w:val="00B06225"/>
    <w:rsid w:val="00B23C7A"/>
    <w:rsid w:val="00B24F62"/>
    <w:rsid w:val="00B305F5"/>
    <w:rsid w:val="00B46FF9"/>
    <w:rsid w:val="00B47E1D"/>
    <w:rsid w:val="00B75483"/>
    <w:rsid w:val="00BA7952"/>
    <w:rsid w:val="00BB44B4"/>
    <w:rsid w:val="00BF0BBF"/>
    <w:rsid w:val="00BF6C8A"/>
    <w:rsid w:val="00C05571"/>
    <w:rsid w:val="00C246CE"/>
    <w:rsid w:val="00C30819"/>
    <w:rsid w:val="00C45354"/>
    <w:rsid w:val="00C54711"/>
    <w:rsid w:val="00C57FA2"/>
    <w:rsid w:val="00CC2E4D"/>
    <w:rsid w:val="00CC78A5"/>
    <w:rsid w:val="00CC7B16"/>
    <w:rsid w:val="00CD40DF"/>
    <w:rsid w:val="00CE15FE"/>
    <w:rsid w:val="00D02E15"/>
    <w:rsid w:val="00D14F44"/>
    <w:rsid w:val="00D278E8"/>
    <w:rsid w:val="00D421E8"/>
    <w:rsid w:val="00D44604"/>
    <w:rsid w:val="00D479B3"/>
    <w:rsid w:val="00D52283"/>
    <w:rsid w:val="00D524E5"/>
    <w:rsid w:val="00D57831"/>
    <w:rsid w:val="00D72FEF"/>
    <w:rsid w:val="00D755FA"/>
    <w:rsid w:val="00DB440D"/>
    <w:rsid w:val="00DC4A4E"/>
    <w:rsid w:val="00DC545A"/>
    <w:rsid w:val="00DD1874"/>
    <w:rsid w:val="00DD4BBF"/>
    <w:rsid w:val="00DD63BD"/>
    <w:rsid w:val="00DF05DB"/>
    <w:rsid w:val="00DF7E20"/>
    <w:rsid w:val="00E02726"/>
    <w:rsid w:val="00E172C6"/>
    <w:rsid w:val="00E24309"/>
    <w:rsid w:val="00E53D82"/>
    <w:rsid w:val="00E9330A"/>
    <w:rsid w:val="00EA364C"/>
    <w:rsid w:val="00EE6B97"/>
    <w:rsid w:val="00F12C3B"/>
    <w:rsid w:val="00F26884"/>
    <w:rsid w:val="00F72ECC"/>
    <w:rsid w:val="00F8355F"/>
    <w:rsid w:val="00FA3196"/>
    <w:rsid w:val="00FD60D7"/>
    <w:rsid w:val="00FF549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DE3E166"/>
  <w15:docId w15:val="{BBD87C18-FA16-4248-9DB3-A6991F5A0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paragraph" w:customStyle="1" w:styleId="EndNoteBibliographyTitle">
    <w:name w:val="EndNote Bibliography Title"/>
    <w:basedOn w:val="Normal"/>
    <w:link w:val="EndNoteBibliographyTitleChar"/>
    <w:rsid w:val="006B140F"/>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6B140F"/>
    <w:rPr>
      <w:rFonts w:ascii="Calibri" w:hAnsi="Calibri" w:cs="Calibri"/>
      <w:noProof/>
      <w:lang w:val="en-US"/>
    </w:rPr>
  </w:style>
  <w:style w:type="paragraph" w:customStyle="1" w:styleId="EndNoteBibliography">
    <w:name w:val="EndNote Bibliography"/>
    <w:basedOn w:val="Normal"/>
    <w:link w:val="EndNoteBibliographyChar"/>
    <w:rsid w:val="006B140F"/>
    <w:rPr>
      <w:rFonts w:ascii="Calibri" w:hAnsi="Calibri" w:cs="Calibri"/>
      <w:noProof/>
      <w:lang w:val="en-US"/>
    </w:rPr>
  </w:style>
  <w:style w:type="character" w:customStyle="1" w:styleId="EndNoteBibliographyChar">
    <w:name w:val="EndNote Bibliography Char"/>
    <w:basedOn w:val="DefaultParagraphFont"/>
    <w:link w:val="EndNoteBibliography"/>
    <w:rsid w:val="006B140F"/>
    <w:rPr>
      <w:rFonts w:ascii="Calibri" w:hAnsi="Calibri" w:cs="Calibri"/>
      <w:noProof/>
      <w:lang w:val="en-US"/>
    </w:rPr>
  </w:style>
  <w:style w:type="character" w:styleId="Hyperlink">
    <w:name w:val="Hyperlink"/>
    <w:basedOn w:val="DefaultParagraphFont"/>
    <w:uiPriority w:val="99"/>
    <w:unhideWhenUsed/>
    <w:rsid w:val="006B140F"/>
    <w:rPr>
      <w:color w:val="0000FF" w:themeColor="hyperlink"/>
      <w:u w:val="single"/>
    </w:rPr>
  </w:style>
  <w:style w:type="character" w:customStyle="1" w:styleId="ListParagraphChar">
    <w:name w:val="List Paragraph Char"/>
    <w:basedOn w:val="DefaultParagraphFont"/>
    <w:link w:val="ListParagraph"/>
    <w:uiPriority w:val="34"/>
    <w:rsid w:val="00CD40DF"/>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ject2061.org/publications/bsl/online/index.php" TargetMode="Externa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Z:\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83</TotalTime>
  <Pages>3</Pages>
  <Words>1982</Words>
  <Characters>11303</Characters>
  <Application>Microsoft Office Word</Application>
  <DocSecurity>0</DocSecurity>
  <Lines>94</Lines>
  <Paragraphs>26</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13259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Alistair Moore</dc:creator>
  <cp:lastModifiedBy>Alistair Moore</cp:lastModifiedBy>
  <cp:revision>20</cp:revision>
  <cp:lastPrinted>2017-02-24T16:20:00Z</cp:lastPrinted>
  <dcterms:created xsi:type="dcterms:W3CDTF">2018-12-12T15:08:00Z</dcterms:created>
  <dcterms:modified xsi:type="dcterms:W3CDTF">2018-12-12T18:15:00Z</dcterms:modified>
</cp:coreProperties>
</file>