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E41CCF" w:rsidRDefault="00093726" w:rsidP="00822DA5">
      <w:pPr>
        <w:pStyle w:val="NoSpacing"/>
        <w:rPr>
          <w:b/>
          <w:sz w:val="44"/>
          <w:szCs w:val="44"/>
        </w:rPr>
      </w:pPr>
      <w:r w:rsidRPr="00E41CCF">
        <w:rPr>
          <w:b/>
          <w:sz w:val="44"/>
          <w:szCs w:val="44"/>
        </w:rPr>
        <w:t>Falling apple</w:t>
      </w:r>
    </w:p>
    <w:p w:rsidR="00201AC2" w:rsidRDefault="00201AC2" w:rsidP="00201AC2">
      <w:pPr>
        <w:spacing w:after="180"/>
      </w:pPr>
    </w:p>
    <w:p w:rsidR="00897142" w:rsidRPr="00897142" w:rsidRDefault="00897142" w:rsidP="00897142">
      <w:pPr>
        <w:spacing w:after="180"/>
      </w:pPr>
      <w:r w:rsidRPr="00897142">
        <w:t>As an apple falls its gravitational store is transferred to other stores of energy.</w:t>
      </w:r>
      <w:r w:rsidR="00822DA5">
        <w:t xml:space="preserve"> </w:t>
      </w:r>
    </w:p>
    <w:p w:rsidR="00201AC2" w:rsidRPr="00201AC2" w:rsidRDefault="00897142" w:rsidP="00897142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>
            <wp:extent cx="2664287" cy="2257425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809D9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8175" cy="226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142" w:rsidRPr="00201AC2" w:rsidRDefault="00897142" w:rsidP="006F3279">
      <w:pPr>
        <w:spacing w:after="240"/>
        <w:rPr>
          <w:szCs w:val="18"/>
        </w:rPr>
      </w:pPr>
    </w:p>
    <w:p w:rsidR="00897142" w:rsidRDefault="00897142" w:rsidP="006F3279">
      <w:pPr>
        <w:spacing w:after="240"/>
        <w:rPr>
          <w:szCs w:val="18"/>
        </w:rPr>
      </w:pPr>
      <w:r>
        <w:rPr>
          <w:szCs w:val="18"/>
        </w:rPr>
        <w:t>Describe what happens as the apple falls.</w:t>
      </w:r>
      <w:bookmarkStart w:id="0" w:name="_GoBack"/>
      <w:bookmarkEnd w:id="0"/>
    </w:p>
    <w:p w:rsidR="00897142" w:rsidRDefault="00897142" w:rsidP="00897142">
      <w:pPr>
        <w:spacing w:after="240"/>
        <w:rPr>
          <w:szCs w:val="18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386715</wp:posOffset>
            </wp:positionV>
            <wp:extent cx="6513944" cy="3267075"/>
            <wp:effectExtent l="0" t="0" r="127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8058D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3944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Cs w:val="18"/>
        </w:rPr>
        <w:t>In each row pick one statement that you think is right.</w:t>
      </w:r>
    </w:p>
    <w:p w:rsidR="00897142" w:rsidRDefault="00897142" w:rsidP="006F3279">
      <w:pPr>
        <w:spacing w:after="240"/>
        <w:rPr>
          <w:szCs w:val="18"/>
        </w:rPr>
      </w:pPr>
    </w:p>
    <w:p w:rsidR="00897142" w:rsidRDefault="00897142" w:rsidP="006F3279">
      <w:pPr>
        <w:spacing w:after="240"/>
        <w:rPr>
          <w:szCs w:val="18"/>
        </w:rPr>
      </w:pPr>
    </w:p>
    <w:p w:rsidR="00897142" w:rsidRDefault="00897142" w:rsidP="006F3279">
      <w:pPr>
        <w:spacing w:after="240"/>
        <w:rPr>
          <w:szCs w:val="18"/>
        </w:rPr>
      </w:pPr>
    </w:p>
    <w:p w:rsidR="00897142" w:rsidRPr="00201AC2" w:rsidRDefault="00897142" w:rsidP="006F3279">
      <w:pPr>
        <w:spacing w:after="240"/>
        <w:rPr>
          <w:szCs w:val="18"/>
        </w:rPr>
        <w:sectPr w:rsidR="0089714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106B8" w:rsidRPr="006F3279" w:rsidRDefault="002106B8" w:rsidP="002106B8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09372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Falling apple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2106B8" w:rsidTr="003F16F9">
        <w:trPr>
          <w:trHeight w:val="340"/>
        </w:trPr>
        <w:tc>
          <w:tcPr>
            <w:tcW w:w="2196" w:type="dxa"/>
          </w:tcPr>
          <w:p w:rsidR="002106B8" w:rsidRDefault="002106B8" w:rsidP="002106B8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2106B8" w:rsidRDefault="002106B8" w:rsidP="002106B8">
            <w:pPr>
              <w:spacing w:before="60" w:after="60"/>
            </w:pPr>
            <w:r>
              <w:t>When a force makes things change it mechanically transfers energy between different energy stores.</w:t>
            </w:r>
            <w:r w:rsidR="00822DA5">
              <w:t xml:space="preserve"> </w:t>
            </w:r>
          </w:p>
          <w:p w:rsidR="002106B8" w:rsidRDefault="002106B8" w:rsidP="002106B8">
            <w:pPr>
              <w:spacing w:before="60" w:after="60"/>
            </w:pPr>
            <w:r>
              <w:t>Friction transfers energy mechanically into a heat store of energy.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675475" w:rsidRDefault="00675475" w:rsidP="00093726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/>
              <w:rPr>
                <w:b/>
              </w:rPr>
            </w:pPr>
            <w:r w:rsidRPr="00675475">
              <w:rPr>
                <w:rFonts w:cstheme="minorHAnsi"/>
              </w:rPr>
              <w:t>Explain how energy is almost always transferred to the heat store of the surroundings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2106B8" w:rsidP="0021607B">
            <w:pPr>
              <w:spacing w:before="60" w:after="60"/>
            </w:pPr>
            <w:r>
              <w:t>Diagnostic, e</w:t>
            </w:r>
            <w:r w:rsidRPr="002106B8">
              <w:t>xplanation story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2106B8" w:rsidP="000505CA">
            <w:pPr>
              <w:spacing w:before="60" w:after="60"/>
            </w:pPr>
            <w:r w:rsidRPr="002106B8">
              <w:t>Energy store, energy transfer, force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0307CC" w:rsidRDefault="000307CC" w:rsidP="000307CC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&lt;EndNote&gt;&lt;Cite&gt;&lt;Author&gt;Tracy&lt;/Author&gt;&lt;Year&gt;2014&lt;/Year&gt;&lt;IDText&gt;Science in the new curriculum: an opportunity for change&lt;/IDText&gt;&lt;DisplayText&gt;(Tracy, 2014b; Tracy, 2014a)&lt;/DisplayText&gt;&lt;record&gt;&lt;titles&gt;&lt;title&gt;Science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format="utc"&gt;1530631225&lt;/last-updated-date&gt;&lt;volume&gt;96&lt;/volume&gt;&lt;/record&gt;&lt;/Cite&gt;&lt;Cite&gt;&lt;Author&gt;Tracy&lt;/Author&gt;&lt;Year&gt;2014&lt;/Year&gt;&lt;IDText&gt;Energy in the new curriculum: an opportunity for change&lt;/IDText&gt;&lt;record&gt;&lt;titles&gt;&lt;title&gt;Energy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 w:rsidR="005B3680">
        <w:rPr>
          <w:rFonts w:ascii="Calibri" w:hAnsi="Calibri"/>
          <w:noProof/>
        </w:rPr>
        <w:t>(Tracy, 2014</w:t>
      </w:r>
      <w:r>
        <w:rPr>
          <w:rFonts w:ascii="Calibri" w:hAnsi="Calibri"/>
          <w:noProof/>
        </w:rPr>
        <w:t>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As Millar (2014) says, this approach “is not perfect - but it is adequate and significantly better than [approaches] based on lists of ‘forms of energy’.” 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822DA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675475" w:rsidRDefault="000307CC" w:rsidP="005D3EFC">
      <w:pPr>
        <w:spacing w:after="180"/>
        <w:rPr>
          <w:rFonts w:ascii="Calibri" w:hAnsi="Calibri"/>
        </w:rPr>
      </w:pPr>
      <w:r w:rsidRPr="004C1E4D">
        <w:rPr>
          <w:rFonts w:ascii="Calibri" w:hAnsi="Calibri"/>
        </w:rPr>
        <w:t xml:space="preserve">This </w:t>
      </w:r>
      <w:r>
        <w:rPr>
          <w:rFonts w:ascii="Calibri" w:hAnsi="Calibri"/>
        </w:rPr>
        <w:t xml:space="preserve">question focuses on describing how energy is transferred. </w:t>
      </w:r>
      <w:r w:rsidR="00675475">
        <w:rPr>
          <w:rFonts w:ascii="Calibri" w:hAnsi="Calibri"/>
        </w:rPr>
        <w:t xml:space="preserve">When explaining how energy is transferred, </w:t>
      </w:r>
      <w:r w:rsidR="00675475">
        <w:rPr>
          <w:rFonts w:ascii="Calibri" w:hAnsi="Calibri"/>
        </w:rPr>
        <w:fldChar w:fldCharType="begin"/>
      </w:r>
      <w:r w:rsidR="00675475">
        <w:rPr>
          <w:rFonts w:ascii="Calibri" w:hAnsi="Calibri"/>
        </w:rPr>
        <w:instrText xml:space="preserve"> ADDIN EN.CITE &lt;EndNote&gt;&lt;Cite&gt;&lt;Author&gt;Tracy&lt;/Author&gt;&lt;Year&gt;2014&lt;/Year&gt;&lt;IDText&gt;Energy in the new curriculum: an opportunity for change&lt;/IDText&gt;&lt;DisplayText&gt;(Tracy, 2014)&lt;/DisplayText&gt;&lt;record&gt;&lt;titles&gt;&lt;title&gt;Energy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 w:rsidR="00675475">
        <w:rPr>
          <w:rFonts w:ascii="Calibri" w:hAnsi="Calibri"/>
        </w:rPr>
        <w:fldChar w:fldCharType="separate"/>
      </w:r>
      <w:r w:rsidR="00675475">
        <w:rPr>
          <w:rFonts w:ascii="Calibri" w:hAnsi="Calibri"/>
          <w:noProof/>
        </w:rPr>
        <w:t>Tracy (2014)</w:t>
      </w:r>
      <w:r w:rsidR="00675475">
        <w:rPr>
          <w:rFonts w:ascii="Calibri" w:hAnsi="Calibri"/>
        </w:rPr>
        <w:fldChar w:fldCharType="end"/>
      </w:r>
      <w:r w:rsidR="00675475">
        <w:rPr>
          <w:rFonts w:ascii="Calibri" w:hAnsi="Calibri"/>
        </w:rPr>
        <w:t xml:space="preserve"> recommends that we focus on describing the processes and mechanisms involved. He suggests that trying to identify the ‘energy’ in each step is just a labelling exercise that can get in the way of a clear understanding of what is happening. </w:t>
      </w:r>
    </w:p>
    <w:p w:rsidR="005D3EFC" w:rsidRPr="0083532A" w:rsidRDefault="005D3EFC" w:rsidP="005D3EFC">
      <w:pPr>
        <w:spacing w:after="180"/>
      </w:pPr>
      <w:r>
        <w:rPr>
          <w:rFonts w:ascii="Calibri" w:hAnsi="Calibri"/>
        </w:rPr>
        <w:t>In this question ideas about force are used to explain the transfer of energy.</w:t>
      </w:r>
      <w:r w:rsidR="00822DA5">
        <w:rPr>
          <w:rFonts w:ascii="Calibri" w:hAnsi="Calibri"/>
        </w:rPr>
        <w:t xml:space="preserve"> </w:t>
      </w:r>
      <w:r>
        <w:fldChar w:fldCharType="begin"/>
      </w:r>
      <w:r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>
        <w:fldChar w:fldCharType="separate"/>
      </w:r>
      <w:r>
        <w:rPr>
          <w:noProof/>
        </w:rPr>
        <w:t>Driver et al. (1994)</w:t>
      </w:r>
      <w:r>
        <w:fldChar w:fldCharType="end"/>
      </w:r>
      <w:r>
        <w:t xml:space="preserve"> identify</w:t>
      </w:r>
      <w:r w:rsidRPr="0083532A">
        <w:t xml:space="preserve"> several common mis</w:t>
      </w:r>
      <w:r>
        <w:t>understandings</w:t>
      </w:r>
      <w:r w:rsidRPr="0083532A">
        <w:t xml:space="preserve"> </w:t>
      </w:r>
      <w:r>
        <w:t>that may confuse what students think will happen:</w:t>
      </w:r>
    </w:p>
    <w:p w:rsidR="005D3EFC" w:rsidRPr="0083532A" w:rsidRDefault="005D3EFC" w:rsidP="005D3EFC">
      <w:pPr>
        <w:pStyle w:val="ListParagraph"/>
        <w:numPr>
          <w:ilvl w:val="0"/>
          <w:numId w:val="5"/>
        </w:numPr>
        <w:spacing w:after="180"/>
      </w:pPr>
      <w:r w:rsidRPr="0083532A">
        <w:t xml:space="preserve">if there is </w:t>
      </w:r>
      <w:r>
        <w:t>motion, there is a force acting</w:t>
      </w:r>
    </w:p>
    <w:p w:rsidR="005D3EFC" w:rsidRDefault="005D3EFC" w:rsidP="005D3EFC">
      <w:pPr>
        <w:pStyle w:val="ListParagraph"/>
        <w:numPr>
          <w:ilvl w:val="0"/>
          <w:numId w:val="5"/>
        </w:numPr>
        <w:spacing w:after="180"/>
      </w:pPr>
      <w:r w:rsidRPr="0083532A">
        <w:t>if there is no motion</w:t>
      </w:r>
      <w:r>
        <w:t>, then there is no force acting</w:t>
      </w:r>
    </w:p>
    <w:p w:rsidR="005D3EFC" w:rsidRDefault="005D3EFC" w:rsidP="005D3EFC">
      <w:pPr>
        <w:pStyle w:val="ListParagraph"/>
        <w:numPr>
          <w:ilvl w:val="0"/>
          <w:numId w:val="5"/>
        </w:numPr>
        <w:spacing w:after="180"/>
      </w:pPr>
      <w:r>
        <w:t>there cannot be a force without motion</w:t>
      </w:r>
    </w:p>
    <w:p w:rsidR="005D3EFC" w:rsidRPr="0083532A" w:rsidRDefault="005D3EFC" w:rsidP="005D3EFC">
      <w:pPr>
        <w:pStyle w:val="ListParagraph"/>
        <w:numPr>
          <w:ilvl w:val="0"/>
          <w:numId w:val="5"/>
        </w:numPr>
        <w:spacing w:after="180"/>
      </w:pPr>
      <w:r>
        <w:t>if there is no force, there is no motion</w:t>
      </w:r>
    </w:p>
    <w:p w:rsidR="005D3EFC" w:rsidRPr="0083532A" w:rsidRDefault="005D3EFC" w:rsidP="005D3EFC">
      <w:pPr>
        <w:pStyle w:val="ListParagraph"/>
        <w:numPr>
          <w:ilvl w:val="0"/>
          <w:numId w:val="5"/>
        </w:numPr>
        <w:spacing w:after="180"/>
      </w:pPr>
      <w:r>
        <w:t>w</w:t>
      </w:r>
      <w:r w:rsidRPr="0083532A">
        <w:t>hen moving the force is in the direction of the motion</w:t>
      </w:r>
    </w:p>
    <w:p w:rsidR="005D3EFC" w:rsidRPr="00FE62E8" w:rsidRDefault="005D3EFC" w:rsidP="005D3EFC">
      <w:pPr>
        <w:pStyle w:val="ListParagraph"/>
        <w:numPr>
          <w:ilvl w:val="0"/>
          <w:numId w:val="5"/>
        </w:numPr>
        <w:spacing w:after="180"/>
      </w:pPr>
      <w:r w:rsidRPr="00FE62E8">
        <w:t>constant speed results from a constant force</w:t>
      </w:r>
    </w:p>
    <w:p w:rsidR="000307CC" w:rsidRPr="00BF114C" w:rsidRDefault="000307CC" w:rsidP="000307CC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462630">
        <w:rPr>
          <w:rFonts w:ascii="Calibri" w:hAnsi="Calibri"/>
        </w:rPr>
        <w:t>home</w:t>
      </w:r>
      <w:r>
        <w:rPr>
          <w:rFonts w:ascii="Calibri" w:hAnsi="Calibri"/>
        </w:rPr>
        <w:t xml:space="preserve"> 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CA6A0B" w:rsidRPr="00816065" w:rsidRDefault="00CA6A0B" w:rsidP="00CA6A0B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 w:rsidR="00822DA5"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CA6A0B" w:rsidRPr="00816065" w:rsidRDefault="00CA6A0B" w:rsidP="00CA6A0B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the worksheet.</w:t>
      </w:r>
      <w:r w:rsidR="00822DA5"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 w:rsidR="00822DA5"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CA6A0B" w:rsidRPr="00816065" w:rsidRDefault="00CA6A0B" w:rsidP="00CA6A0B">
      <w:pPr>
        <w:spacing w:after="180"/>
        <w:rPr>
          <w:rFonts w:cstheme="minorHAnsi"/>
        </w:rPr>
      </w:pPr>
      <w:r w:rsidRPr="00816065">
        <w:rPr>
          <w:rFonts w:cstheme="minorHAnsi"/>
        </w:rPr>
        <w:lastRenderedPageBreak/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 w:rsidR="00822DA5">
        <w:rPr>
          <w:rFonts w:cstheme="minorHAnsi"/>
        </w:rPr>
        <w:t xml:space="preserve"> </w:t>
      </w:r>
    </w:p>
    <w:p w:rsidR="00CA6A0B" w:rsidRPr="00816065" w:rsidRDefault="00CA6A0B" w:rsidP="00CA6A0B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CA6A0B" w:rsidRPr="00816065" w:rsidRDefault="00CA6A0B" w:rsidP="00CA6A0B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the each group.</w:t>
      </w:r>
      <w:r w:rsidR="00822DA5"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 w:rsidR="00822DA5"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 w:rsidR="00822DA5"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CA6A0B" w:rsidRPr="00816065" w:rsidRDefault="00CA6A0B" w:rsidP="00CA6A0B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6D060D" w:rsidRDefault="006D060D" w:rsidP="00BF6C8A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noProof/>
          <w:color w:val="5F497A" w:themeColor="accent4" w:themeShade="BF"/>
          <w:sz w:val="24"/>
          <w:lang w:eastAsia="en-GB"/>
        </w:rPr>
        <w:drawing>
          <wp:inline distT="0" distB="0" distL="0" distR="0">
            <wp:extent cx="5731510" cy="303276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807856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6C52B7" w:rsidP="00A01222">
      <w:pPr>
        <w:spacing w:after="180"/>
      </w:pPr>
      <w:r w:rsidRPr="006C52B7">
        <w:t>A</w:t>
      </w:r>
      <w:r>
        <w:t>n unbalanced force acts downwards and accelerates the apple towards the ground.</w:t>
      </w:r>
    </w:p>
    <w:p w:rsidR="006C52B7" w:rsidRDefault="006C52B7" w:rsidP="00A01222">
      <w:pPr>
        <w:spacing w:after="180"/>
      </w:pPr>
      <w:r>
        <w:t>Some students may think that as the apple, at that instant, is not moving there is no force or a balanced force acting on it.</w:t>
      </w:r>
    </w:p>
    <w:p w:rsidR="006C52B7" w:rsidRDefault="006C52B7" w:rsidP="00A01222">
      <w:pPr>
        <w:spacing w:after="180"/>
      </w:pPr>
      <w:r>
        <w:t>On line 3, some may think that to a steady force of gravity keeps the apple falling at a steady speed.</w:t>
      </w:r>
      <w:r w:rsidR="00822DA5">
        <w:t xml:space="preserve"> </w:t>
      </w:r>
      <w:r>
        <w:t>This can be because they are applying their everyday experiences (e.g. the constant push of a car engine) to an unfamiliar situation.</w:t>
      </w:r>
      <w:r w:rsidR="00822DA5">
        <w:t xml:space="preserve"> </w:t>
      </w:r>
      <w:r>
        <w:t xml:space="preserve">The last answer on this line is another example </w:t>
      </w:r>
      <w:r w:rsidR="00F741EF">
        <w:t xml:space="preserve">of applying everyday experience </w:t>
      </w:r>
      <w:r>
        <w:t xml:space="preserve">because </w:t>
      </w:r>
      <w:r w:rsidR="00F741EF">
        <w:t>it describes</w:t>
      </w:r>
      <w:r>
        <w:t xml:space="preserve"> how an apple can ‘appear’ to fall.</w:t>
      </w:r>
    </w:p>
    <w:p w:rsidR="006C52B7" w:rsidRDefault="006C52B7" w:rsidP="00A01222">
      <w:pPr>
        <w:spacing w:after="180"/>
      </w:pPr>
      <w:r>
        <w:t xml:space="preserve">There are </w:t>
      </w:r>
      <w:r w:rsidR="00DB1FBC">
        <w:t>tens of quintillions (10</w:t>
      </w:r>
      <w:r w:rsidR="00DB1FBC" w:rsidRPr="00DB1FBC">
        <w:rPr>
          <w:vertAlign w:val="superscript"/>
        </w:rPr>
        <w:t>18</w:t>
      </w:r>
      <w:r w:rsidR="00DB1FBC">
        <w:t>) of particles in one cubic centimetre of air, but when asked to estimate the separation of two air particles many students guess at several millimetres or even centimetres.</w:t>
      </w:r>
      <w:r w:rsidR="00822DA5">
        <w:t xml:space="preserve"> </w:t>
      </w:r>
      <w:r w:rsidR="00DB1FBC">
        <w:t>This can lead to the idea that an apple can fall between particles of air.</w:t>
      </w:r>
    </w:p>
    <w:p w:rsidR="00DB1FBC" w:rsidRPr="006C52B7" w:rsidRDefault="00DB1FBC" w:rsidP="00A01222">
      <w:pPr>
        <w:spacing w:after="180"/>
      </w:pPr>
      <w:r>
        <w:t xml:space="preserve">Because temperature increases in this example are very small, students may not recognise any change. Topic PMA1: </w:t>
      </w:r>
      <w:r w:rsidRPr="00F741EF">
        <w:rPr>
          <w:i/>
        </w:rPr>
        <w:t xml:space="preserve">Heating and cooling </w:t>
      </w:r>
      <w:r>
        <w:t xml:space="preserve">considers this more thoroughly. When there is friction between two objects or materials, friction acts on both making their particles speed up and their temperatures increase. </w:t>
      </w:r>
    </w:p>
    <w:p w:rsidR="002106B8" w:rsidRDefault="00A01222" w:rsidP="005B3680">
      <w:pPr>
        <w:spacing w:after="180"/>
      </w:pPr>
      <w:r w:rsidRPr="004F039C">
        <w:lastRenderedPageBreak/>
        <w:t xml:space="preserve">If students have </w:t>
      </w:r>
      <w:r w:rsidR="004B1C32">
        <w:t>misunderstanding</w:t>
      </w:r>
      <w:r w:rsidRPr="004F039C">
        <w:t xml:space="preserve">s about </w:t>
      </w:r>
      <w:r w:rsidR="005B3680">
        <w:t>how the apple transfers energy when it falls</w:t>
      </w:r>
      <w:r w:rsidRPr="004F039C">
        <w:t xml:space="preserve">, </w:t>
      </w:r>
      <w:r w:rsidR="005B3680">
        <w:t xml:space="preserve">a suitable response could be for </w:t>
      </w:r>
      <w:r w:rsidR="005B3680" w:rsidRPr="00816065">
        <w:rPr>
          <w:rFonts w:cstheme="minorHAnsi"/>
        </w:rPr>
        <w:t>students</w:t>
      </w:r>
      <w:r w:rsidR="005B3680">
        <w:rPr>
          <w:rFonts w:cstheme="minorHAnsi"/>
        </w:rPr>
        <w:t>, after a classroom discussion,</w:t>
      </w:r>
      <w:r w:rsidR="005B3680" w:rsidRPr="00816065">
        <w:rPr>
          <w:rFonts w:cstheme="minorHAnsi"/>
        </w:rPr>
        <w:t xml:space="preserve"> to be given the opportunity to explain the scientific way o</w:t>
      </w:r>
      <w:r w:rsidR="005B3680">
        <w:rPr>
          <w:rFonts w:cstheme="minorHAnsi"/>
        </w:rPr>
        <w:t>f thinking in their own terms.</w:t>
      </w:r>
      <w:r>
        <w:t xml:space="preserve"> </w:t>
      </w:r>
      <w:r w:rsidR="005B3680" w:rsidRPr="00816065">
        <w:rPr>
          <w:rFonts w:cstheme="minorHAnsi"/>
        </w:rPr>
        <w:t>Or it could give students the opportunity to apply the scientific thinking to a new situation.</w:t>
      </w:r>
    </w:p>
    <w:p w:rsidR="00A01222" w:rsidRPr="002106B8" w:rsidRDefault="00A01222" w:rsidP="00A01222">
      <w:pPr>
        <w:spacing w:after="180"/>
      </w:pPr>
      <w:r w:rsidRPr="002106B8">
        <w:t xml:space="preserve">The following BEST ‘response </w:t>
      </w:r>
      <w:r w:rsidR="00F2483A" w:rsidRPr="002106B8">
        <w:t>activitie</w:t>
      </w:r>
      <w:r w:rsidRPr="002106B8">
        <w:t>s’ could be used in follow-up to this diagnostic question:</w:t>
      </w:r>
    </w:p>
    <w:p w:rsidR="00A01222" w:rsidRPr="002106B8" w:rsidRDefault="00A01222" w:rsidP="00A01222">
      <w:pPr>
        <w:pStyle w:val="ListParagraph"/>
        <w:numPr>
          <w:ilvl w:val="0"/>
          <w:numId w:val="1"/>
        </w:numPr>
        <w:spacing w:after="180"/>
      </w:pPr>
      <w:r w:rsidRPr="002106B8">
        <w:t xml:space="preserve">Response </w:t>
      </w:r>
      <w:r w:rsidR="00F2483A" w:rsidRPr="002106B8">
        <w:t>activity</w:t>
      </w:r>
      <w:r w:rsidRPr="002106B8">
        <w:t xml:space="preserve">: </w:t>
      </w:r>
      <w:r w:rsidR="00096D8D">
        <w:t>Energy transfers circus</w:t>
      </w:r>
    </w:p>
    <w:p w:rsidR="006C52B7" w:rsidRPr="002106B8" w:rsidRDefault="002106B8" w:rsidP="006C52B7">
      <w:pPr>
        <w:pStyle w:val="ListParagraph"/>
        <w:numPr>
          <w:ilvl w:val="0"/>
          <w:numId w:val="1"/>
        </w:numPr>
        <w:spacing w:after="180"/>
      </w:pPr>
      <w:r w:rsidRPr="002106B8">
        <w:t xml:space="preserve">Response activity: Steady </w:t>
      </w:r>
      <w:r w:rsidR="00F741EF">
        <w:t>speed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2106B8">
        <w:t>Peter Fairhurst</w:t>
      </w:r>
      <w:r w:rsidR="0015356E">
        <w:t xml:space="preserve"> (UYSEG)</w:t>
      </w:r>
      <w:r w:rsidR="002106B8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2106B8">
        <w:t>UYSEG</w:t>
      </w:r>
    </w:p>
    <w:p w:rsidR="000307CC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5D3EFC" w:rsidRPr="005D3EFC" w:rsidRDefault="000307CC" w:rsidP="005B3680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5D3EFC" w:rsidRPr="005D3EFC">
        <w:t xml:space="preserve">Boohan, R. (2014). Making sense of energy. </w:t>
      </w:r>
      <w:r w:rsidR="005D3EFC" w:rsidRPr="005D3EFC">
        <w:rPr>
          <w:i/>
        </w:rPr>
        <w:t>School Science Review,</w:t>
      </w:r>
      <w:r w:rsidR="005D3EFC" w:rsidRPr="005D3EFC">
        <w:t xml:space="preserve"> 96(354)</w:t>
      </w:r>
      <w:r w:rsidR="005D3EFC" w:rsidRPr="005D3EFC">
        <w:rPr>
          <w:b/>
        </w:rPr>
        <w:t>,</w:t>
      </w:r>
      <w:r w:rsidR="005D3EFC" w:rsidRPr="005D3EFC">
        <w:t xml:space="preserve"> 11.</w:t>
      </w:r>
    </w:p>
    <w:p w:rsidR="005D3EFC" w:rsidRPr="005D3EFC" w:rsidRDefault="005D3EFC" w:rsidP="005B3680">
      <w:pPr>
        <w:pStyle w:val="EndNoteBibliography"/>
        <w:spacing w:after="120"/>
      </w:pPr>
      <w:r w:rsidRPr="005D3EFC">
        <w:t xml:space="preserve">Driver, R., et al. (1994). </w:t>
      </w:r>
      <w:r w:rsidRPr="005D3EFC">
        <w:rPr>
          <w:i/>
        </w:rPr>
        <w:t xml:space="preserve">Making Sense of Secondary Science: Research into Children's Ideas, </w:t>
      </w:r>
      <w:r w:rsidRPr="005D3EFC">
        <w:t>London, UK: Routledge.</w:t>
      </w:r>
    </w:p>
    <w:p w:rsidR="005D3EFC" w:rsidRPr="005D3EFC" w:rsidRDefault="005D3EFC" w:rsidP="005B3680">
      <w:pPr>
        <w:pStyle w:val="EndNoteBibliography"/>
        <w:spacing w:after="120"/>
      </w:pPr>
      <w:r w:rsidRPr="005D3EFC">
        <w:t xml:space="preserve">Fairhurst, P. (2018). Teaching Energy. [Online]. Available at: </w:t>
      </w:r>
      <w:hyperlink r:id="rId12" w:history="1">
        <w:r w:rsidRPr="005D3EFC">
          <w:rPr>
            <w:rStyle w:val="Hyperlink"/>
          </w:rPr>
          <w:t>https://www.stem.org.uk/best-evidence-science-teaching</w:t>
        </w:r>
      </w:hyperlink>
      <w:r w:rsidRPr="005D3EFC">
        <w:t>.</w:t>
      </w:r>
    </w:p>
    <w:p w:rsidR="005D3EFC" w:rsidRPr="005D3EFC" w:rsidRDefault="005D3EFC" w:rsidP="005B3680">
      <w:pPr>
        <w:pStyle w:val="EndNoteBibliography"/>
        <w:spacing w:after="120"/>
      </w:pPr>
      <w:r w:rsidRPr="005D3EFC">
        <w:t xml:space="preserve">Institute of Physics. </w:t>
      </w:r>
      <w:r w:rsidRPr="005D3EFC">
        <w:rPr>
          <w:i/>
        </w:rPr>
        <w:t xml:space="preserve">Supporting Physics Teaching (SPT): Energy </w:t>
      </w:r>
      <w:r w:rsidRPr="005D3EFC">
        <w:t xml:space="preserve">[Online]. Available at: </w:t>
      </w:r>
      <w:hyperlink r:id="rId13" w:history="1">
        <w:r w:rsidRPr="005D3EFC">
          <w:rPr>
            <w:rStyle w:val="Hyperlink"/>
          </w:rPr>
          <w:t>http://supportingphysicsteaching.net/EnHome.html</w:t>
        </w:r>
      </w:hyperlink>
      <w:r w:rsidRPr="005D3EFC">
        <w:t xml:space="preserve"> [Accessed July 2018].</w:t>
      </w:r>
    </w:p>
    <w:p w:rsidR="005D3EFC" w:rsidRPr="005D3EFC" w:rsidRDefault="005D3EFC" w:rsidP="005B3680">
      <w:pPr>
        <w:pStyle w:val="EndNoteBibliography"/>
        <w:spacing w:after="120"/>
      </w:pPr>
      <w:r w:rsidRPr="005D3EFC">
        <w:t xml:space="preserve">Millar, R. (2014). Teaching about energy: from everyday to scientific understandings. </w:t>
      </w:r>
      <w:r w:rsidRPr="005D3EFC">
        <w:rPr>
          <w:i/>
        </w:rPr>
        <w:t>School Science Review,</w:t>
      </w:r>
      <w:r w:rsidRPr="005D3EFC">
        <w:t xml:space="preserve"> 96(354)</w:t>
      </w:r>
      <w:r w:rsidRPr="005D3EFC">
        <w:rPr>
          <w:b/>
        </w:rPr>
        <w:t>,</w:t>
      </w:r>
      <w:r w:rsidRPr="005D3EFC">
        <w:t xml:space="preserve"> 6.</w:t>
      </w:r>
    </w:p>
    <w:p w:rsidR="005D3EFC" w:rsidRPr="005D3EFC" w:rsidRDefault="005D3EFC" w:rsidP="005B3680">
      <w:pPr>
        <w:pStyle w:val="EndNoteBibliography"/>
        <w:spacing w:after="120"/>
      </w:pPr>
      <w:r>
        <w:t>Tracy, C. (2014</w:t>
      </w:r>
      <w:r w:rsidRPr="005D3EFC">
        <w:t xml:space="preserve">). Energy in the new curriculum: an opportunity for change. </w:t>
      </w:r>
      <w:r w:rsidRPr="005D3EFC">
        <w:rPr>
          <w:i/>
        </w:rPr>
        <w:t>School Science Review,</w:t>
      </w:r>
      <w:r w:rsidRPr="005D3EFC">
        <w:t xml:space="preserve"> 96(354)</w:t>
      </w:r>
      <w:r w:rsidRPr="005D3EFC">
        <w:rPr>
          <w:b/>
        </w:rPr>
        <w:t>,</w:t>
      </w:r>
      <w:r w:rsidRPr="005D3EFC">
        <w:t xml:space="preserve"> 11.</w:t>
      </w:r>
    </w:p>
    <w:p w:rsidR="00B46FF9" w:rsidRPr="004B1C32" w:rsidRDefault="000307CC" w:rsidP="005B3680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4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726" w:rsidRDefault="00093726" w:rsidP="000B473B">
      <w:r>
        <w:separator/>
      </w:r>
    </w:p>
  </w:endnote>
  <w:endnote w:type="continuationSeparator" w:id="0">
    <w:p w:rsidR="00093726" w:rsidRDefault="00093726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9ED0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41CCF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726" w:rsidRDefault="00093726" w:rsidP="000B473B">
      <w:r>
        <w:separator/>
      </w:r>
    </w:p>
  </w:footnote>
  <w:footnote w:type="continuationSeparator" w:id="0">
    <w:p w:rsidR="00093726" w:rsidRDefault="00093726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ABE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DF01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4679F"/>
    <w:multiLevelType w:val="hybridMultilevel"/>
    <w:tmpl w:val="21BA3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22BC1"/>
    <w:multiLevelType w:val="hybridMultilevel"/>
    <w:tmpl w:val="6CB4C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093726"/>
    <w:rsid w:val="00015578"/>
    <w:rsid w:val="00024731"/>
    <w:rsid w:val="00026DEC"/>
    <w:rsid w:val="000307CC"/>
    <w:rsid w:val="000505CA"/>
    <w:rsid w:val="0007651D"/>
    <w:rsid w:val="0009089A"/>
    <w:rsid w:val="00093726"/>
    <w:rsid w:val="000947E2"/>
    <w:rsid w:val="00095E04"/>
    <w:rsid w:val="00096D8D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06B8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2E19F5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62630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B3680"/>
    <w:rsid w:val="005D3EFC"/>
    <w:rsid w:val="005F1A7B"/>
    <w:rsid w:val="006355D8"/>
    <w:rsid w:val="00642ECD"/>
    <w:rsid w:val="006502A0"/>
    <w:rsid w:val="00675475"/>
    <w:rsid w:val="006772F5"/>
    <w:rsid w:val="006A4440"/>
    <w:rsid w:val="006B0615"/>
    <w:rsid w:val="006C52B7"/>
    <w:rsid w:val="006D060D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22DA5"/>
    <w:rsid w:val="008450D6"/>
    <w:rsid w:val="00856FCA"/>
    <w:rsid w:val="00873B8C"/>
    <w:rsid w:val="00880E3B"/>
    <w:rsid w:val="00897142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A6A0B"/>
    <w:rsid w:val="00CC2E4D"/>
    <w:rsid w:val="00CC78A5"/>
    <w:rsid w:val="00CC7B16"/>
    <w:rsid w:val="00CE15FE"/>
    <w:rsid w:val="00D02E15"/>
    <w:rsid w:val="00D04A0D"/>
    <w:rsid w:val="00D14F44"/>
    <w:rsid w:val="00D2217A"/>
    <w:rsid w:val="00D255B5"/>
    <w:rsid w:val="00D278E8"/>
    <w:rsid w:val="00D421E8"/>
    <w:rsid w:val="00D44604"/>
    <w:rsid w:val="00D479B3"/>
    <w:rsid w:val="00D52283"/>
    <w:rsid w:val="00D524E5"/>
    <w:rsid w:val="00D72FEF"/>
    <w:rsid w:val="00D755FA"/>
    <w:rsid w:val="00DB1FBC"/>
    <w:rsid w:val="00DC4A4E"/>
    <w:rsid w:val="00DD1874"/>
    <w:rsid w:val="00DD63BD"/>
    <w:rsid w:val="00DF05DB"/>
    <w:rsid w:val="00DF7E20"/>
    <w:rsid w:val="00E172C6"/>
    <w:rsid w:val="00E24309"/>
    <w:rsid w:val="00E41CCF"/>
    <w:rsid w:val="00E53D82"/>
    <w:rsid w:val="00E9330A"/>
    <w:rsid w:val="00ED77CB"/>
    <w:rsid w:val="00EE6B97"/>
    <w:rsid w:val="00F12C3B"/>
    <w:rsid w:val="00F2483A"/>
    <w:rsid w:val="00F26884"/>
    <w:rsid w:val="00F72ECC"/>
    <w:rsid w:val="00F741EF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D19A6A55-FAD6-4A61-A09B-3126FD09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0307C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307C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307C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307CC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0307CC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22DA5"/>
    <w:pPr>
      <w:spacing w:after="0" w:line="240" w:lineRule="auto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hyperlink" Target="http://supportingphysicsteaching.net/EnHom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stem.org.uk/best-evidence-science-teachi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tmp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67</TotalTime>
  <Pages>4</Pages>
  <Words>1949</Words>
  <Characters>11111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Alistair Moore</cp:lastModifiedBy>
  <cp:revision>18</cp:revision>
  <cp:lastPrinted>2017-02-24T16:20:00Z</cp:lastPrinted>
  <dcterms:created xsi:type="dcterms:W3CDTF">2018-07-11T13:57:00Z</dcterms:created>
  <dcterms:modified xsi:type="dcterms:W3CDTF">2018-08-02T14:18:00Z</dcterms:modified>
</cp:coreProperties>
</file>