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A63A5E" w:rsidP="00201AC2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Types of energy store</w:t>
      </w:r>
    </w:p>
    <w:p w:rsidR="008E3A96" w:rsidRDefault="008E3A96" w:rsidP="00382BCC"/>
    <w:p w:rsidR="00D363F9" w:rsidRPr="00D363F9" w:rsidRDefault="00D363F9" w:rsidP="00D363F9">
      <w:pPr>
        <w:spacing w:after="180"/>
      </w:pPr>
      <w:r w:rsidRPr="00D363F9">
        <w:t>Energy can be stored in different ways.</w:t>
      </w:r>
    </w:p>
    <w:p w:rsidR="00D363F9" w:rsidRPr="00D363F9" w:rsidRDefault="00D363F9" w:rsidP="00382BCC">
      <w:r w:rsidRPr="00D363F9">
        <w:t>Each type of energy store has a special name.</w:t>
      </w:r>
    </w:p>
    <w:p w:rsidR="007C26E1" w:rsidRDefault="007C26E1" w:rsidP="00201AC2">
      <w:pPr>
        <w:spacing w:after="180"/>
      </w:pPr>
    </w:p>
    <w:p w:rsidR="00382BCC" w:rsidRDefault="00D363F9" w:rsidP="00382BCC">
      <w:pPr>
        <w:pStyle w:val="ListParagraph"/>
        <w:numPr>
          <w:ilvl w:val="0"/>
          <w:numId w:val="5"/>
        </w:numPr>
        <w:spacing w:after="180"/>
        <w:ind w:left="426"/>
      </w:pPr>
      <w:r w:rsidRPr="00D363F9">
        <w:t xml:space="preserve">Join each object to </w:t>
      </w:r>
      <w:r w:rsidR="00382BCC">
        <w:t>the</w:t>
      </w:r>
      <w:r w:rsidRPr="00D363F9">
        <w:t xml:space="preserve"> energy store</w:t>
      </w:r>
      <w:r w:rsidR="00382BCC">
        <w:t xml:space="preserve"> that it has</w:t>
      </w:r>
      <w:r w:rsidRPr="00D363F9">
        <w:t>.</w:t>
      </w:r>
      <w:r w:rsidR="004909AD">
        <w:t xml:space="preserve"> </w:t>
      </w:r>
    </w:p>
    <w:p w:rsidR="00201AC2" w:rsidRDefault="00382BCC" w:rsidP="00A95DAE">
      <w:pPr>
        <w:pStyle w:val="ListParagraph"/>
        <w:numPr>
          <w:ilvl w:val="0"/>
          <w:numId w:val="5"/>
        </w:numPr>
        <w:ind w:left="425" w:hanging="357"/>
      </w:pPr>
      <w:r>
        <w:t>And join</w:t>
      </w:r>
      <w:r w:rsidR="00D363F9" w:rsidRPr="00D363F9">
        <w:t xml:space="preserve"> each energy store to </w:t>
      </w:r>
      <w:r>
        <w:t>the</w:t>
      </w:r>
      <w:r w:rsidR="00D363F9" w:rsidRPr="00D363F9">
        <w:t xml:space="preserve"> reason</w:t>
      </w:r>
      <w:r>
        <w:t xml:space="preserve"> you know the object has it</w:t>
      </w:r>
      <w:r w:rsidR="00D363F9" w:rsidRPr="00D363F9">
        <w:t xml:space="preserve">. </w:t>
      </w:r>
    </w:p>
    <w:p w:rsidR="00F13A05" w:rsidRPr="00D363F9" w:rsidRDefault="00F13A05" w:rsidP="008E3A96">
      <w:pPr>
        <w:spacing w:after="180"/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2"/>
        <w:gridCol w:w="939"/>
        <w:gridCol w:w="2143"/>
        <w:gridCol w:w="939"/>
        <w:gridCol w:w="2114"/>
      </w:tblGrid>
      <w:tr w:rsidR="008E3A96" w:rsidRPr="008E3A96" w:rsidTr="002965A0">
        <w:trPr>
          <w:trHeight w:hRule="exact" w:val="454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b/>
                <w:szCs w:val="18"/>
              </w:rPr>
            </w:pPr>
            <w:r w:rsidRPr="008E3A96">
              <w:rPr>
                <w:b/>
                <w:szCs w:val="18"/>
              </w:rPr>
              <w:t>Object(s)</w:t>
            </w:r>
          </w:p>
        </w:tc>
        <w:tc>
          <w:tcPr>
            <w:tcW w:w="907" w:type="dxa"/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b/>
                <w:szCs w:val="18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b/>
                <w:szCs w:val="18"/>
              </w:rPr>
            </w:pPr>
            <w:r w:rsidRPr="008E3A96">
              <w:rPr>
                <w:b/>
                <w:szCs w:val="18"/>
              </w:rPr>
              <w:t>Store of energy</w:t>
            </w:r>
          </w:p>
        </w:tc>
        <w:tc>
          <w:tcPr>
            <w:tcW w:w="907" w:type="dxa"/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b/>
                <w:szCs w:val="18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b/>
                <w:szCs w:val="18"/>
              </w:rPr>
            </w:pPr>
            <w:r w:rsidRPr="008E3A96">
              <w:rPr>
                <w:b/>
                <w:szCs w:val="18"/>
              </w:rPr>
              <w:t>Reason</w:t>
            </w:r>
          </w:p>
        </w:tc>
      </w:tr>
      <w:tr w:rsidR="002965A0" w:rsidTr="002965A0">
        <w:trPr>
          <w:trHeight w:hRule="exact"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7C5A3B" w:rsidP="006F3279">
            <w:pPr>
              <w:spacing w:after="2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-85090</wp:posOffset>
                  </wp:positionV>
                  <wp:extent cx="1286510" cy="435610"/>
                  <wp:effectExtent l="0" t="0" r="889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43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3A96" w:rsidRPr="008E3A96">
              <w:rPr>
                <w:sz w:val="28"/>
                <w:szCs w:val="28"/>
              </w:rPr>
              <w:t>Car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an elastic store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it is moving</w:t>
            </w:r>
          </w:p>
        </w:tc>
      </w:tr>
      <w:tr w:rsidR="002965A0" w:rsidTr="002965A0">
        <w:trPr>
          <w:trHeight w:hRule="exact" w:val="17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6F3279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907" w:type="dxa"/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</w:tr>
      <w:tr w:rsidR="002965A0" w:rsidTr="002965A0">
        <w:trPr>
          <w:trHeight w:hRule="exact"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7C5A3B" w:rsidP="006F3279">
            <w:pPr>
              <w:spacing w:after="2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810895</wp:posOffset>
                  </wp:positionH>
                  <wp:positionV relativeFrom="paragraph">
                    <wp:posOffset>-120650</wp:posOffset>
                  </wp:positionV>
                  <wp:extent cx="719455" cy="463550"/>
                  <wp:effectExtent l="0" t="0" r="444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3A96" w:rsidRPr="008E3A96">
              <w:rPr>
                <w:sz w:val="28"/>
                <w:szCs w:val="28"/>
              </w:rPr>
              <w:t>Burger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a gravitational store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it has chemicals that can react</w:t>
            </w:r>
          </w:p>
        </w:tc>
      </w:tr>
      <w:tr w:rsidR="002965A0" w:rsidTr="002965A0">
        <w:trPr>
          <w:trHeight w:hRule="exact" w:val="17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6F3279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907" w:type="dxa"/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</w:tr>
      <w:tr w:rsidR="002965A0" w:rsidTr="002965A0">
        <w:trPr>
          <w:trHeight w:hRule="exact"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7C5A3B" w:rsidP="006F3279">
            <w:pPr>
              <w:spacing w:after="2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515620</wp:posOffset>
                  </wp:positionH>
                  <wp:positionV relativeFrom="paragraph">
                    <wp:posOffset>-102870</wp:posOffset>
                  </wp:positionV>
                  <wp:extent cx="1176655" cy="481330"/>
                  <wp:effectExtent l="0" t="0" r="444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55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3A96" w:rsidRPr="008E3A96">
              <w:rPr>
                <w:sz w:val="28"/>
                <w:szCs w:val="28"/>
              </w:rPr>
              <w:t>Book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a kinetic store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it is high up</w:t>
            </w:r>
          </w:p>
        </w:tc>
      </w:tr>
      <w:tr w:rsidR="002965A0" w:rsidTr="002965A0">
        <w:trPr>
          <w:trHeight w:hRule="exact" w:val="17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6F3279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907" w:type="dxa"/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</w:tr>
      <w:tr w:rsidR="002965A0" w:rsidTr="002965A0">
        <w:trPr>
          <w:trHeight w:hRule="exact"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7C5A3B" w:rsidP="006F3279">
            <w:pPr>
              <w:spacing w:after="2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782320</wp:posOffset>
                  </wp:positionH>
                  <wp:positionV relativeFrom="paragraph">
                    <wp:posOffset>-109220</wp:posOffset>
                  </wp:positionV>
                  <wp:extent cx="786765" cy="4572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3A96" w:rsidRPr="008E3A96">
              <w:rPr>
                <w:sz w:val="28"/>
                <w:szCs w:val="28"/>
              </w:rPr>
              <w:t>Balloon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a chemical store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it is warmer than the coldest thing</w:t>
            </w:r>
          </w:p>
        </w:tc>
      </w:tr>
      <w:tr w:rsidR="002965A0" w:rsidTr="002965A0">
        <w:trPr>
          <w:trHeight w:hRule="exact" w:val="17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6F3279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907" w:type="dxa"/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</w:tr>
      <w:tr w:rsidR="002965A0" w:rsidTr="002965A0">
        <w:trPr>
          <w:trHeight w:hRule="exact"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7C5A3B" w:rsidP="006F3279">
            <w:pPr>
              <w:spacing w:after="2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118110</wp:posOffset>
                  </wp:positionV>
                  <wp:extent cx="1249680" cy="495300"/>
                  <wp:effectExtent l="0" t="0" r="762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3A96" w:rsidRPr="008E3A96">
              <w:rPr>
                <w:sz w:val="28"/>
                <w:szCs w:val="28"/>
              </w:rPr>
              <w:t>Magnets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a heat store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it is squashed and springy</w:t>
            </w:r>
          </w:p>
        </w:tc>
      </w:tr>
      <w:tr w:rsidR="002965A0" w:rsidTr="002965A0">
        <w:trPr>
          <w:trHeight w:hRule="exact" w:val="17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6F3279">
            <w:pPr>
              <w:spacing w:after="240"/>
              <w:rPr>
                <w:sz w:val="28"/>
                <w:szCs w:val="28"/>
              </w:rPr>
            </w:pPr>
          </w:p>
        </w:tc>
        <w:tc>
          <w:tcPr>
            <w:tcW w:w="907" w:type="dxa"/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</w:tr>
      <w:tr w:rsidR="002965A0" w:rsidTr="002965A0">
        <w:trPr>
          <w:trHeight w:hRule="exact" w:val="14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7C5A3B" w:rsidP="006F3279">
            <w:pPr>
              <w:spacing w:after="24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534670</wp:posOffset>
                  </wp:positionH>
                  <wp:positionV relativeFrom="paragraph">
                    <wp:posOffset>-91440</wp:posOffset>
                  </wp:positionV>
                  <wp:extent cx="1061085" cy="450850"/>
                  <wp:effectExtent l="0" t="0" r="5715" b="635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E3A96" w:rsidRPr="008E3A96">
              <w:rPr>
                <w:sz w:val="28"/>
                <w:szCs w:val="28"/>
              </w:rPr>
              <w:t>Iron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8E3A96" w:rsidRDefault="008E3A96" w:rsidP="006F3279">
            <w:pPr>
              <w:spacing w:after="240"/>
              <w:rPr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an electromagnetic store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96" w:rsidRPr="008E3A96" w:rsidRDefault="008E3A96" w:rsidP="008E3A96">
            <w:pPr>
              <w:spacing w:after="240"/>
              <w:jc w:val="center"/>
              <w:rPr>
                <w:sz w:val="28"/>
                <w:szCs w:val="28"/>
              </w:rPr>
            </w:pPr>
            <w:r w:rsidRPr="008E3A96">
              <w:rPr>
                <w:sz w:val="28"/>
                <w:szCs w:val="28"/>
              </w:rPr>
              <w:t>the magnets will spring apart</w:t>
            </w: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3"/>
          <w:footerReference w:type="default" r:id="rId14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307F6" w:rsidRPr="006F3279" w:rsidRDefault="00C307F6" w:rsidP="00C307F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A63A5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A63A5E">
              <w:rPr>
                <w:b/>
                <w:sz w:val="40"/>
                <w:szCs w:val="40"/>
              </w:rPr>
              <w:t>Types of energy store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C307F6" w:rsidP="0007651D">
            <w:pPr>
              <w:spacing w:before="60" w:after="60"/>
            </w:pPr>
            <w:r w:rsidRPr="00C307F6">
              <w:t xml:space="preserve">An energy store of some kind is necessary for something to happen, and something happens when energy </w:t>
            </w:r>
            <w:r w:rsidR="00FE2331">
              <w:t>transfer</w:t>
            </w:r>
            <w:r w:rsidRPr="00C307F6">
              <w:t>s between energy stores.</w:t>
            </w:r>
            <w:r w:rsidR="004909AD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C307F6" w:rsidRDefault="00C307F6" w:rsidP="00C307F6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C307F6">
              <w:t>Identify the energy stores that a range of different objects have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C307F6" w:rsidP="0021607B">
            <w:pPr>
              <w:spacing w:before="60" w:after="60"/>
            </w:pPr>
            <w:r>
              <w:t>Diagnostic, l</w:t>
            </w:r>
            <w:r w:rsidRPr="00C307F6">
              <w:t>inking ideas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C307F6" w:rsidP="000505CA">
            <w:pPr>
              <w:spacing w:before="60" w:after="60"/>
            </w:pPr>
            <w:r w:rsidRPr="00C307F6">
              <w:t>Energy store, chemical, elastic, electromagnetic, heat, gravitational, kinetic</w:t>
            </w:r>
          </w:p>
        </w:tc>
      </w:tr>
    </w:tbl>
    <w:p w:rsidR="00F72ECC" w:rsidRDefault="00F72ECC" w:rsidP="00F72ECC"/>
    <w:p w:rsidR="00C05571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BF114C" w:rsidRDefault="00BF114C" w:rsidP="00BF114C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format="utc"&gt;1530631153&lt;/last-updated-date&gt;&lt;volume&gt;96&lt;/volume&gt;&lt;/record&gt;&lt;/Cite&gt;&lt;Cite&gt;&lt;Author&gt;Millar&lt;/Author&gt;&lt;Year&gt;2014&lt;/Year&gt;&lt;IDText&gt;Teaching about energy: from everyday to scientific understandings&lt;/IDText&gt;&lt;record&gt;&lt;titles&gt;&lt;title&gt;Teaching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 w:rsidR="00382BCC"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2014b; Tracy, 2014a)&lt;/DisplayText&gt;&lt;record&gt;&lt;titles&gt;&lt;title&gt;Science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format="utc"&gt;1530631225&lt;/last-updated-date&gt;&lt;volume&gt;96&lt;/volume&gt;&lt;/record&gt;&lt;/Cite&gt;&lt;Cite&gt;&lt;Author&gt;Tracy&lt;/Author&gt;&lt;Year&gt;2014&lt;/Year&gt;&lt;IDText&gt;Energy in the new curriculum: an opportunity for change&lt;/IDText&gt;&lt;record&gt;&lt;titles&gt;&lt;title&gt;Energy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 w:rsidR="00382BCC"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As Millar (2014) says, this approach “is not perfect - but it is adequate and significantly better than [approaches] based on lists of ‘forms of energy’.”</w:t>
      </w:r>
      <w:r w:rsidR="004909A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4909A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7353C3" w:rsidRDefault="00382BCC" w:rsidP="00026DEC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When talking about energy, language is important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&lt;EndNote&gt;&lt;Cite&gt;&lt;Author&gt;Rogers&lt;/Author&gt;&lt;Year&gt;2018&lt;/Year&gt;&lt;IDText&gt;The big ideas in physics and how to teach them&lt;/IDText&gt;&lt;DisplayText&gt;(Rogers, 2018)&lt;/DisplayText&gt;&lt;record&gt;&lt;isbn&gt;9781138235076&lt;/isbn&gt;&lt;titles&gt;&lt;title&gt;The big ideas in physics and how to teach them&lt;/title&gt;&lt;/titles&gt;&lt;contributors&gt;&lt;authors&gt;&lt;author&gt;Rogers, Ben.&lt;/author&gt;&lt;/authors&gt;&lt;/contributors&gt;&lt;edition&gt;1&lt;/edition&gt;&lt;added-date format="utc"&gt;1530625541&lt;/added-date&gt;&lt;pub-location&gt;Abingdon and New York&lt;/pub-location&gt;&lt;ref-type name="Book"&gt;6&lt;/ref-type&gt;&lt;dates&gt;&lt;year&gt;2018&lt;/year&gt;&lt;/dates&gt;&lt;rec-number&gt;2&lt;/rec-number&gt;&lt;publisher&gt;Routledge&lt;/publisher&gt;&lt;last-updated-date format="utc"&gt;1530630992&lt;/last-updated-date&gt;&lt;/record&gt;&lt;/Cite&gt;&lt;/EndNote&gt;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(Rogers, 2018)</w:t>
      </w:r>
      <w:r>
        <w:rPr>
          <w:rFonts w:ascii="Calibri" w:hAnsi="Calibri"/>
        </w:rPr>
        <w:fldChar w:fldCharType="end"/>
      </w:r>
      <w:r w:rsidR="00BF114C">
        <w:rPr>
          <w:rFonts w:ascii="Calibri" w:hAnsi="Calibri"/>
        </w:rPr>
        <w:t xml:space="preserve">. </w:t>
      </w:r>
      <w:r>
        <w:rPr>
          <w:rFonts w:ascii="Calibri" w:hAnsi="Calibri"/>
        </w:rPr>
        <w:t>This question introduces the names o</w:t>
      </w:r>
      <w:r w:rsidR="009924D4">
        <w:rPr>
          <w:rFonts w:ascii="Calibri" w:hAnsi="Calibri"/>
        </w:rPr>
        <w:t xml:space="preserve">f the most common energy stores and ways of talking about them. For example: ‘the car has a </w:t>
      </w:r>
      <w:r w:rsidR="009924D4" w:rsidRPr="009924D4">
        <w:rPr>
          <w:rFonts w:ascii="Calibri" w:hAnsi="Calibri"/>
          <w:i/>
        </w:rPr>
        <w:t>kinetic store of energy</w:t>
      </w:r>
      <w:r w:rsidR="009924D4">
        <w:rPr>
          <w:rFonts w:ascii="Calibri" w:hAnsi="Calibri"/>
        </w:rPr>
        <w:t xml:space="preserve">’ and </w:t>
      </w:r>
      <w:r w:rsidR="009924D4" w:rsidRPr="009924D4">
        <w:rPr>
          <w:rFonts w:ascii="Calibri" w:hAnsi="Calibri"/>
          <w:b/>
        </w:rPr>
        <w:t>not</w:t>
      </w:r>
      <w:r w:rsidR="009924D4">
        <w:rPr>
          <w:rFonts w:ascii="Calibri" w:hAnsi="Calibri"/>
        </w:rPr>
        <w:t xml:space="preserve"> ‘the car has kinetic energy’.</w:t>
      </w:r>
      <w:r w:rsidR="007353C3">
        <w:rPr>
          <w:rFonts w:ascii="Calibri" w:hAnsi="Calibri"/>
        </w:rPr>
        <w:t xml:space="preserve"> </w:t>
      </w:r>
    </w:p>
    <w:p w:rsidR="00382BCC" w:rsidRDefault="007353C3" w:rsidP="00026DEC">
      <w:pPr>
        <w:spacing w:after="180"/>
        <w:rPr>
          <w:rFonts w:ascii="Calibri" w:hAnsi="Calibri"/>
        </w:rPr>
      </w:pPr>
      <w:r>
        <w:rPr>
          <w:rFonts w:ascii="Calibri" w:hAnsi="Calibri"/>
        </w:rPr>
        <w:t>Using the very precise language of energy stores can feel quite clunky and cumbersome, and for this reason it is unlikely that it will become a common way of talking about energy. At the early stages of thinking about energy however, consistent use of this language supports students in developing a clear scientific understanding of energy.</w:t>
      </w:r>
    </w:p>
    <w:p w:rsidR="00BF114C" w:rsidRPr="00BF114C" w:rsidRDefault="00BF114C" w:rsidP="00026DEC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7F6FDB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4203A2" w:rsidRPr="00816065" w:rsidRDefault="004203A2" w:rsidP="004203A2">
      <w:pPr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 w:rsidR="004909AD"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4203A2" w:rsidRPr="00816065" w:rsidRDefault="004203A2" w:rsidP="004203A2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the worksheet.</w:t>
      </w:r>
      <w:r w:rsidR="004909AD"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 w:rsidR="004909AD"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4203A2" w:rsidRPr="00816065" w:rsidRDefault="004203A2" w:rsidP="004203A2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 w:rsidR="004909AD">
        <w:rPr>
          <w:rFonts w:cstheme="minorHAnsi"/>
        </w:rPr>
        <w:t xml:space="preserve"> </w:t>
      </w:r>
    </w:p>
    <w:p w:rsidR="004203A2" w:rsidRPr="00816065" w:rsidRDefault="004203A2" w:rsidP="004203A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4203A2" w:rsidRPr="00816065" w:rsidRDefault="004203A2" w:rsidP="006859CE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the each group.</w:t>
      </w:r>
      <w:r w:rsidR="004909AD"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</w:t>
      </w:r>
      <w:r w:rsidRPr="00816065">
        <w:rPr>
          <w:rFonts w:cstheme="minorHAnsi"/>
          <w:color w:val="222222"/>
          <w:shd w:val="clear" w:color="auto" w:fill="FFFFFF"/>
        </w:rPr>
        <w:lastRenderedPageBreak/>
        <w:t xml:space="preserve">strong prior knowledge </w:t>
      </w:r>
      <w:r w:rsidRPr="00816065">
        <w:rPr>
          <w:rFonts w:cstheme="minorHAnsi"/>
        </w:rPr>
        <w:t>as the scribe, and forbid them from contributing any of their own answers.</w:t>
      </w:r>
      <w:r w:rsidR="004909AD"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 w:rsidR="004909AD"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4203A2" w:rsidRPr="00816065" w:rsidRDefault="004203A2" w:rsidP="006859CE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3C6960" w:rsidRDefault="003C6960" w:rsidP="00BF6C8A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noProof/>
          <w:color w:val="5F497A" w:themeColor="accent4" w:themeShade="BF"/>
          <w:sz w:val="24"/>
          <w:lang w:eastAsia="en-GB"/>
        </w:rPr>
        <w:drawing>
          <wp:inline distT="0" distB="0" distL="0" distR="0">
            <wp:extent cx="5731510" cy="3161665"/>
            <wp:effectExtent l="0" t="0" r="254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1C53CB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6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BA09F9" w:rsidRDefault="00BA09F9" w:rsidP="00A01222">
      <w:pPr>
        <w:spacing w:after="180"/>
      </w:pPr>
      <w:r>
        <w:t xml:space="preserve">Students need to be able to </w:t>
      </w:r>
      <w:r w:rsidR="00B25610">
        <w:t xml:space="preserve">confidently </w:t>
      </w:r>
      <w:r>
        <w:t>identify a store of energy from their observations.</w:t>
      </w:r>
      <w:r w:rsidR="004909AD">
        <w:t xml:space="preserve"> </w:t>
      </w:r>
    </w:p>
    <w:p w:rsidR="00BA09F9" w:rsidRDefault="00BA09F9" w:rsidP="00B25610">
      <w:pPr>
        <w:spacing w:after="180"/>
        <w:ind w:left="284"/>
      </w:pPr>
      <w:r>
        <w:t xml:space="preserve">The burger has a chemical store of energy because it contains chemicals that can react with oxygen to </w:t>
      </w:r>
      <w:r w:rsidR="00FE2331">
        <w:t>transfer</w:t>
      </w:r>
      <w:r>
        <w:t xml:space="preserve"> energy into different energy stores, for example during respiration.</w:t>
      </w:r>
    </w:p>
    <w:p w:rsidR="00BA09F9" w:rsidRPr="00BA09F9" w:rsidRDefault="00BA09F9" w:rsidP="00B25610">
      <w:pPr>
        <w:spacing w:after="180"/>
        <w:ind w:left="284"/>
      </w:pPr>
      <w:r>
        <w:t>Everything around us, including the iron, has a heat store of energy because it is warmer than absolute zero</w:t>
      </w:r>
      <w:r w:rsidR="00FE2331">
        <w:t xml:space="preserve"> (-273</w:t>
      </w:r>
      <w:r w:rsidR="00FE2331" w:rsidRPr="00FE2331">
        <w:rPr>
          <w:vertAlign w:val="superscript"/>
        </w:rPr>
        <w:t>o</w:t>
      </w:r>
      <w:r w:rsidR="00FE2331">
        <w:t>C)</w:t>
      </w:r>
      <w:r>
        <w:t>.</w:t>
      </w:r>
    </w:p>
    <w:p w:rsidR="002479B2" w:rsidRDefault="00A01222" w:rsidP="00A01222">
      <w:pPr>
        <w:spacing w:after="180"/>
      </w:pPr>
      <w:r w:rsidRPr="004F039C">
        <w:t xml:space="preserve">If students have </w:t>
      </w:r>
      <w:r w:rsidR="00BA09F9">
        <w:t>difficulty in identifying the different store</w:t>
      </w:r>
      <w:r w:rsidR="006E0AF3">
        <w:t>s</w:t>
      </w:r>
      <w:r w:rsidR="00BA09F9">
        <w:t xml:space="preserve"> of energy, then it can be helpful to give them the opportunity to explain why </w:t>
      </w:r>
      <w:r w:rsidR="006E0AF3">
        <w:t xml:space="preserve">different objects have a particular store of energy, </w:t>
      </w:r>
      <w:r w:rsidR="00B25610">
        <w:t xml:space="preserve">and to do so </w:t>
      </w:r>
      <w:r w:rsidR="006E0AF3">
        <w:t xml:space="preserve">using their own language. This is best done in pairs or small groups to </w:t>
      </w:r>
      <w:r w:rsidR="006E0AF3" w:rsidRPr="00816065">
        <w:rPr>
          <w:rFonts w:cstheme="minorHAnsi"/>
        </w:rPr>
        <w:t>encourage social construction of new ideas through dialogue.</w:t>
      </w:r>
      <w:r w:rsidR="004909AD">
        <w:t xml:space="preserve"> </w:t>
      </w:r>
    </w:p>
    <w:p w:rsidR="00A01222" w:rsidRDefault="00A01222" w:rsidP="00A01222">
      <w:pPr>
        <w:spacing w:after="180"/>
      </w:pPr>
      <w:r w:rsidRPr="002479B2">
        <w:t xml:space="preserve">The following BEST ‘response </w:t>
      </w:r>
      <w:r w:rsidR="00F2483A" w:rsidRPr="002479B2">
        <w:t>activit</w:t>
      </w:r>
      <w:r w:rsidR="002479B2">
        <w:t>y</w:t>
      </w:r>
      <w:r w:rsidRPr="002479B2">
        <w:t>’ could be used in follow-up to this diagnostic question:</w:t>
      </w:r>
    </w:p>
    <w:p w:rsidR="00BA09F9" w:rsidRPr="002479B2" w:rsidRDefault="00A01222" w:rsidP="00BA09F9">
      <w:pPr>
        <w:pStyle w:val="ListParagraph"/>
        <w:numPr>
          <w:ilvl w:val="0"/>
          <w:numId w:val="1"/>
        </w:numPr>
        <w:spacing w:after="180"/>
      </w:pPr>
      <w:r w:rsidRPr="002479B2">
        <w:t xml:space="preserve">Response </w:t>
      </w:r>
      <w:r w:rsidR="00F2483A" w:rsidRPr="002479B2">
        <w:t>activity</w:t>
      </w:r>
      <w:r w:rsidRPr="002479B2">
        <w:t xml:space="preserve">: </w:t>
      </w:r>
      <w:r w:rsidR="002479B2" w:rsidRPr="002479B2">
        <w:t>Energy stores circus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6142E1">
        <w:t>Peter Fairhurst</w:t>
      </w:r>
      <w:r w:rsidR="0015356E">
        <w:t xml:space="preserve"> (UYSEG)</w:t>
      </w:r>
      <w:r w:rsidR="006142E1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6142E1">
        <w:t>UYSEG</w:t>
      </w:r>
    </w:p>
    <w:p w:rsidR="00C24837" w:rsidRDefault="00C24837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References</w:t>
      </w:r>
    </w:p>
    <w:p w:rsidR="00382BCC" w:rsidRPr="00382BCC" w:rsidRDefault="00BF114C" w:rsidP="006142E1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382BCC" w:rsidRPr="00382BCC">
        <w:t xml:space="preserve">Boohan, R. (2014). Making sense of energy. </w:t>
      </w:r>
      <w:r w:rsidR="00382BCC" w:rsidRPr="00382BCC">
        <w:rPr>
          <w:i/>
        </w:rPr>
        <w:t>School Science Review,</w:t>
      </w:r>
      <w:r w:rsidR="00382BCC" w:rsidRPr="00382BCC">
        <w:t xml:space="preserve"> 96(354)</w:t>
      </w:r>
      <w:r w:rsidR="00382BCC" w:rsidRPr="00382BCC">
        <w:rPr>
          <w:b/>
        </w:rPr>
        <w:t>,</w:t>
      </w:r>
      <w:r w:rsidR="00382BCC" w:rsidRPr="00382BCC">
        <w:t xml:space="preserve"> 11.</w:t>
      </w:r>
    </w:p>
    <w:p w:rsidR="00382BCC" w:rsidRPr="00382BCC" w:rsidRDefault="00382BCC" w:rsidP="006142E1">
      <w:pPr>
        <w:pStyle w:val="EndNoteBibliography"/>
        <w:spacing w:after="120"/>
      </w:pPr>
      <w:r w:rsidRPr="00382BCC">
        <w:t xml:space="preserve">Fairhurst, P. (2018). Teaching Energy. [Online]. Available at: </w:t>
      </w:r>
      <w:hyperlink r:id="rId16" w:history="1">
        <w:r w:rsidRPr="00382BCC">
          <w:rPr>
            <w:rStyle w:val="Hyperlink"/>
          </w:rPr>
          <w:t>https://www.stem.org.uk/best-evidence-science-teaching</w:t>
        </w:r>
      </w:hyperlink>
      <w:r w:rsidRPr="00382BCC">
        <w:t>.</w:t>
      </w:r>
    </w:p>
    <w:p w:rsidR="00382BCC" w:rsidRPr="00382BCC" w:rsidRDefault="00382BCC" w:rsidP="006142E1">
      <w:pPr>
        <w:pStyle w:val="EndNoteBibliography"/>
        <w:spacing w:after="120"/>
      </w:pPr>
      <w:r w:rsidRPr="00382BCC">
        <w:t xml:space="preserve">Institute of Physics. </w:t>
      </w:r>
      <w:r w:rsidRPr="00382BCC">
        <w:rPr>
          <w:i/>
        </w:rPr>
        <w:t xml:space="preserve">Supporting Physics Teaching (SPT): Energy </w:t>
      </w:r>
      <w:r w:rsidRPr="00382BCC">
        <w:t xml:space="preserve">[Online]. Available at: </w:t>
      </w:r>
      <w:hyperlink r:id="rId17" w:history="1">
        <w:r w:rsidRPr="00382BCC">
          <w:rPr>
            <w:rStyle w:val="Hyperlink"/>
          </w:rPr>
          <w:t>http://supportingphysicsteaching.net/EnHome.html</w:t>
        </w:r>
      </w:hyperlink>
      <w:r w:rsidRPr="00382BCC">
        <w:t xml:space="preserve"> [Accessed July 2018].</w:t>
      </w:r>
    </w:p>
    <w:p w:rsidR="00382BCC" w:rsidRPr="00382BCC" w:rsidRDefault="00382BCC" w:rsidP="006142E1">
      <w:pPr>
        <w:pStyle w:val="EndNoteBibliography"/>
        <w:spacing w:after="120"/>
      </w:pPr>
      <w:r w:rsidRPr="00382BCC">
        <w:t xml:space="preserve">Millar, R. (2014). Teaching about energy: from everyday to scientific understandings. </w:t>
      </w:r>
      <w:r w:rsidRPr="00382BCC">
        <w:rPr>
          <w:i/>
        </w:rPr>
        <w:t>School Science Review,</w:t>
      </w:r>
      <w:r w:rsidRPr="00382BCC">
        <w:t xml:space="preserve"> 96(354)</w:t>
      </w:r>
      <w:r w:rsidRPr="00382BCC">
        <w:rPr>
          <w:b/>
        </w:rPr>
        <w:t>,</w:t>
      </w:r>
      <w:r w:rsidRPr="00382BCC">
        <w:t xml:space="preserve"> 6.</w:t>
      </w:r>
    </w:p>
    <w:p w:rsidR="00382BCC" w:rsidRPr="00382BCC" w:rsidRDefault="00382BCC" w:rsidP="006142E1">
      <w:pPr>
        <w:pStyle w:val="EndNoteBibliography"/>
        <w:spacing w:after="120"/>
      </w:pPr>
      <w:r w:rsidRPr="00382BCC">
        <w:t xml:space="preserve">Rogers, B. (2018). </w:t>
      </w:r>
      <w:r w:rsidRPr="00382BCC">
        <w:rPr>
          <w:i/>
        </w:rPr>
        <w:t>The big ideas in p</w:t>
      </w:r>
      <w:r w:rsidR="009A3C0A">
        <w:rPr>
          <w:i/>
        </w:rPr>
        <w:t>hysics and how to teach them,</w:t>
      </w:r>
      <w:r w:rsidRPr="00382BCC">
        <w:rPr>
          <w:i/>
        </w:rPr>
        <w:t xml:space="preserve"> </w:t>
      </w:r>
      <w:r w:rsidRPr="00382BCC">
        <w:t>Abingdon and New York: Routledge.</w:t>
      </w:r>
    </w:p>
    <w:p w:rsidR="00382BCC" w:rsidRPr="00382BCC" w:rsidRDefault="00382BCC" w:rsidP="006142E1">
      <w:pPr>
        <w:pStyle w:val="EndNoteBibliography"/>
        <w:spacing w:after="120"/>
      </w:pPr>
      <w:r w:rsidRPr="00382BCC">
        <w:t xml:space="preserve">Tracy, C. (2014). Energy in the new curriculum: an opportunity for change. </w:t>
      </w:r>
      <w:r w:rsidRPr="00382BCC">
        <w:rPr>
          <w:i/>
        </w:rPr>
        <w:t>School Science Review,</w:t>
      </w:r>
      <w:r w:rsidRPr="00382BCC">
        <w:t xml:space="preserve"> 96(354)</w:t>
      </w:r>
      <w:r w:rsidRPr="00382BCC">
        <w:rPr>
          <w:b/>
        </w:rPr>
        <w:t>,</w:t>
      </w:r>
      <w:r w:rsidRPr="00382BCC">
        <w:t xml:space="preserve"> 11.</w:t>
      </w:r>
    </w:p>
    <w:p w:rsidR="00B46FF9" w:rsidRDefault="00BF114C" w:rsidP="006142E1">
      <w:pPr>
        <w:spacing w:after="120"/>
      </w:pPr>
      <w:r>
        <w:fldChar w:fldCharType="end"/>
      </w:r>
    </w:p>
    <w:sectPr w:rsidR="00B46FF9" w:rsidSect="00642ECD">
      <w:headerReference w:type="default" r:id="rId18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5E" w:rsidRDefault="00A63A5E" w:rsidP="000B473B">
      <w:r>
        <w:separator/>
      </w:r>
    </w:p>
  </w:endnote>
  <w:endnote w:type="continuationSeparator" w:id="0">
    <w:p w:rsidR="00A63A5E" w:rsidRDefault="00A63A5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092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F6FDB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5E" w:rsidRDefault="00A63A5E" w:rsidP="000B473B">
      <w:r>
        <w:separator/>
      </w:r>
    </w:p>
  </w:footnote>
  <w:footnote w:type="continuationSeparator" w:id="0">
    <w:p w:rsidR="00A63A5E" w:rsidRDefault="00A63A5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0AC2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408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119C8"/>
    <w:multiLevelType w:val="hybridMultilevel"/>
    <w:tmpl w:val="82E05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5EA4284C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0809000F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C6E32"/>
    <w:multiLevelType w:val="hybridMultilevel"/>
    <w:tmpl w:val="63A6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63A5E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479B2"/>
    <w:rsid w:val="0025410A"/>
    <w:rsid w:val="0025640B"/>
    <w:rsid w:val="0027553E"/>
    <w:rsid w:val="0028012F"/>
    <w:rsid w:val="002828DF"/>
    <w:rsid w:val="00287876"/>
    <w:rsid w:val="00292C53"/>
    <w:rsid w:val="00294E22"/>
    <w:rsid w:val="002965A0"/>
    <w:rsid w:val="002B5D71"/>
    <w:rsid w:val="002C22EA"/>
    <w:rsid w:val="002C59BA"/>
    <w:rsid w:val="002C79AE"/>
    <w:rsid w:val="00301AA9"/>
    <w:rsid w:val="003117F6"/>
    <w:rsid w:val="003533B8"/>
    <w:rsid w:val="003752BE"/>
    <w:rsid w:val="00382BCC"/>
    <w:rsid w:val="003A346A"/>
    <w:rsid w:val="003B2917"/>
    <w:rsid w:val="003B541B"/>
    <w:rsid w:val="003C6960"/>
    <w:rsid w:val="003E2B2F"/>
    <w:rsid w:val="003E6046"/>
    <w:rsid w:val="003F16F9"/>
    <w:rsid w:val="004203A2"/>
    <w:rsid w:val="00430C1F"/>
    <w:rsid w:val="00442595"/>
    <w:rsid w:val="0045323E"/>
    <w:rsid w:val="004909AD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142E1"/>
    <w:rsid w:val="006355D8"/>
    <w:rsid w:val="00642ECD"/>
    <w:rsid w:val="006502A0"/>
    <w:rsid w:val="006772F5"/>
    <w:rsid w:val="006859CE"/>
    <w:rsid w:val="006A4440"/>
    <w:rsid w:val="006B0615"/>
    <w:rsid w:val="006D166B"/>
    <w:rsid w:val="006E0AF3"/>
    <w:rsid w:val="006F3279"/>
    <w:rsid w:val="00704AEE"/>
    <w:rsid w:val="00722F9A"/>
    <w:rsid w:val="007353C3"/>
    <w:rsid w:val="00754539"/>
    <w:rsid w:val="0077646D"/>
    <w:rsid w:val="00781BC6"/>
    <w:rsid w:val="007A3C86"/>
    <w:rsid w:val="007A683E"/>
    <w:rsid w:val="007A748B"/>
    <w:rsid w:val="007B4EB0"/>
    <w:rsid w:val="007C26E1"/>
    <w:rsid w:val="007C5A3B"/>
    <w:rsid w:val="007D1D65"/>
    <w:rsid w:val="007E0A9E"/>
    <w:rsid w:val="007E5309"/>
    <w:rsid w:val="007F6FDB"/>
    <w:rsid w:val="00800DE1"/>
    <w:rsid w:val="00813F47"/>
    <w:rsid w:val="008450D6"/>
    <w:rsid w:val="00856FCA"/>
    <w:rsid w:val="00873B8C"/>
    <w:rsid w:val="00880E3B"/>
    <w:rsid w:val="008A405F"/>
    <w:rsid w:val="008C7F34"/>
    <w:rsid w:val="008E3A96"/>
    <w:rsid w:val="008E580C"/>
    <w:rsid w:val="0090047A"/>
    <w:rsid w:val="00925026"/>
    <w:rsid w:val="00931264"/>
    <w:rsid w:val="00942A4B"/>
    <w:rsid w:val="00961D59"/>
    <w:rsid w:val="009924D4"/>
    <w:rsid w:val="009A3C0A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63A5E"/>
    <w:rsid w:val="00A95DAE"/>
    <w:rsid w:val="00AA5B77"/>
    <w:rsid w:val="00AA6236"/>
    <w:rsid w:val="00AB6AE7"/>
    <w:rsid w:val="00AD21F5"/>
    <w:rsid w:val="00B06225"/>
    <w:rsid w:val="00B23C7A"/>
    <w:rsid w:val="00B25610"/>
    <w:rsid w:val="00B305F5"/>
    <w:rsid w:val="00B46FF9"/>
    <w:rsid w:val="00B47E1D"/>
    <w:rsid w:val="00B75483"/>
    <w:rsid w:val="00BA09F9"/>
    <w:rsid w:val="00BA7952"/>
    <w:rsid w:val="00BB44B4"/>
    <w:rsid w:val="00BF0BBF"/>
    <w:rsid w:val="00BF114C"/>
    <w:rsid w:val="00BF6C8A"/>
    <w:rsid w:val="00C05571"/>
    <w:rsid w:val="00C246CE"/>
    <w:rsid w:val="00C24837"/>
    <w:rsid w:val="00C307F6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363F9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13A05"/>
    <w:rsid w:val="00F2483A"/>
    <w:rsid w:val="00F26884"/>
    <w:rsid w:val="00F72ECC"/>
    <w:rsid w:val="00F8355F"/>
    <w:rsid w:val="00FA3196"/>
    <w:rsid w:val="00FE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C17C5BAD-9E6D-423A-ADD3-C751E843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BF114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F114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F114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F114C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BF1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://supportingphysicsteaching.net/EnHom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tem.org.uk/best-evidence-science-teachi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tmp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74</TotalTime>
  <Pages>4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24</cp:revision>
  <cp:lastPrinted>2017-02-24T16:20:00Z</cp:lastPrinted>
  <dcterms:created xsi:type="dcterms:W3CDTF">2018-07-04T10:26:00Z</dcterms:created>
  <dcterms:modified xsi:type="dcterms:W3CDTF">2018-07-23T11:11:00Z</dcterms:modified>
</cp:coreProperties>
</file>