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9715C" w:rsidP="00201AC2">
      <w:pPr>
        <w:spacing w:after="180"/>
        <w:rPr>
          <w:b/>
          <w:sz w:val="44"/>
          <w:szCs w:val="44"/>
        </w:rPr>
      </w:pPr>
      <w:r>
        <w:rPr>
          <w:b/>
          <w:sz w:val="44"/>
          <w:szCs w:val="44"/>
        </w:rPr>
        <w:t>Adding weight</w:t>
      </w:r>
    </w:p>
    <w:p w:rsidR="006C48A9" w:rsidRDefault="006C48A9" w:rsidP="006C48A9">
      <w:pPr>
        <w:spacing w:before="240" w:after="180"/>
        <w:ind w:right="-46"/>
      </w:pPr>
      <w:r>
        <w:t xml:space="preserve">This </w:t>
      </w:r>
      <w:r w:rsidRPr="00563C6F">
        <w:t>practical</w:t>
      </w:r>
      <w:r w:rsidR="00EC67B8">
        <w:t xml:space="preserve"> activity is about what happens to the forces needed to hold a weight still.</w:t>
      </w:r>
    </w:p>
    <w:p w:rsidR="00EC67B8" w:rsidRDefault="00EC67B8" w:rsidP="006C48A9">
      <w:pPr>
        <w:spacing w:before="240" w:after="180"/>
        <w:ind w:right="-46"/>
      </w:pPr>
      <w:r>
        <w:rPr>
          <w:noProof/>
          <w:lang w:eastAsia="en-GB"/>
        </w:rPr>
        <w:drawing>
          <wp:anchor distT="0" distB="0" distL="114300" distR="114300" simplePos="0" relativeHeight="251658240" behindDoc="1" locked="0" layoutInCell="1" allowOverlap="1">
            <wp:simplePos x="0" y="0"/>
            <wp:positionH relativeFrom="column">
              <wp:posOffset>3217333</wp:posOffset>
            </wp:positionH>
            <wp:positionV relativeFrom="paragraph">
              <wp:posOffset>59690</wp:posOffset>
            </wp:positionV>
            <wp:extent cx="2971800" cy="2093233"/>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182C9C.tmp"/>
                    <pic:cNvPicPr/>
                  </pic:nvPicPr>
                  <pic:blipFill>
                    <a:blip r:embed="rId7">
                      <a:extLst>
                        <a:ext uri="{28A0092B-C50C-407E-A947-70E740481C1C}">
                          <a14:useLocalDpi xmlns:a14="http://schemas.microsoft.com/office/drawing/2010/main" val="0"/>
                        </a:ext>
                      </a:extLst>
                    </a:blip>
                    <a:stretch>
                      <a:fillRect/>
                    </a:stretch>
                  </pic:blipFill>
                  <pic:spPr>
                    <a:xfrm>
                      <a:off x="0" y="0"/>
                      <a:ext cx="2979056" cy="2098344"/>
                    </a:xfrm>
                    <a:prstGeom prst="rect">
                      <a:avLst/>
                    </a:prstGeom>
                  </pic:spPr>
                </pic:pic>
              </a:graphicData>
            </a:graphic>
            <wp14:sizeRelH relativeFrom="margin">
              <wp14:pctWidth>0</wp14:pctWidth>
            </wp14:sizeRelH>
            <wp14:sizeRelV relativeFrom="margin">
              <wp14:pctHeight>0</wp14:pctHeight>
            </wp14:sizeRelV>
          </wp:anchor>
        </w:drawing>
      </w:r>
      <w:r>
        <w:t>To hold a weight in my hand, I need to push up with a force.</w:t>
      </w:r>
    </w:p>
    <w:p w:rsidR="00EC67B8" w:rsidRDefault="00EC67B8" w:rsidP="006C48A9">
      <w:pPr>
        <w:spacing w:before="240" w:after="180"/>
        <w:ind w:right="-46"/>
      </w:pPr>
      <w:r>
        <w:t>The weight pushes down with a force.</w:t>
      </w:r>
    </w:p>
    <w:p w:rsidR="006C48A9" w:rsidRDefault="006C48A9" w:rsidP="006C48A9">
      <w:pPr>
        <w:spacing w:after="180"/>
        <w:rPr>
          <w:b/>
        </w:rPr>
      </w:pPr>
    </w:p>
    <w:p w:rsidR="00EC67B8" w:rsidRDefault="00EC67B8" w:rsidP="006C48A9">
      <w:pPr>
        <w:spacing w:after="180"/>
        <w:rPr>
          <w:b/>
        </w:rPr>
      </w:pPr>
    </w:p>
    <w:p w:rsidR="00EC67B8" w:rsidRDefault="00EC67B8" w:rsidP="006C48A9">
      <w:pPr>
        <w:spacing w:after="120"/>
        <w:rPr>
          <w:b/>
        </w:rPr>
      </w:pPr>
    </w:p>
    <w:p w:rsidR="006C48A9" w:rsidRPr="00E172C6" w:rsidRDefault="00EC67B8" w:rsidP="006C48A9">
      <w:pPr>
        <w:spacing w:after="120"/>
        <w:rPr>
          <w:b/>
        </w:rPr>
      </w:pPr>
      <w:r>
        <w:rPr>
          <w:b/>
        </w:rPr>
        <w:t>Equipment</w:t>
      </w:r>
    </w:p>
    <w:p w:rsidR="006C48A9" w:rsidRDefault="00EC67B8" w:rsidP="006C48A9">
      <w:pPr>
        <w:pStyle w:val="ListParagraph"/>
        <w:numPr>
          <w:ilvl w:val="0"/>
          <w:numId w:val="1"/>
        </w:numPr>
        <w:spacing w:after="120"/>
      </w:pPr>
      <w:r>
        <w:t>Two weights</w:t>
      </w:r>
    </w:p>
    <w:p w:rsidR="006C48A9" w:rsidRPr="005D21F2" w:rsidRDefault="006C48A9" w:rsidP="006C48A9">
      <w:pPr>
        <w:spacing w:after="120"/>
        <w:rPr>
          <w:b/>
          <w:sz w:val="4"/>
          <w:szCs w:val="4"/>
        </w:rPr>
      </w:pPr>
    </w:p>
    <w:p w:rsidR="006C48A9" w:rsidRPr="00E172C6" w:rsidRDefault="006C48A9" w:rsidP="006C48A9">
      <w:pPr>
        <w:spacing w:after="120"/>
        <w:rPr>
          <w:b/>
        </w:rPr>
      </w:pPr>
      <w:r>
        <w:rPr>
          <w:b/>
        </w:rPr>
        <w:t>Predict</w:t>
      </w:r>
    </w:p>
    <w:p w:rsidR="006C48A9" w:rsidRDefault="006C48A9" w:rsidP="006C48A9">
      <w:pPr>
        <w:spacing w:after="120"/>
        <w:ind w:right="1371"/>
      </w:pPr>
      <w:r w:rsidRPr="00A94531">
        <w:t xml:space="preserve">What </w:t>
      </w:r>
      <w:r>
        <w:t>do</w:t>
      </w:r>
      <w:r w:rsidRPr="00A94531">
        <w:t xml:space="preserve"> </w:t>
      </w:r>
      <w:r w:rsidRPr="00564602">
        <w:t>you think</w:t>
      </w:r>
      <w:r w:rsidRPr="00A94531">
        <w:t xml:space="preserve"> </w:t>
      </w:r>
      <w:r>
        <w:t xml:space="preserve">will happen </w:t>
      </w:r>
      <w:r w:rsidR="00EC67B8">
        <w:t>to each force when another weight</w:t>
      </w:r>
      <w:r>
        <w:t xml:space="preserve"> is added?</w:t>
      </w:r>
      <w:r w:rsidR="00297A20">
        <w:t xml:space="preserve"> </w:t>
      </w:r>
    </w:p>
    <w:p w:rsidR="006C48A9" w:rsidRDefault="006C48A9" w:rsidP="006C48A9">
      <w:pPr>
        <w:tabs>
          <w:tab w:val="right" w:leader="dot" w:pos="7655"/>
        </w:tabs>
        <w:spacing w:after="120"/>
      </w:pPr>
      <w:r>
        <w:tab/>
      </w:r>
    </w:p>
    <w:p w:rsidR="006C48A9" w:rsidRDefault="006C48A9" w:rsidP="006C48A9">
      <w:pPr>
        <w:tabs>
          <w:tab w:val="right" w:leader="dot" w:pos="7655"/>
        </w:tabs>
        <w:spacing w:after="120"/>
      </w:pPr>
      <w:r>
        <w:tab/>
      </w:r>
    </w:p>
    <w:p w:rsidR="006C48A9" w:rsidRPr="00E172C6" w:rsidRDefault="006C48A9" w:rsidP="006C48A9">
      <w:pPr>
        <w:spacing w:after="120"/>
        <w:rPr>
          <w:b/>
        </w:rPr>
      </w:pPr>
      <w:r>
        <w:rPr>
          <w:b/>
        </w:rPr>
        <w:t>Explain</w:t>
      </w:r>
    </w:p>
    <w:p w:rsidR="006C48A9" w:rsidRDefault="006C48A9" w:rsidP="006C48A9">
      <w:pPr>
        <w:spacing w:after="120"/>
      </w:pPr>
      <w:r>
        <w:rPr>
          <w:lang w:eastAsia="en-GB"/>
        </w:rPr>
        <w:t>Explain why you think this will happen.</w:t>
      </w:r>
    </w:p>
    <w:p w:rsidR="006C48A9" w:rsidRDefault="006C48A9" w:rsidP="006C48A9">
      <w:pPr>
        <w:tabs>
          <w:tab w:val="right" w:leader="dot" w:pos="7655"/>
        </w:tabs>
        <w:spacing w:after="120"/>
      </w:pPr>
      <w:r>
        <w:tab/>
      </w:r>
    </w:p>
    <w:p w:rsidR="006C48A9" w:rsidRDefault="006C48A9" w:rsidP="006C48A9">
      <w:pPr>
        <w:tabs>
          <w:tab w:val="right" w:leader="dot" w:pos="7655"/>
        </w:tabs>
        <w:spacing w:after="120"/>
      </w:pPr>
      <w:r>
        <w:tab/>
      </w:r>
    </w:p>
    <w:p w:rsidR="006C48A9" w:rsidRPr="008E662A" w:rsidRDefault="006C48A9" w:rsidP="006C48A9">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6C48A9" w:rsidRPr="00563C6F" w:rsidTr="001C5D4A">
        <w:trPr>
          <w:trHeight w:val="323"/>
        </w:trPr>
        <w:tc>
          <w:tcPr>
            <w:tcW w:w="6345" w:type="dxa"/>
            <w:vAlign w:val="center"/>
          </w:tcPr>
          <w:p w:rsidR="006C48A9" w:rsidRPr="00563C6F" w:rsidRDefault="00EC67B8" w:rsidP="001C5D4A">
            <w:pPr>
              <w:tabs>
                <w:tab w:val="right" w:leader="dot" w:pos="7655"/>
              </w:tabs>
              <w:spacing w:after="120"/>
              <w:jc w:val="center"/>
              <w:rPr>
                <w:b/>
              </w:rPr>
            </w:pPr>
            <w:r>
              <w:rPr>
                <w:b/>
              </w:rPr>
              <w:t>Hold a weight in your hand, and then double it.</w:t>
            </w:r>
          </w:p>
        </w:tc>
      </w:tr>
    </w:tbl>
    <w:p w:rsidR="006C48A9" w:rsidRDefault="006C48A9" w:rsidP="006C48A9">
      <w:pPr>
        <w:spacing w:after="120"/>
        <w:rPr>
          <w:b/>
          <w:sz w:val="4"/>
          <w:szCs w:val="4"/>
        </w:rPr>
      </w:pPr>
    </w:p>
    <w:p w:rsidR="006C48A9" w:rsidRPr="00F45BBF" w:rsidRDefault="006C48A9" w:rsidP="006C48A9">
      <w:pPr>
        <w:spacing w:after="120"/>
        <w:rPr>
          <w:b/>
          <w:sz w:val="4"/>
          <w:szCs w:val="4"/>
        </w:rPr>
      </w:pPr>
    </w:p>
    <w:p w:rsidR="006C48A9" w:rsidRPr="00E172C6" w:rsidRDefault="006C48A9" w:rsidP="006C48A9">
      <w:pPr>
        <w:spacing w:after="120"/>
        <w:rPr>
          <w:b/>
        </w:rPr>
      </w:pPr>
      <w:r>
        <w:rPr>
          <w:b/>
        </w:rPr>
        <w:t>Observe</w:t>
      </w:r>
    </w:p>
    <w:p w:rsidR="006C48A9" w:rsidRPr="001D7FBB" w:rsidRDefault="006C48A9" w:rsidP="006C48A9">
      <w:pPr>
        <w:pStyle w:val="23widthparagraph"/>
      </w:pPr>
      <w:r>
        <w:t>Describe what happens</w:t>
      </w:r>
      <w:r w:rsidR="00EC67B8">
        <w:t xml:space="preserve"> to the force you are pushing up with</w:t>
      </w:r>
      <w:r w:rsidRPr="001D7FBB">
        <w:t>.</w:t>
      </w:r>
    </w:p>
    <w:p w:rsidR="006C48A9" w:rsidRDefault="006C48A9" w:rsidP="006C48A9">
      <w:pPr>
        <w:tabs>
          <w:tab w:val="right" w:leader="dot" w:pos="7655"/>
        </w:tabs>
        <w:spacing w:after="120"/>
      </w:pPr>
      <w:r>
        <w:tab/>
      </w:r>
    </w:p>
    <w:p w:rsidR="006C48A9" w:rsidRDefault="006C48A9" w:rsidP="006C48A9">
      <w:pPr>
        <w:tabs>
          <w:tab w:val="right" w:leader="dot" w:pos="7655"/>
        </w:tabs>
        <w:spacing w:after="120"/>
      </w:pPr>
      <w:r>
        <w:tab/>
      </w:r>
    </w:p>
    <w:p w:rsidR="006C48A9" w:rsidRPr="00E172C6" w:rsidRDefault="006C48A9" w:rsidP="006C48A9">
      <w:pPr>
        <w:spacing w:after="120"/>
        <w:rPr>
          <w:b/>
        </w:rPr>
      </w:pPr>
      <w:r>
        <w:rPr>
          <w:b/>
        </w:rPr>
        <w:t>Explain</w:t>
      </w:r>
    </w:p>
    <w:p w:rsidR="006C48A9" w:rsidRDefault="006C48A9" w:rsidP="006C48A9">
      <w:pPr>
        <w:spacing w:after="120"/>
        <w:ind w:right="1371"/>
      </w:pPr>
      <w:r>
        <w:t>Were</w:t>
      </w:r>
      <w:r w:rsidRPr="001D7FBB">
        <w:t xml:space="preserve"> your prediction and explanation </w:t>
      </w:r>
      <w:r>
        <w:t>correct?</w:t>
      </w:r>
    </w:p>
    <w:p w:rsidR="006C48A9" w:rsidRDefault="00EC67B8" w:rsidP="006C48A9">
      <w:pPr>
        <w:spacing w:after="120"/>
        <w:ind w:right="1371"/>
      </w:pPr>
      <w:r>
        <w:t xml:space="preserve">Try to improve your first explanation to explain this more clearly. </w:t>
      </w:r>
    </w:p>
    <w:p w:rsidR="006C48A9" w:rsidRDefault="006C48A9" w:rsidP="006C48A9">
      <w:pPr>
        <w:tabs>
          <w:tab w:val="right" w:leader="dot" w:pos="7655"/>
        </w:tabs>
        <w:spacing w:after="120"/>
      </w:pPr>
      <w:r>
        <w:tab/>
      </w:r>
    </w:p>
    <w:p w:rsidR="006C48A9" w:rsidRPr="00201AC2" w:rsidRDefault="006C48A9" w:rsidP="006C48A9">
      <w:pPr>
        <w:tabs>
          <w:tab w:val="right" w:leader="dot" w:pos="7655"/>
        </w:tabs>
        <w:spacing w:after="120"/>
        <w:rPr>
          <w:szCs w:val="18"/>
        </w:rPr>
      </w:pPr>
      <w:r>
        <w:tab/>
      </w:r>
    </w:p>
    <w:p w:rsidR="006C48A9" w:rsidRDefault="006C48A9" w:rsidP="001B5C08">
      <w:pPr>
        <w:spacing w:after="180"/>
        <w:sectPr w:rsidR="006C48A9" w:rsidSect="00642ECD">
          <w:headerReference w:type="default" r:id="rId8"/>
          <w:footerReference w:type="default" r:id="rId9"/>
          <w:pgSz w:w="11906" w:h="16838" w:code="9"/>
          <w:pgMar w:top="1440" w:right="1440" w:bottom="1440" w:left="1440" w:header="709" w:footer="567" w:gutter="0"/>
          <w:cols w:space="708"/>
          <w:docGrid w:linePitch="360"/>
        </w:sectPr>
      </w:pPr>
    </w:p>
    <w:p w:rsidR="00201AC2" w:rsidRPr="00201AC2" w:rsidRDefault="00201AC2" w:rsidP="006F3279">
      <w:pPr>
        <w:spacing w:after="240"/>
        <w:rPr>
          <w:szCs w:val="18"/>
        </w:rPr>
        <w:sectPr w:rsidR="00201AC2" w:rsidRPr="00201AC2" w:rsidSect="004C7305">
          <w:type w:val="continuous"/>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D72AF9">
        <w:rPr>
          <w:i/>
          <w:sz w:val="18"/>
          <w:szCs w:val="18"/>
        </w:rPr>
        <w:t xml:space="preserve">FM: Forces and motion </w:t>
      </w:r>
      <w:r>
        <w:rPr>
          <w:i/>
          <w:sz w:val="18"/>
          <w:szCs w:val="18"/>
        </w:rPr>
        <w:t>&gt; Topic P</w:t>
      </w:r>
      <w:r w:rsidR="00D72AF9">
        <w:rPr>
          <w:i/>
          <w:sz w:val="18"/>
          <w:szCs w:val="18"/>
        </w:rPr>
        <w:t>FM1</w:t>
      </w:r>
      <w:r>
        <w:rPr>
          <w:i/>
          <w:sz w:val="18"/>
          <w:szCs w:val="18"/>
        </w:rPr>
        <w:t xml:space="preserve">: </w:t>
      </w:r>
      <w:r w:rsidR="00155B60">
        <w:rPr>
          <w:i/>
          <w:sz w:val="18"/>
          <w:szCs w:val="18"/>
        </w:rPr>
        <w:t>Forces</w:t>
      </w:r>
      <w:r w:rsidRPr="00CA4B46">
        <w:rPr>
          <w:i/>
          <w:sz w:val="18"/>
          <w:szCs w:val="18"/>
        </w:rPr>
        <w:t xml:space="preserve"> &gt; </w:t>
      </w:r>
      <w:r>
        <w:rPr>
          <w:i/>
          <w:sz w:val="18"/>
          <w:szCs w:val="18"/>
        </w:rPr>
        <w:t>Key concept</w:t>
      </w:r>
      <w:r w:rsidRPr="00CA4B46">
        <w:rPr>
          <w:i/>
          <w:sz w:val="18"/>
          <w:szCs w:val="18"/>
        </w:rPr>
        <w:t xml:space="preserve"> </w:t>
      </w:r>
      <w:r w:rsidR="00155B60">
        <w:rPr>
          <w:i/>
          <w:sz w:val="18"/>
          <w:szCs w:val="18"/>
        </w:rPr>
        <w:t>PFM1.2</w:t>
      </w:r>
      <w:r w:rsidRPr="00CA4B46">
        <w:rPr>
          <w:i/>
          <w:sz w:val="18"/>
          <w:szCs w:val="18"/>
        </w:rPr>
        <w:t xml:space="preserve">: </w:t>
      </w:r>
      <w:r w:rsidR="00155B60">
        <w:rPr>
          <w:i/>
          <w:sz w:val="18"/>
          <w:szCs w:val="18"/>
        </w:rPr>
        <w:t>Describing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186706" w:rsidP="006F3279">
            <w:pPr>
              <w:spacing w:after="60"/>
              <w:ind w:left="1304"/>
              <w:rPr>
                <w:b/>
                <w:sz w:val="40"/>
                <w:szCs w:val="40"/>
              </w:rPr>
            </w:pPr>
            <w:r>
              <w:rPr>
                <w:b/>
                <w:sz w:val="40"/>
                <w:szCs w:val="40"/>
              </w:rPr>
              <w:t>Adding weight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F10FDF" w:rsidP="00755E81">
            <w:pPr>
              <w:spacing w:before="60" w:after="60"/>
            </w:pPr>
            <w:r w:rsidRPr="00F10FDF">
              <w:t>Forces arise when two objects interact; the force on one object is always equal in size, and opposite in direction to the force on the other object; force arrows indicate the size, direction and location of each force.</w:t>
            </w:r>
            <w:r w:rsidR="00297A20">
              <w:t xml:space="preserve"> </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F20F4F" w:rsidRDefault="00F20F4F" w:rsidP="00F20F4F">
            <w:pPr>
              <w:pStyle w:val="ListParagraph"/>
              <w:numPr>
                <w:ilvl w:val="0"/>
                <w:numId w:val="1"/>
              </w:numPr>
              <w:spacing w:before="60" w:after="60"/>
              <w:ind w:left="388" w:hanging="388"/>
            </w:pPr>
            <w:r w:rsidRPr="00F20F4F">
              <w:t>Label force arrows to describe the action of the force: ‘force exerted on [object A] by [object B]’.</w:t>
            </w:r>
          </w:p>
          <w:p w:rsidR="008634EF" w:rsidRPr="008634EF" w:rsidRDefault="00F20F4F" w:rsidP="00F20F4F">
            <w:pPr>
              <w:pStyle w:val="ListParagraph"/>
              <w:numPr>
                <w:ilvl w:val="0"/>
                <w:numId w:val="1"/>
              </w:numPr>
              <w:spacing w:before="60" w:after="60"/>
              <w:ind w:left="388" w:hanging="388"/>
            </w:pPr>
            <w:r w:rsidRPr="00F20F4F">
              <w:t>Describe how forces always arise in pairs and how the force exerted by object A on object B is equal in size and opposite in direction to the force exerted by object B on object A.</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8634EF" w:rsidP="00F20F4F">
            <w:pPr>
              <w:spacing w:before="60" w:after="60"/>
            </w:pPr>
            <w:r>
              <w:t>Response, p</w:t>
            </w:r>
            <w:r w:rsidR="00F20F4F">
              <w:t>ractical – predict, explain; observe, explain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634EF" w:rsidP="00B51791">
            <w:pPr>
              <w:spacing w:before="60" w:after="60"/>
            </w:pPr>
            <w:r w:rsidRPr="008634EF">
              <w:t xml:space="preserve">Force, </w:t>
            </w:r>
            <w:r w:rsidR="00984E67">
              <w:t xml:space="preserve">weight, </w:t>
            </w:r>
            <w:r w:rsidRPr="008634EF">
              <w:t>Newton, force-arrow</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C1516D">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C1516D">
        <w:t xml:space="preserve">Diagnostic </w:t>
      </w:r>
      <w:r w:rsidR="00E3348F" w:rsidRPr="00C1516D">
        <w:t>question</w:t>
      </w:r>
      <w:r w:rsidRPr="00C1516D">
        <w:t xml:space="preserve">: </w:t>
      </w:r>
      <w:r w:rsidR="00F20F4F">
        <w:t>Describing</w:t>
      </w:r>
      <w:r w:rsidR="00C1516D" w:rsidRPr="00C1516D">
        <w:t xml:space="preserve"> the</w:t>
      </w:r>
      <w:r w:rsidR="00C1516D">
        <w:t xml:space="preserve"> force?</w:t>
      </w:r>
    </w:p>
    <w:p w:rsidR="00C1516D" w:rsidRPr="00A6111E" w:rsidRDefault="00C1516D" w:rsidP="00B00348">
      <w:pPr>
        <w:pStyle w:val="ListParagraph"/>
        <w:numPr>
          <w:ilvl w:val="0"/>
          <w:numId w:val="1"/>
        </w:numPr>
        <w:spacing w:after="180"/>
      </w:pPr>
      <w:r>
        <w:t xml:space="preserve">Diagnostic question: </w:t>
      </w:r>
      <w:r w:rsidR="00F20F4F">
        <w:t xml:space="preserve">Describing a pair of </w:t>
      </w:r>
      <w:r>
        <w:t>force</w:t>
      </w:r>
      <w:r w:rsidR="00F20F4F">
        <w:t>s</w:t>
      </w:r>
      <w:r>
        <w: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51791" w:rsidRDefault="00B51791" w:rsidP="00B51791">
      <w:pPr>
        <w:spacing w:after="180"/>
      </w:pPr>
      <w:r>
        <w:t xml:space="preserve">Driver </w:t>
      </w:r>
      <w:r w:rsidRPr="001412EF">
        <w:rPr>
          <w:i/>
        </w:rPr>
        <w:t>et al</w:t>
      </w:r>
      <w:r>
        <w:t xml:space="preserve"> (1994) stress the importance of paying attention to Newton’s third law in a teaching sequence.</w:t>
      </w:r>
      <w:r w:rsidR="00297A20">
        <w:t xml:space="preserve"> </w:t>
      </w:r>
      <w:r>
        <w:t>They suggest it helps students to appreciate that a force is not a property of an object but forces are characteristic of action</w:t>
      </w:r>
      <w:r w:rsidR="00197C5A">
        <w:t>s</w:t>
      </w:r>
      <w:r>
        <w:t xml:space="preserve"> between objects.</w:t>
      </w:r>
      <w:r w:rsidR="00297A20">
        <w:t xml:space="preserve"> </w:t>
      </w:r>
    </w:p>
    <w:p w:rsidR="00B51791" w:rsidRDefault="00B51791" w:rsidP="00B51791">
      <w:pPr>
        <w:spacing w:after="180"/>
      </w:pPr>
      <w:r>
        <w:t xml:space="preserve">Research by Terry </w:t>
      </w:r>
      <w:r w:rsidRPr="0019159F">
        <w:rPr>
          <w:i/>
        </w:rPr>
        <w:t xml:space="preserve">et al </w:t>
      </w:r>
      <w:r>
        <w:t>(1985) has shown that expressing it in the form: “for every action (force) there is an equal and opposite reaction” is confusing for students aged 11-16.</w:t>
      </w:r>
      <w:r w:rsidR="00297A20">
        <w:t xml:space="preserve"> </w:t>
      </w:r>
      <w:r>
        <w:t xml:space="preserve">It is far clearer to describe in full: the force of object </w:t>
      </w:r>
      <w:proofErr w:type="gramStart"/>
      <w:r>
        <w:t>A</w:t>
      </w:r>
      <w:proofErr w:type="gramEnd"/>
      <w:r>
        <w:t xml:space="preserve"> on object B is equal in size, and opposite in direction to the force of object B pushing on object A.</w:t>
      </w:r>
      <w:r w:rsidR="00297A20">
        <w:t xml:space="preserve"> </w:t>
      </w:r>
    </w:p>
    <w:p w:rsidR="00B51791" w:rsidRPr="00293598" w:rsidRDefault="00B51791" w:rsidP="00B51791">
      <w:pPr>
        <w:spacing w:after="180"/>
        <w:rPr>
          <w:b/>
          <w:color w:val="5F497A" w:themeColor="accent4" w:themeShade="BF"/>
          <w:sz w:val="24"/>
        </w:rPr>
      </w:pPr>
      <w:r>
        <w:t>A key problem for students’ understanding of Newton’s third law is the difficulty in recognising a force of reaction.</w:t>
      </w:r>
      <w:r w:rsidR="00297A20">
        <w:t xml:space="preserve"> </w:t>
      </w:r>
      <w:proofErr w:type="spellStart"/>
      <w:r w:rsidR="0038574A">
        <w:t>Minstrell</w:t>
      </w:r>
      <w:proofErr w:type="spellEnd"/>
      <w:r w:rsidR="0038574A">
        <w:t xml:space="preserve"> (1982) suggests giving students </w:t>
      </w:r>
      <w:r w:rsidR="0038574A" w:rsidRPr="0038574A">
        <w:rPr>
          <w:i/>
        </w:rPr>
        <w:t>bridges</w:t>
      </w:r>
      <w:r w:rsidR="0038574A">
        <w:t xml:space="preserve"> between prior ideas and science ideas.</w:t>
      </w:r>
      <w:r w:rsidR="00297A20">
        <w:t xml:space="preserve"> </w:t>
      </w:r>
      <w:r w:rsidR="0038574A">
        <w:t>In this instance the discussion of adding weights to a hand is an effective way helping students understand the idea that forces always arise in pairs, each of equal size and with opposite direction.</w:t>
      </w:r>
      <w:r w:rsidR="00297A20">
        <w:t xml:space="preserve"> </w:t>
      </w:r>
      <w:r w:rsidR="0038574A">
        <w:t xml:space="preserve">Later in their studies students will need to build on this idea to understand the ‘invisible’ reaction force that, for example, holds a weight on a table top.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7304F2" w:rsidRDefault="007304F2" w:rsidP="007304F2">
      <w:pPr>
        <w:spacing w:after="180"/>
      </w:pPr>
      <w:r>
        <w:t>Students should complete this activity in pairs or small groups, and the focus should be on the discussions.</w:t>
      </w:r>
      <w:r w:rsidR="00297A20">
        <w:t xml:space="preserve"> </w:t>
      </w:r>
      <w:r>
        <w:t>It is through the discussions that students can check their understanding and rehearse their explanations.</w:t>
      </w:r>
    </w:p>
    <w:p w:rsidR="007304F2" w:rsidRDefault="007304F2" w:rsidP="007304F2">
      <w:pPr>
        <w:spacing w:after="180"/>
      </w:pPr>
      <w:r>
        <w:lastRenderedPageBreak/>
        <w:t>To begin, each group should discuss the activity and use their scientific understanding, firstly to predict what they think will happen, and then to explain why they think they are going to be right.</w:t>
      </w:r>
      <w:r w:rsidR="00297A20">
        <w:t xml:space="preserve"> </w:t>
      </w:r>
      <w:r>
        <w:t>If students in any group cannot agree, you may be able to direct them with some careful questioning.</w:t>
      </w:r>
      <w:r w:rsidR="00297A20">
        <w:t xml:space="preserve"> </w:t>
      </w:r>
    </w:p>
    <w:p w:rsidR="007304F2" w:rsidRDefault="007304F2" w:rsidP="007304F2">
      <w:pPr>
        <w:spacing w:after="180"/>
      </w:pPr>
      <w:r>
        <w:t>Students now carry out the practical and after the practical each group should be given the opportunity to change, or improve their explanation.</w:t>
      </w:r>
      <w:r w:rsidR="00297A20">
        <w:t xml:space="preserve"> </w:t>
      </w:r>
      <w:r>
        <w:t>A good way to review your students’ thinking might be through a structured class discussion.</w:t>
      </w:r>
      <w:r w:rsidR="00297A20">
        <w:t xml:space="preserve"> </w:t>
      </w:r>
      <w:r>
        <w:t>You could ask several groups for their explanations and put these on the whiteboard.</w:t>
      </w:r>
      <w:r w:rsidR="00297A20">
        <w:t xml:space="preserve"> </w:t>
      </w:r>
      <w:r>
        <w:t>Then ask other groups to suggest which explanation is the most accurate and the most clearly expressed, and through careful que</w:t>
      </w:r>
      <w:r w:rsidR="002D5399">
        <w:t>stioning work up a clear ‘class-</w:t>
      </w:r>
      <w:r>
        <w:t>explanation’.</w:t>
      </w:r>
      <w:r w:rsidR="00297A20">
        <w:t xml:space="preserve"> </w:t>
      </w:r>
    </w:p>
    <w:p w:rsidR="007304F2" w:rsidRDefault="007304F2" w:rsidP="007304F2">
      <w:pPr>
        <w:spacing w:after="180"/>
      </w:pPr>
      <w:r>
        <w:t>A useful follow up is for individual students to then write down explanations in their own words – without reference to the class explanation on the board (i.e. cover it up).</w:t>
      </w:r>
    </w:p>
    <w:p w:rsidR="007304F2" w:rsidRDefault="007304F2" w:rsidP="007304F2">
      <w:pPr>
        <w:spacing w:after="180"/>
      </w:pPr>
      <w:r>
        <w:t>Differentiation</w:t>
      </w:r>
    </w:p>
    <w:p w:rsidR="00923E87" w:rsidRPr="00DA3B6C" w:rsidRDefault="007304F2" w:rsidP="007304F2">
      <w:pPr>
        <w:spacing w:after="180"/>
      </w:pPr>
      <w:r>
        <w:t>The quality of the discussions can be improved with a careful selection of groups; or by allocating specific roles to students in the each group.</w:t>
      </w:r>
      <w:r w:rsidR="00297A20">
        <w:t xml:space="preserve"> </w:t>
      </w:r>
      <w:r>
        <w:t>For example, you may choose to select a student with strong prior knowledge as a scribe, and forbid them from contributing any of their own answers.</w:t>
      </w:r>
      <w:r w:rsidR="00297A20">
        <w:t xml:space="preserve"> </w:t>
      </w:r>
      <w:r>
        <w:t>They may question the others and only write down what they have been told.</w:t>
      </w:r>
      <w:r w:rsidR="00297A20">
        <w:t xml:space="preserve"> </w:t>
      </w:r>
      <w:r>
        <w:t>This strategy encourages contributions from more members of each group.</w:t>
      </w:r>
      <w:r w:rsidR="00BB1C66">
        <w:t>).</w:t>
      </w:r>
    </w:p>
    <w:p w:rsidR="00923E87"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923E87" w:rsidRDefault="007304F2" w:rsidP="001D0511">
      <w:pPr>
        <w:pStyle w:val="ListParagraph"/>
        <w:numPr>
          <w:ilvl w:val="0"/>
          <w:numId w:val="1"/>
        </w:numPr>
        <w:spacing w:after="180"/>
      </w:pPr>
      <w:r>
        <w:t>Two equal sized masses that can both be held in one hand.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7304F2" w:rsidRDefault="007304F2" w:rsidP="00B26756">
      <w:pPr>
        <w:spacing w:after="180"/>
      </w:pPr>
      <w:r>
        <w:t xml:space="preserve">200g masses are heavy enough for students to notice the effect, and not too </w:t>
      </w:r>
      <w:r w:rsidR="00D87177">
        <w:t>large to fit in one hand</w:t>
      </w:r>
      <w:r>
        <w:t>.</w:t>
      </w:r>
    </w:p>
    <w:p w:rsidR="00B26756" w:rsidRDefault="009C2E9F" w:rsidP="00B26756">
      <w:pPr>
        <w:spacing w:after="180"/>
      </w:pPr>
      <w:r>
        <w:t>Two or three 100</w:t>
      </w:r>
      <w:r w:rsidR="007304F2">
        <w:t xml:space="preserve">g slotted masses could be used </w:t>
      </w:r>
      <w:r>
        <w:t>instead of a single 200g mass</w:t>
      </w:r>
      <w:r w:rsidR="007304F2">
        <w:t>, with the same number being added later.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35748D" w:rsidRDefault="009C21F4" w:rsidP="00B26756">
      <w:pPr>
        <w:spacing w:after="180"/>
      </w:pPr>
      <w:r>
        <w:t>Falling masses may be an issue, and completing the practical whilst seated at a bench reduces this risk.</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9C21F4" w:rsidP="00B00348">
      <w:pPr>
        <w:spacing w:after="180"/>
      </w:pPr>
      <w:r>
        <w:t>When the weight doubles the force of the hand pushing up also doubles</w:t>
      </w:r>
      <w:r w:rsidR="004955C2">
        <w:t>.</w:t>
      </w:r>
      <w:r w:rsidR="00297A20">
        <w:t xml:space="preserve"> </w:t>
      </w:r>
      <w:r w:rsidR="004955C2">
        <w:t>It continues to act upwards.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16E7F">
        <w:t>Peter Fairhurst</w:t>
      </w:r>
      <w:r w:rsidR="0015356E">
        <w:t xml:space="preserve"> (UYSEG</w:t>
      </w:r>
      <w:r w:rsidR="00D16E7F">
        <w:t>).</w:t>
      </w:r>
    </w:p>
    <w:p w:rsidR="00CC78A5" w:rsidRDefault="00D278E8" w:rsidP="00E172C6">
      <w:pPr>
        <w:spacing w:after="180"/>
      </w:pPr>
      <w:r w:rsidRPr="0045323E">
        <w:t xml:space="preserve">Images: </w:t>
      </w:r>
      <w:r w:rsidR="00D16E7F">
        <w:t>UYSEG</w:t>
      </w:r>
    </w:p>
    <w:p w:rsidR="008E7304" w:rsidRDefault="008E7304">
      <w:pPr>
        <w:spacing w:after="200" w:line="276" w:lineRule="auto"/>
        <w:rPr>
          <w:b/>
          <w:color w:val="5F497A" w:themeColor="accent4" w:themeShade="BF"/>
          <w:sz w:val="24"/>
        </w:rPr>
      </w:pPr>
      <w:r>
        <w:rPr>
          <w:b/>
          <w:color w:val="5F497A" w:themeColor="accent4" w:themeShade="BF"/>
          <w:sz w:val="24"/>
        </w:rPr>
        <w:br w:type="page"/>
      </w:r>
      <w:bookmarkStart w:id="0" w:name="_GoBack"/>
      <w:bookmarkEnd w:id="0"/>
    </w:p>
    <w:p w:rsidR="003117F6" w:rsidRPr="002454AC"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8E7304" w:rsidRDefault="008E7304" w:rsidP="00197C5A">
      <w:pPr>
        <w:spacing w:after="120"/>
      </w:pPr>
      <w:r w:rsidRPr="0023040A">
        <w:t>Driver, R., Squires, A., Rushworth, P. and Wood-Robinson, V. (1994) Making sense of secondary science, research into children’s ideas, Routledge, London, England.</w:t>
      </w:r>
    </w:p>
    <w:p w:rsidR="009C21F4" w:rsidRPr="00EF06EE" w:rsidRDefault="009C21F4" w:rsidP="00197C5A">
      <w:pPr>
        <w:spacing w:after="120"/>
      </w:pPr>
      <w:proofErr w:type="spellStart"/>
      <w:r>
        <w:t>Minstrell</w:t>
      </w:r>
      <w:proofErr w:type="spellEnd"/>
      <w:r>
        <w:t xml:space="preserve">, J. (1982) ‘Explaining the “at rest” condition of an object’, </w:t>
      </w:r>
      <w:r>
        <w:rPr>
          <w:i/>
        </w:rPr>
        <w:t>The Physics Teacher</w:t>
      </w:r>
      <w:r>
        <w:t xml:space="preserve"> 20:10-14.</w:t>
      </w:r>
    </w:p>
    <w:p w:rsidR="008E7304" w:rsidRDefault="008E7304" w:rsidP="00197C5A">
      <w:pPr>
        <w:spacing w:after="120"/>
      </w:pPr>
      <w:r>
        <w:t xml:space="preserve">Terry, C., Jones, G. and </w:t>
      </w:r>
      <w:proofErr w:type="spellStart"/>
      <w:r>
        <w:t>Hurford</w:t>
      </w:r>
      <w:proofErr w:type="spellEnd"/>
      <w:r>
        <w:t>, W. (1985) ‘Children’s conceptual understanding for force and equilibrium’, Physics Education 20(4): 162-5.</w:t>
      </w:r>
    </w:p>
    <w:p w:rsidR="00B46FF9" w:rsidRDefault="00B46FF9" w:rsidP="008E7304">
      <w:pPr>
        <w:spacing w:after="180"/>
      </w:pP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639" w:rsidRDefault="00C13639" w:rsidP="000B473B">
      <w:r>
        <w:separator/>
      </w:r>
    </w:p>
  </w:endnote>
  <w:endnote w:type="continuationSeparator" w:id="0">
    <w:p w:rsidR="00C13639" w:rsidRDefault="00C136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9601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97C5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CB4830" w:rsidP="00CB4830">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639" w:rsidRDefault="00C13639" w:rsidP="000B473B">
      <w:r>
        <w:separator/>
      </w:r>
    </w:p>
  </w:footnote>
  <w:footnote w:type="continuationSeparator" w:id="0">
    <w:p w:rsidR="00C13639" w:rsidRDefault="00C136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C0E2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355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8F1E1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5F2EF4"/>
    <w:multiLevelType w:val="hybridMultilevel"/>
    <w:tmpl w:val="F8489D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639"/>
    <w:rsid w:val="0000382C"/>
    <w:rsid w:val="00015578"/>
    <w:rsid w:val="00024731"/>
    <w:rsid w:val="00026DEC"/>
    <w:rsid w:val="000505CA"/>
    <w:rsid w:val="000606E3"/>
    <w:rsid w:val="00072C2E"/>
    <w:rsid w:val="0007651D"/>
    <w:rsid w:val="0009089A"/>
    <w:rsid w:val="000947E2"/>
    <w:rsid w:val="00095E04"/>
    <w:rsid w:val="000A26D9"/>
    <w:rsid w:val="000B473B"/>
    <w:rsid w:val="000D0E89"/>
    <w:rsid w:val="000E2689"/>
    <w:rsid w:val="001144FB"/>
    <w:rsid w:val="00142613"/>
    <w:rsid w:val="00144DA7"/>
    <w:rsid w:val="00152FB2"/>
    <w:rsid w:val="0015356E"/>
    <w:rsid w:val="00155B60"/>
    <w:rsid w:val="00161D3F"/>
    <w:rsid w:val="00186706"/>
    <w:rsid w:val="001915D4"/>
    <w:rsid w:val="00194675"/>
    <w:rsid w:val="00197C5A"/>
    <w:rsid w:val="001A1FED"/>
    <w:rsid w:val="001A40E2"/>
    <w:rsid w:val="001B5C08"/>
    <w:rsid w:val="001C4805"/>
    <w:rsid w:val="001D0511"/>
    <w:rsid w:val="00201AC2"/>
    <w:rsid w:val="00214608"/>
    <w:rsid w:val="002178AC"/>
    <w:rsid w:val="0022547C"/>
    <w:rsid w:val="002454AC"/>
    <w:rsid w:val="0025410A"/>
    <w:rsid w:val="0027553E"/>
    <w:rsid w:val="0028012F"/>
    <w:rsid w:val="002828DF"/>
    <w:rsid w:val="00287876"/>
    <w:rsid w:val="00292C53"/>
    <w:rsid w:val="00294E22"/>
    <w:rsid w:val="00297A20"/>
    <w:rsid w:val="002A08F2"/>
    <w:rsid w:val="002C22EA"/>
    <w:rsid w:val="002C59BA"/>
    <w:rsid w:val="002D5399"/>
    <w:rsid w:val="002F41B2"/>
    <w:rsid w:val="00301AA9"/>
    <w:rsid w:val="003117F6"/>
    <w:rsid w:val="00342102"/>
    <w:rsid w:val="003533B8"/>
    <w:rsid w:val="0035748D"/>
    <w:rsid w:val="003752BE"/>
    <w:rsid w:val="0038574A"/>
    <w:rsid w:val="003912E1"/>
    <w:rsid w:val="003A08C6"/>
    <w:rsid w:val="003A346A"/>
    <w:rsid w:val="003B2917"/>
    <w:rsid w:val="003B541B"/>
    <w:rsid w:val="003E2B2F"/>
    <w:rsid w:val="003E6046"/>
    <w:rsid w:val="003F16F9"/>
    <w:rsid w:val="00430C1F"/>
    <w:rsid w:val="00442595"/>
    <w:rsid w:val="0045323E"/>
    <w:rsid w:val="0048726C"/>
    <w:rsid w:val="004955C2"/>
    <w:rsid w:val="004B0EE1"/>
    <w:rsid w:val="004C7305"/>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B2320"/>
    <w:rsid w:val="006C48A9"/>
    <w:rsid w:val="006D166B"/>
    <w:rsid w:val="006F3279"/>
    <w:rsid w:val="00704AEE"/>
    <w:rsid w:val="00722F9A"/>
    <w:rsid w:val="007304F2"/>
    <w:rsid w:val="00754539"/>
    <w:rsid w:val="00755E81"/>
    <w:rsid w:val="00781BC6"/>
    <w:rsid w:val="007A3C86"/>
    <w:rsid w:val="007A683E"/>
    <w:rsid w:val="007A748B"/>
    <w:rsid w:val="007D1D65"/>
    <w:rsid w:val="007E0A9E"/>
    <w:rsid w:val="007E5309"/>
    <w:rsid w:val="00800DE1"/>
    <w:rsid w:val="00813F47"/>
    <w:rsid w:val="008450D6"/>
    <w:rsid w:val="00856FCA"/>
    <w:rsid w:val="008634EF"/>
    <w:rsid w:val="00873B8C"/>
    <w:rsid w:val="00880E3B"/>
    <w:rsid w:val="00891B3D"/>
    <w:rsid w:val="008A405F"/>
    <w:rsid w:val="008C45A8"/>
    <w:rsid w:val="008C7F34"/>
    <w:rsid w:val="008E580C"/>
    <w:rsid w:val="008E7304"/>
    <w:rsid w:val="0090047A"/>
    <w:rsid w:val="009158ED"/>
    <w:rsid w:val="00923E87"/>
    <w:rsid w:val="00925026"/>
    <w:rsid w:val="00931264"/>
    <w:rsid w:val="00942A4B"/>
    <w:rsid w:val="00961D59"/>
    <w:rsid w:val="00984E67"/>
    <w:rsid w:val="009B2D55"/>
    <w:rsid w:val="009B5C1B"/>
    <w:rsid w:val="009C0343"/>
    <w:rsid w:val="009C21F4"/>
    <w:rsid w:val="009C2E9F"/>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1791"/>
    <w:rsid w:val="00B75483"/>
    <w:rsid w:val="00B93DD2"/>
    <w:rsid w:val="00BA7952"/>
    <w:rsid w:val="00BB1C66"/>
    <w:rsid w:val="00BB44B4"/>
    <w:rsid w:val="00BF0BBF"/>
    <w:rsid w:val="00BF6C8A"/>
    <w:rsid w:val="00C05571"/>
    <w:rsid w:val="00C1190E"/>
    <w:rsid w:val="00C13639"/>
    <w:rsid w:val="00C1516D"/>
    <w:rsid w:val="00C246CE"/>
    <w:rsid w:val="00C57FA2"/>
    <w:rsid w:val="00CB4830"/>
    <w:rsid w:val="00CC2E4D"/>
    <w:rsid w:val="00CC78A5"/>
    <w:rsid w:val="00CC7B16"/>
    <w:rsid w:val="00CE15FE"/>
    <w:rsid w:val="00D02E15"/>
    <w:rsid w:val="00D14F44"/>
    <w:rsid w:val="00D16E7F"/>
    <w:rsid w:val="00D278E8"/>
    <w:rsid w:val="00D421E8"/>
    <w:rsid w:val="00D44604"/>
    <w:rsid w:val="00D479B3"/>
    <w:rsid w:val="00D52283"/>
    <w:rsid w:val="00D524E5"/>
    <w:rsid w:val="00D72AF9"/>
    <w:rsid w:val="00D72FEF"/>
    <w:rsid w:val="00D755FA"/>
    <w:rsid w:val="00D87177"/>
    <w:rsid w:val="00DC4A4E"/>
    <w:rsid w:val="00DD1874"/>
    <w:rsid w:val="00DD63BD"/>
    <w:rsid w:val="00DF14E9"/>
    <w:rsid w:val="00E0092B"/>
    <w:rsid w:val="00E172C6"/>
    <w:rsid w:val="00E24309"/>
    <w:rsid w:val="00E3348F"/>
    <w:rsid w:val="00E53D82"/>
    <w:rsid w:val="00E84086"/>
    <w:rsid w:val="00E9330A"/>
    <w:rsid w:val="00EC67B8"/>
    <w:rsid w:val="00EE6B97"/>
    <w:rsid w:val="00F10FDF"/>
    <w:rsid w:val="00F12C3B"/>
    <w:rsid w:val="00F20F4F"/>
    <w:rsid w:val="00F229B8"/>
    <w:rsid w:val="00F26884"/>
    <w:rsid w:val="00F72ECC"/>
    <w:rsid w:val="00F8355F"/>
    <w:rsid w:val="00F9715C"/>
    <w:rsid w:val="00FA3196"/>
    <w:rsid w:val="00FD0DB2"/>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CFE0AB"/>
  <w15:docId w15:val="{A998F796-6765-48BC-BB9F-21F1B386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6C48A9"/>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74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86</TotalTime>
  <Pages>4</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16</cp:revision>
  <cp:lastPrinted>2017-02-24T16:20:00Z</cp:lastPrinted>
  <dcterms:created xsi:type="dcterms:W3CDTF">2018-05-17T10:28:00Z</dcterms:created>
  <dcterms:modified xsi:type="dcterms:W3CDTF">2018-07-18T09:01:00Z</dcterms:modified>
</cp:coreProperties>
</file>