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28C49" w14:textId="77777777" w:rsidR="00201AC2" w:rsidRPr="007833CD" w:rsidRDefault="007833CD" w:rsidP="00201AC2">
      <w:pPr>
        <w:spacing w:after="180"/>
        <w:rPr>
          <w:b/>
          <w:sz w:val="44"/>
          <w:szCs w:val="44"/>
        </w:rPr>
      </w:pPr>
      <w:r w:rsidRPr="007833CD">
        <w:rPr>
          <w:b/>
          <w:sz w:val="44"/>
          <w:szCs w:val="44"/>
        </w:rPr>
        <w:t>Chemical formula?</w:t>
      </w:r>
    </w:p>
    <w:p w14:paraId="2F1CB01A" w14:textId="77777777" w:rsidR="00201AC2" w:rsidRPr="007833CD" w:rsidRDefault="00201AC2" w:rsidP="00201AC2">
      <w:pPr>
        <w:spacing w:after="180"/>
      </w:pPr>
    </w:p>
    <w:p w14:paraId="7A9C9847" w14:textId="5042BB26" w:rsidR="00201AC2" w:rsidRPr="007833CD" w:rsidRDefault="007833CD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7833CD">
        <w:t xml:space="preserve">Which of the following </w:t>
      </w:r>
      <w:r w:rsidR="00C06259">
        <w:t>shows a</w:t>
      </w:r>
      <w:r w:rsidRPr="007833CD">
        <w:t xml:space="preserve"> chemical formula?</w:t>
      </w:r>
    </w:p>
    <w:p w14:paraId="648ADCE4" w14:textId="77777777" w:rsidR="007833CD" w:rsidRDefault="007833CD" w:rsidP="007833CD">
      <w:pPr>
        <w:pStyle w:val="ListParagraph"/>
        <w:spacing w:after="180"/>
        <w:ind w:left="567"/>
        <w:contextualSpacing w:val="0"/>
      </w:pPr>
    </w:p>
    <w:p w14:paraId="3E4915D5" w14:textId="77777777" w:rsidR="007833CD" w:rsidRPr="007833CD" w:rsidRDefault="007833CD" w:rsidP="007833CD">
      <w:pPr>
        <w:pStyle w:val="ListParagraph"/>
        <w:spacing w:after="180"/>
        <w:ind w:left="567"/>
        <w:contextualSpacing w:val="0"/>
        <w:rPr>
          <w:i/>
        </w:rPr>
      </w:pPr>
      <w:r w:rsidRPr="007833CD">
        <w:rPr>
          <w:i/>
        </w:rPr>
        <w:t>Tick a box to show how confident you are that each answer is right or wrong.</w:t>
      </w:r>
    </w:p>
    <w:p w14:paraId="14D761A6" w14:textId="77777777" w:rsidR="007833CD" w:rsidRDefault="007833CD" w:rsidP="007833CD">
      <w:pPr>
        <w:pStyle w:val="ListParagraph"/>
        <w:spacing w:after="180"/>
        <w:ind w:left="567"/>
        <w:contextualSpacing w:val="0"/>
      </w:pPr>
      <w:r>
        <w:rPr>
          <w:noProof/>
        </w:rPr>
        <w:drawing>
          <wp:inline distT="0" distB="0" distL="0" distR="0" wp14:anchorId="0FDAAC78" wp14:editId="53171FFB">
            <wp:extent cx="5731510" cy="2486025"/>
            <wp:effectExtent l="0" t="0" r="254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9EBE8" w14:textId="77777777" w:rsidR="007833CD" w:rsidRPr="007833CD" w:rsidRDefault="007833CD" w:rsidP="007833CD">
      <w:pPr>
        <w:pStyle w:val="ListParagraph"/>
        <w:spacing w:after="180"/>
        <w:ind w:left="567"/>
        <w:contextualSpacing w:val="0"/>
      </w:pPr>
    </w:p>
    <w:p w14:paraId="4E6BEB83" w14:textId="77777777" w:rsidR="00201AC2" w:rsidRPr="00201AC2" w:rsidRDefault="00201AC2" w:rsidP="006F3279">
      <w:pPr>
        <w:spacing w:after="240"/>
        <w:rPr>
          <w:szCs w:val="18"/>
        </w:rPr>
      </w:pPr>
    </w:p>
    <w:p w14:paraId="1D36DE54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5CFBF8E8" w14:textId="77777777" w:rsidR="007833CD" w:rsidRPr="006F3279" w:rsidRDefault="007833CD" w:rsidP="007833CD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CPS: Particles and structure &gt; Topic CPS2: Elements and compounds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CPS2.2: Symbols and formulae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1F0FBA4B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4988C58E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RPr="007833CD" w14:paraId="4B168BFA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396AA3B1" w14:textId="77777777" w:rsidR="006F3279" w:rsidRPr="007833CD" w:rsidRDefault="007833C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7833CD">
              <w:rPr>
                <w:b/>
                <w:sz w:val="40"/>
                <w:szCs w:val="40"/>
              </w:rPr>
              <w:t>Chemical formula?</w:t>
            </w:r>
          </w:p>
        </w:tc>
      </w:tr>
    </w:tbl>
    <w:p w14:paraId="3B04C505" w14:textId="77777777" w:rsidR="006F3279" w:rsidRPr="007833CD" w:rsidRDefault="006F3279" w:rsidP="00E172C6">
      <w:pPr>
        <w:spacing w:after="180"/>
        <w:rPr>
          <w:b/>
        </w:rPr>
      </w:pPr>
    </w:p>
    <w:p w14:paraId="41072A6E" w14:textId="77777777" w:rsidR="00402E34" w:rsidRPr="007833CD" w:rsidRDefault="00402E34" w:rsidP="00E172C6">
      <w:pPr>
        <w:spacing w:after="180"/>
        <w:rPr>
          <w:b/>
          <w:color w:val="E36C0A" w:themeColor="accent6" w:themeShade="BF"/>
        </w:rPr>
      </w:pPr>
      <w:r w:rsidRPr="007833CD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:rsidRPr="007833CD" w14:paraId="33376046" w14:textId="77777777" w:rsidTr="003F16F9">
        <w:trPr>
          <w:trHeight w:val="340"/>
        </w:trPr>
        <w:tc>
          <w:tcPr>
            <w:tcW w:w="2196" w:type="dxa"/>
          </w:tcPr>
          <w:p w14:paraId="4AF3A117" w14:textId="77777777" w:rsidR="00FA5B3A" w:rsidRPr="007833CD" w:rsidRDefault="00FA5B3A" w:rsidP="00FA5B3A">
            <w:pPr>
              <w:spacing w:before="60" w:after="60"/>
            </w:pPr>
            <w:r w:rsidRPr="007833CD">
              <w:t>Learning focus:</w:t>
            </w:r>
          </w:p>
        </w:tc>
        <w:tc>
          <w:tcPr>
            <w:tcW w:w="6820" w:type="dxa"/>
          </w:tcPr>
          <w:p w14:paraId="7F77D51B" w14:textId="719D2390" w:rsidR="00FA5B3A" w:rsidRPr="007833CD" w:rsidRDefault="007833CD" w:rsidP="00FA5B3A">
            <w:pPr>
              <w:spacing w:before="60" w:after="60"/>
            </w:pPr>
            <w:r w:rsidRPr="007833CD">
              <w:t>A chemical formula provides information on the composition of a</w:t>
            </w:r>
            <w:r w:rsidR="001F1DAC">
              <w:t xml:space="preserve"> substance</w:t>
            </w:r>
            <w:r w:rsidRPr="007833CD">
              <w:t>.</w:t>
            </w:r>
          </w:p>
        </w:tc>
      </w:tr>
      <w:tr w:rsidR="00FA5B3A" w:rsidRPr="007833CD" w14:paraId="5E7EDC14" w14:textId="77777777" w:rsidTr="003F16F9">
        <w:trPr>
          <w:trHeight w:val="340"/>
        </w:trPr>
        <w:tc>
          <w:tcPr>
            <w:tcW w:w="2196" w:type="dxa"/>
          </w:tcPr>
          <w:p w14:paraId="6E7533D2" w14:textId="77777777" w:rsidR="00FA5B3A" w:rsidRPr="007833CD" w:rsidRDefault="00FA5B3A" w:rsidP="00FA5B3A">
            <w:pPr>
              <w:spacing w:before="60" w:after="60"/>
            </w:pPr>
            <w:r w:rsidRPr="007833CD">
              <w:t>Observable learning outcome:</w:t>
            </w:r>
          </w:p>
        </w:tc>
        <w:tc>
          <w:tcPr>
            <w:tcW w:w="6820" w:type="dxa"/>
          </w:tcPr>
          <w:p w14:paraId="2151E9B0" w14:textId="77777777" w:rsidR="00FA5B3A" w:rsidRPr="007833CD" w:rsidRDefault="007833CD" w:rsidP="00FA5B3A">
            <w:pPr>
              <w:spacing w:before="60" w:after="60"/>
              <w:rPr>
                <w:b/>
              </w:rPr>
            </w:pPr>
            <w:r w:rsidRPr="007833CD">
              <w:t>Recognise a chemical formula.</w:t>
            </w:r>
          </w:p>
        </w:tc>
      </w:tr>
      <w:tr w:rsidR="00FA5B3A" w:rsidRPr="007833CD" w14:paraId="47FCC630" w14:textId="77777777" w:rsidTr="003F16F9">
        <w:trPr>
          <w:trHeight w:val="340"/>
        </w:trPr>
        <w:tc>
          <w:tcPr>
            <w:tcW w:w="2196" w:type="dxa"/>
          </w:tcPr>
          <w:p w14:paraId="43CDCE9F" w14:textId="77777777" w:rsidR="00FA5B3A" w:rsidRPr="007833CD" w:rsidRDefault="007F5D5D" w:rsidP="00FA5B3A">
            <w:pPr>
              <w:spacing w:before="60" w:after="60"/>
            </w:pPr>
            <w:r w:rsidRPr="007833CD">
              <w:t>Question</w:t>
            </w:r>
            <w:r w:rsidR="00FA5B3A" w:rsidRPr="007833CD">
              <w:t xml:space="preserve"> type:</w:t>
            </w:r>
          </w:p>
        </w:tc>
        <w:tc>
          <w:tcPr>
            <w:tcW w:w="6820" w:type="dxa"/>
          </w:tcPr>
          <w:p w14:paraId="497C7E0E" w14:textId="77777777" w:rsidR="00FA5B3A" w:rsidRPr="007833CD" w:rsidRDefault="007833CD" w:rsidP="00FA5B3A">
            <w:pPr>
              <w:spacing w:before="60" w:after="60"/>
            </w:pPr>
            <w:r w:rsidRPr="007833CD">
              <w:t>confidence grid</w:t>
            </w:r>
          </w:p>
        </w:tc>
      </w:tr>
      <w:tr w:rsidR="00FA5B3A" w14:paraId="7DB0741E" w14:textId="77777777" w:rsidTr="003F16F9">
        <w:trPr>
          <w:trHeight w:val="340"/>
        </w:trPr>
        <w:tc>
          <w:tcPr>
            <w:tcW w:w="2196" w:type="dxa"/>
          </w:tcPr>
          <w:p w14:paraId="474BF6E1" w14:textId="77777777" w:rsidR="00FA5B3A" w:rsidRPr="007833CD" w:rsidRDefault="00FA5B3A" w:rsidP="00FA5B3A">
            <w:pPr>
              <w:spacing w:before="60" w:after="60"/>
            </w:pPr>
            <w:r w:rsidRPr="007833CD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484AEE9A" w14:textId="6FF9AE6F" w:rsidR="00FA5B3A" w:rsidRDefault="00211344" w:rsidP="00FA5B3A">
            <w:pPr>
              <w:spacing w:before="60" w:after="60"/>
            </w:pPr>
            <w:r>
              <w:t>c</w:t>
            </w:r>
            <w:bookmarkStart w:id="0" w:name="_GoBack"/>
            <w:bookmarkEnd w:id="0"/>
            <w:r>
              <w:t xml:space="preserve">hemical </w:t>
            </w:r>
            <w:r w:rsidR="007833CD" w:rsidRPr="007833CD">
              <w:t>formula</w:t>
            </w:r>
          </w:p>
        </w:tc>
      </w:tr>
    </w:tbl>
    <w:p w14:paraId="75638B7F" w14:textId="77777777" w:rsidR="007833CD" w:rsidRDefault="007833CD" w:rsidP="00026DEC">
      <w:pPr>
        <w:spacing w:after="180"/>
        <w:rPr>
          <w:b/>
          <w:color w:val="E36C0A" w:themeColor="accent6" w:themeShade="BF"/>
          <w:sz w:val="24"/>
        </w:rPr>
      </w:pPr>
    </w:p>
    <w:p w14:paraId="06EB76DC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123B82CF" w14:textId="346A3317" w:rsidR="00C05571" w:rsidRPr="002738A0" w:rsidRDefault="005606C1" w:rsidP="0050055B">
      <w:pPr>
        <w:spacing w:after="180"/>
      </w:pPr>
      <w:r w:rsidRPr="002738A0">
        <w:t xml:space="preserve">A research study </w:t>
      </w:r>
      <w:r w:rsidRPr="002738A0">
        <w:fldChar w:fldCharType="begin"/>
      </w:r>
      <w:r w:rsidRPr="002738A0">
        <w:instrText xml:space="preserve"> ADDIN EN.CITE &lt;EndNote&gt;&lt;Cite&gt;&lt;Author&gt;Al-Kunifed&lt;/Author&gt;&lt;Year&gt;1993&lt;/Year&gt;&lt;IDText&gt;Investigation of high school chemistry students&amp;apos; concepts of chemical symbol, formula and equations: Students&amp;apos; prescientific conceptions&lt;/IDText&gt;&lt;DisplayText&gt;(Al-Kunifed, Good and Wandersee, 1993)&lt;/DisplayText&gt;&lt;record&gt;&lt;titles&gt;&lt;title&gt;Investigation of high school chemistry students&amp;apos; concepts of chemical symbol, formula and equations: Students&amp;apos; prescientific conceptions&lt;/title&gt;&lt;/titles&gt;&lt;contributors&gt;&lt;authors&gt;&lt;author&gt;Al-Kunifed, A.&lt;/author&gt;&lt;author&gt;Good, R.&lt;/author&gt;&lt;author&gt;Wandersee, J.&lt;/author&gt;&lt;/authors&gt;&lt;/contributors&gt;&lt;added-date format="utc"&gt;1532450032&lt;/added-date&gt;&lt;pub-location&gt;ERIC Document ED376020&lt;/pub-location&gt;&lt;ref-type name="Report"&gt;27&lt;/ref-type&gt;&lt;dates&gt;&lt;year&gt;1993&lt;/year&gt;&lt;/dates&gt;&lt;rec-number&gt;11&lt;/rec-number&gt;&lt;last-updated-date format="utc"&gt;1532450168&lt;/last-updated-date&gt;&lt;/record&gt;&lt;/Cite&gt;&lt;/EndNote&gt;</w:instrText>
      </w:r>
      <w:r w:rsidRPr="002738A0">
        <w:fldChar w:fldCharType="separate"/>
      </w:r>
      <w:r w:rsidRPr="002738A0">
        <w:rPr>
          <w:noProof/>
        </w:rPr>
        <w:t>(Al-Kunifed, Good and Wandersee, 1993)</w:t>
      </w:r>
      <w:r w:rsidRPr="002738A0">
        <w:fldChar w:fldCharType="end"/>
      </w:r>
      <w:r w:rsidRPr="002738A0">
        <w:t xml:space="preserve"> found that many students </w:t>
      </w:r>
      <w:r w:rsidR="00C06259">
        <w:t>misunderstanding</w:t>
      </w:r>
      <w:r w:rsidR="001F1DAC">
        <w:t>s</w:t>
      </w:r>
      <w:r w:rsidR="00C06259">
        <w:t xml:space="preserve"> about chemical formulae related to previous</w:t>
      </w:r>
      <w:r w:rsidRPr="002738A0">
        <w:t xml:space="preserve"> every day and mathematical experience.</w:t>
      </w:r>
    </w:p>
    <w:p w14:paraId="33E95595" w14:textId="27D7C49B" w:rsidR="005606C1" w:rsidRDefault="00C06259" w:rsidP="0050055B">
      <w:pPr>
        <w:spacing w:after="180"/>
      </w:pPr>
      <w:r>
        <w:t>A</w:t>
      </w:r>
      <w:r w:rsidR="005606C1">
        <w:t xml:space="preserve"> chemical symbol was interpreted</w:t>
      </w:r>
      <w:r>
        <w:t xml:space="preserve"> by some students</w:t>
      </w:r>
      <w:r w:rsidR="005606C1">
        <w:t xml:space="preserve"> in </w:t>
      </w:r>
      <w:r>
        <w:t xml:space="preserve">the same </w:t>
      </w:r>
      <w:r w:rsidR="005606C1">
        <w:t xml:space="preserve">terms </w:t>
      </w:r>
      <w:r w:rsidR="001F1DAC">
        <w:t>as</w:t>
      </w:r>
      <w:r w:rsidR="005606C1">
        <w:t xml:space="preserve"> a symbol </w:t>
      </w:r>
      <w:r>
        <w:t>met in</w:t>
      </w:r>
      <w:r w:rsidR="005606C1">
        <w:t xml:space="preserve"> day-to-day </w:t>
      </w:r>
      <w:r>
        <w:t>life. These students perceived a chemical formula as</w:t>
      </w:r>
      <w:r w:rsidR="005606C1">
        <w:t xml:space="preserve"> simply a</w:t>
      </w:r>
      <w:r>
        <w:t>n abbreviation u</w:t>
      </w:r>
      <w:r w:rsidR="005606C1">
        <w:t xml:space="preserve">sed because it would take chemists ‘too long to write out the words’. </w:t>
      </w:r>
      <w:r w:rsidR="002738A0">
        <w:t xml:space="preserve">A proportion of students thought </w:t>
      </w:r>
      <w:r w:rsidR="001F1DAC">
        <w:t xml:space="preserve">that </w:t>
      </w:r>
      <w:r w:rsidR="002738A0">
        <w:t>a chemical formula was a chemical equation. This may be due to a prior concept of a (mathematical) formula.</w:t>
      </w:r>
    </w:p>
    <w:p w14:paraId="198508C0" w14:textId="77777777" w:rsidR="002738A0" w:rsidRDefault="002738A0" w:rsidP="0050055B">
      <w:pPr>
        <w:spacing w:after="180"/>
      </w:pPr>
      <w:r>
        <w:t>Other students thought that only compounds have a formula (and hence that O</w:t>
      </w:r>
      <w:r>
        <w:rPr>
          <w:vertAlign w:val="subscript"/>
        </w:rPr>
        <w:t>2</w:t>
      </w:r>
      <w:r>
        <w:t xml:space="preserve"> was not a formula).</w:t>
      </w:r>
    </w:p>
    <w:p w14:paraId="1FAD7C80" w14:textId="77777777" w:rsidR="002738A0" w:rsidRPr="002738A0" w:rsidRDefault="002738A0" w:rsidP="0050055B">
      <w:pPr>
        <w:spacing w:after="180"/>
      </w:pPr>
      <w:r>
        <w:t xml:space="preserve">Whilst this study was relatively small in scale, a review of the empirical research </w:t>
      </w:r>
      <w:r>
        <w:fldChar w:fldCharType="begin"/>
      </w:r>
      <w:r>
        <w:instrText xml:space="preserve"> ADDIN EN.CITE &lt;EndNote&gt;&lt;Cite&gt;&lt;Author&gt;Taskin&lt;/Author&gt;&lt;Year&gt;2012&lt;/Year&gt;&lt;IDText&gt;Students&amp;apos; understanding of chemical formulae: A review of empirical research&lt;/IDText&gt;&lt;DisplayText&gt;(Taskin and Bernholt, 2012)&lt;/DisplayText&gt;&lt;record&gt;&lt;titles&gt;&lt;title&gt;Students&amp;apos; understanding of chemical formulae: A review of empirical research&lt;/title&gt;&lt;secondary-title&gt;International Journal of Science Education&lt;/secondary-title&gt;&lt;/titles&gt;&lt;pages&gt;157-185&lt;/pages&gt;&lt;number&gt;1&lt;/number&gt;&lt;contributors&gt;&lt;authors&gt;&lt;author&gt;Taskin, Vahide&lt;/author&gt;&lt;author&gt;Bernholt, Sascha&lt;/author&gt;&lt;/authors&gt;&lt;/contributors&gt;&lt;added-date format="utc"&gt;1532343443&lt;/added-date&gt;&lt;ref-type name="Journal Article"&gt;17&lt;/ref-type&gt;&lt;dates&gt;&lt;year&gt;2012&lt;/year&gt;&lt;/dates&gt;&lt;rec-number&gt;9&lt;/rec-number&gt;&lt;last-updated-date format="utc"&gt;1532344398&lt;/last-updated-date&gt;&lt;volume&gt;36&lt;/volume&gt;&lt;/record&gt;&lt;/Cite&gt;&lt;/EndNote&gt;</w:instrText>
      </w:r>
      <w:r>
        <w:fldChar w:fldCharType="separate"/>
      </w:r>
      <w:r>
        <w:rPr>
          <w:noProof/>
        </w:rPr>
        <w:t>(Taskin and Bernholt, 2012)</w:t>
      </w:r>
      <w:r>
        <w:fldChar w:fldCharType="end"/>
      </w:r>
      <w:r>
        <w:t xml:space="preserve"> details many similar misunderstandings found in more recent research.</w:t>
      </w:r>
    </w:p>
    <w:p w14:paraId="5D8E10AB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2E22459E" w14:textId="0282D0F6" w:rsidR="00402E34" w:rsidRPr="00127943" w:rsidRDefault="00127943" w:rsidP="00402E34">
      <w:pPr>
        <w:spacing w:after="180"/>
      </w:pPr>
      <w:r w:rsidRPr="00127943">
        <w:t xml:space="preserve">Whilst initially students should complete this activity individually, further learning may be supported by discussion, in pairs or as a whole class, </w:t>
      </w:r>
      <w:r w:rsidR="00C06259">
        <w:t>about the</w:t>
      </w:r>
      <w:r w:rsidRPr="00127943">
        <w:t xml:space="preserve"> reasons behind students’ confidence in each answer.</w:t>
      </w:r>
    </w:p>
    <w:p w14:paraId="73D57B89" w14:textId="77777777" w:rsidR="00127943" w:rsidRPr="00127943" w:rsidRDefault="00127943" w:rsidP="00402E34">
      <w:pPr>
        <w:spacing w:after="180"/>
        <w:rPr>
          <w:i/>
        </w:rPr>
      </w:pPr>
      <w:r w:rsidRPr="00127943">
        <w:rPr>
          <w:i/>
        </w:rPr>
        <w:t>Differentiation</w:t>
      </w:r>
    </w:p>
    <w:p w14:paraId="5FF13F5D" w14:textId="77777777" w:rsidR="00127943" w:rsidRPr="00127943" w:rsidRDefault="00127943" w:rsidP="00402E34">
      <w:pPr>
        <w:spacing w:after="180"/>
      </w:pPr>
      <w:r w:rsidRPr="00127943">
        <w:t>Some students may need support in understanding how to complete the confidence grid.</w:t>
      </w:r>
    </w:p>
    <w:p w14:paraId="4518B1B8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5F66BF00" w14:textId="77777777" w:rsidR="00BF6C8A" w:rsidRPr="007833CD" w:rsidRDefault="007833CD" w:rsidP="00BF6C8A">
      <w:pPr>
        <w:spacing w:after="180"/>
      </w:pPr>
      <w:r w:rsidRPr="007833CD">
        <w:t>O</w:t>
      </w:r>
      <w:r w:rsidRPr="007833CD">
        <w:rPr>
          <w:vertAlign w:val="subscript"/>
        </w:rPr>
        <w:t>2</w:t>
      </w:r>
      <w:r w:rsidRPr="007833CD">
        <w:t xml:space="preserve"> and CO</w:t>
      </w:r>
      <w:r w:rsidRPr="007833CD">
        <w:rPr>
          <w:vertAlign w:val="subscript"/>
        </w:rPr>
        <w:t>2</w:t>
      </w:r>
      <w:r w:rsidRPr="007833CD">
        <w:t xml:space="preserve"> are both examples of a chemical formula.</w:t>
      </w:r>
    </w:p>
    <w:p w14:paraId="03BA5711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1EAAE884" w14:textId="71B99736" w:rsidR="002738A0" w:rsidRPr="002738A0" w:rsidRDefault="002738A0" w:rsidP="002738A0">
      <w:pPr>
        <w:spacing w:after="180"/>
      </w:pPr>
      <w:r w:rsidRPr="002738A0">
        <w:t xml:space="preserve">A student who is confident that option A is a chemical formula is likely to have confused the term chemical formula with </w:t>
      </w:r>
      <w:r w:rsidR="00C06259">
        <w:t xml:space="preserve">element </w:t>
      </w:r>
      <w:r w:rsidRPr="002738A0">
        <w:t>symbol.</w:t>
      </w:r>
    </w:p>
    <w:p w14:paraId="1DA6D26B" w14:textId="1B9E41EE" w:rsidR="007833CD" w:rsidRPr="002738A0" w:rsidRDefault="007833CD" w:rsidP="006A4440">
      <w:pPr>
        <w:spacing w:after="180"/>
      </w:pPr>
      <w:r w:rsidRPr="002738A0">
        <w:t>Labelling option B as ‘wrong’ but C ‘correct’ implies that a student may think that a formula only applies to a compound. It may be worth checking their understanding of what O</w:t>
      </w:r>
      <w:r w:rsidRPr="002738A0">
        <w:rPr>
          <w:vertAlign w:val="subscript"/>
        </w:rPr>
        <w:t>2</w:t>
      </w:r>
      <w:r w:rsidRPr="002738A0">
        <w:t xml:space="preserve"> represents.</w:t>
      </w:r>
    </w:p>
    <w:p w14:paraId="23E30AC5" w14:textId="77777777" w:rsidR="002738A0" w:rsidRPr="002738A0" w:rsidRDefault="002738A0" w:rsidP="002738A0">
      <w:pPr>
        <w:spacing w:after="180"/>
      </w:pPr>
      <w:r w:rsidRPr="002738A0">
        <w:t>At this early stage students are not expected to have formally met a chemical equation, however they may have seen one. Confidence that option D is correct suggests that the student may be applying mathematical prior knowledge of a formula to a chemistry context.</w:t>
      </w:r>
    </w:p>
    <w:p w14:paraId="5820EE5F" w14:textId="77777777" w:rsidR="007833CD" w:rsidRPr="002738A0" w:rsidRDefault="004F039C" w:rsidP="006A4440">
      <w:pPr>
        <w:spacing w:after="180"/>
      </w:pPr>
      <w:r w:rsidRPr="002738A0">
        <w:t xml:space="preserve">If students have misconceptions about </w:t>
      </w:r>
      <w:r w:rsidR="007833CD" w:rsidRPr="002738A0">
        <w:t>what constitutes a chemical formula, this may be reinforced through future teaching.</w:t>
      </w:r>
    </w:p>
    <w:p w14:paraId="0265A54E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2738A0">
        <w:rPr>
          <w:b/>
          <w:color w:val="E36C0A" w:themeColor="accent6" w:themeShade="BF"/>
          <w:sz w:val="24"/>
        </w:rPr>
        <w:t>Acknowledgments</w:t>
      </w:r>
    </w:p>
    <w:p w14:paraId="10835F4E" w14:textId="77777777" w:rsidR="00D278E8" w:rsidRPr="007833CD" w:rsidRDefault="00D278E8" w:rsidP="00E172C6">
      <w:pPr>
        <w:spacing w:after="180"/>
      </w:pPr>
      <w:r w:rsidRPr="007833CD">
        <w:t xml:space="preserve">Developed </w:t>
      </w:r>
      <w:r w:rsidR="0015356E" w:rsidRPr="007833CD">
        <w:t xml:space="preserve">by </w:t>
      </w:r>
      <w:r w:rsidR="007833CD" w:rsidRPr="007833CD">
        <w:t xml:space="preserve">Helen Harden </w:t>
      </w:r>
      <w:r w:rsidR="0015356E" w:rsidRPr="007833CD">
        <w:t>(UYSEG)</w:t>
      </w:r>
      <w:r w:rsidR="007833CD" w:rsidRPr="007833CD">
        <w:t>.</w:t>
      </w:r>
    </w:p>
    <w:p w14:paraId="1AEBEF22" w14:textId="77777777" w:rsidR="00CC78A5" w:rsidRDefault="00D278E8" w:rsidP="00E172C6">
      <w:pPr>
        <w:spacing w:after="180"/>
      </w:pPr>
      <w:r w:rsidRPr="007833CD">
        <w:t xml:space="preserve">Images: </w:t>
      </w:r>
      <w:r w:rsidR="007833CD" w:rsidRPr="007833CD">
        <w:t>None</w:t>
      </w:r>
    </w:p>
    <w:p w14:paraId="6841B3E1" w14:textId="77777777" w:rsidR="005606C1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3B9EB859" w14:textId="77777777" w:rsidR="002738A0" w:rsidRPr="002738A0" w:rsidRDefault="005606C1" w:rsidP="002738A0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="002738A0" w:rsidRPr="002738A0">
        <w:t>Al-Kunifed, A., Good, R. and Wandersee, J. (1993). Investigation of high school chemistry students' concepts of chemical symbol, formula and equations: Students' prescientific conceptions. ERIC Document ED376020.</w:t>
      </w:r>
    </w:p>
    <w:p w14:paraId="5313009A" w14:textId="77777777" w:rsidR="002738A0" w:rsidRPr="002738A0" w:rsidRDefault="002738A0" w:rsidP="002738A0">
      <w:pPr>
        <w:pStyle w:val="EndNoteBibliography"/>
      </w:pPr>
      <w:r w:rsidRPr="002738A0">
        <w:t xml:space="preserve">Taskin, V. and Bernholt, S. (2012). Students' understanding of chemical formulae: A review of empirical research. </w:t>
      </w:r>
      <w:r w:rsidRPr="002738A0">
        <w:rPr>
          <w:i/>
        </w:rPr>
        <w:t>International Journal of Science Education,</w:t>
      </w:r>
      <w:r w:rsidRPr="002738A0">
        <w:t xml:space="preserve"> 36(1)</w:t>
      </w:r>
      <w:r w:rsidRPr="002738A0">
        <w:rPr>
          <w:b/>
        </w:rPr>
        <w:t>,</w:t>
      </w:r>
      <w:r w:rsidRPr="002738A0">
        <w:t xml:space="preserve"> 157-185.</w:t>
      </w:r>
    </w:p>
    <w:p w14:paraId="1B0AFEB9" w14:textId="77777777" w:rsidR="003117F6" w:rsidRPr="00323334" w:rsidRDefault="005606C1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3117F6" w:rsidRPr="00323334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99D7B" w14:textId="77777777" w:rsidR="00834CA5" w:rsidRDefault="00834CA5" w:rsidP="000B473B">
      <w:r>
        <w:separator/>
      </w:r>
    </w:p>
  </w:endnote>
  <w:endnote w:type="continuationSeparator" w:id="0">
    <w:p w14:paraId="3D49598F" w14:textId="77777777" w:rsidR="00834CA5" w:rsidRDefault="00834CA5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6004D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5D5A0E4" wp14:editId="6F8A0CF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2902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1460B">
      <w:rPr>
        <w:noProof/>
      </w:rPr>
      <w:t>1</w:t>
    </w:r>
    <w:r>
      <w:rPr>
        <w:noProof/>
      </w:rPr>
      <w:fldChar w:fldCharType="end"/>
    </w:r>
  </w:p>
  <w:p w14:paraId="1CD6646A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67D6F333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EBF82" w14:textId="77777777" w:rsidR="00834CA5" w:rsidRDefault="00834CA5" w:rsidP="000B473B">
      <w:r>
        <w:separator/>
      </w:r>
    </w:p>
  </w:footnote>
  <w:footnote w:type="continuationSeparator" w:id="0">
    <w:p w14:paraId="55EDDDAE" w14:textId="77777777" w:rsidR="00834CA5" w:rsidRDefault="00834CA5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5AD78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2191DFCA" wp14:editId="7443114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FB139B" wp14:editId="7A2C0556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9781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A304A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E212EAA" wp14:editId="7A07E0D5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B494A9C" wp14:editId="65C006A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A1C7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06259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27943"/>
    <w:rsid w:val="00142613"/>
    <w:rsid w:val="00144DA7"/>
    <w:rsid w:val="0015356E"/>
    <w:rsid w:val="00161D3F"/>
    <w:rsid w:val="001915D4"/>
    <w:rsid w:val="001A1FED"/>
    <w:rsid w:val="001A40E2"/>
    <w:rsid w:val="001C4805"/>
    <w:rsid w:val="001F1DAC"/>
    <w:rsid w:val="00201AC2"/>
    <w:rsid w:val="00211344"/>
    <w:rsid w:val="00214608"/>
    <w:rsid w:val="0021607B"/>
    <w:rsid w:val="002178AC"/>
    <w:rsid w:val="0022547C"/>
    <w:rsid w:val="00242736"/>
    <w:rsid w:val="0025410A"/>
    <w:rsid w:val="002738A0"/>
    <w:rsid w:val="0027553E"/>
    <w:rsid w:val="0028012F"/>
    <w:rsid w:val="002828DF"/>
    <w:rsid w:val="00287876"/>
    <w:rsid w:val="00292C53"/>
    <w:rsid w:val="00294E22"/>
    <w:rsid w:val="002C22EA"/>
    <w:rsid w:val="002C3580"/>
    <w:rsid w:val="002C59BA"/>
    <w:rsid w:val="00301AA9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606C1"/>
    <w:rsid w:val="005A452E"/>
    <w:rsid w:val="005A6EE7"/>
    <w:rsid w:val="005F1A7B"/>
    <w:rsid w:val="006355D8"/>
    <w:rsid w:val="00642ECD"/>
    <w:rsid w:val="006502A0"/>
    <w:rsid w:val="006772F5"/>
    <w:rsid w:val="00695159"/>
    <w:rsid w:val="006A4440"/>
    <w:rsid w:val="006B0615"/>
    <w:rsid w:val="006C7305"/>
    <w:rsid w:val="006D166B"/>
    <w:rsid w:val="006F3279"/>
    <w:rsid w:val="006F6C6B"/>
    <w:rsid w:val="00704AEE"/>
    <w:rsid w:val="00722F9A"/>
    <w:rsid w:val="00754539"/>
    <w:rsid w:val="00781BC6"/>
    <w:rsid w:val="007833CD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34CA5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06259"/>
    <w:rsid w:val="00C1460B"/>
    <w:rsid w:val="00C246CE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4072C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23DEA9"/>
  <w15:docId w15:val="{87311BBD-9044-4E65-83EE-EC5006B2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5606C1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606C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606C1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606C1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Documents\Particles%20structure%20and%20%20properties\Items\BEST_CPS_2_2_Diagnostic_Chemical%20formul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BEST_CPS_2_2_Diagnostic_Chemical formula</Template>
  <TotalTime>10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HEC Harden</dc:creator>
  <cp:lastModifiedBy>HEC Harden</cp:lastModifiedBy>
  <cp:revision>3</cp:revision>
  <cp:lastPrinted>2017-02-24T16:20:00Z</cp:lastPrinted>
  <dcterms:created xsi:type="dcterms:W3CDTF">2018-07-25T09:18:00Z</dcterms:created>
  <dcterms:modified xsi:type="dcterms:W3CDTF">2018-07-26T09:38:00Z</dcterms:modified>
</cp:coreProperties>
</file>