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1BDE9" w14:textId="775A3E1D"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w:t>
      </w:r>
      <w:r w:rsidR="001B2603" w:rsidRPr="006F5255">
        <w:rPr>
          <w:i/>
          <w:sz w:val="18"/>
          <w:szCs w:val="18"/>
        </w:rPr>
        <w:t xml:space="preserve">idea </w:t>
      </w:r>
      <w:r w:rsidR="00DB2434" w:rsidRPr="006F5255">
        <w:rPr>
          <w:i/>
          <w:sz w:val="18"/>
          <w:szCs w:val="18"/>
        </w:rPr>
        <w:t>C</w:t>
      </w:r>
      <w:r w:rsidR="006F5255" w:rsidRPr="006F5255">
        <w:rPr>
          <w:i/>
          <w:sz w:val="18"/>
          <w:szCs w:val="18"/>
        </w:rPr>
        <w:t>PS</w:t>
      </w:r>
      <w:r w:rsidR="00F34FD0" w:rsidRPr="006F5255">
        <w:rPr>
          <w:i/>
          <w:sz w:val="18"/>
          <w:szCs w:val="18"/>
        </w:rPr>
        <w:t xml:space="preserve">: </w:t>
      </w:r>
      <w:r w:rsidR="006F5255" w:rsidRPr="006F5255">
        <w:rPr>
          <w:i/>
          <w:sz w:val="18"/>
          <w:szCs w:val="18"/>
        </w:rPr>
        <w:t>Particles and structure</w:t>
      </w:r>
      <w:r w:rsidR="00F34FD0" w:rsidRPr="006F5255">
        <w:rPr>
          <w:i/>
          <w:sz w:val="18"/>
          <w:szCs w:val="18"/>
        </w:rPr>
        <w:t xml:space="preserve"> &gt; </w:t>
      </w:r>
      <w:r w:rsidR="001B2603" w:rsidRPr="006F5255">
        <w:rPr>
          <w:i/>
          <w:sz w:val="18"/>
          <w:szCs w:val="18"/>
        </w:rPr>
        <w:t xml:space="preserve">Topic </w:t>
      </w:r>
      <w:r w:rsidR="006F5255" w:rsidRPr="006F5255">
        <w:rPr>
          <w:i/>
          <w:sz w:val="18"/>
          <w:szCs w:val="18"/>
        </w:rPr>
        <w:t>CPS2</w:t>
      </w:r>
      <w:r w:rsidR="00F34FD0" w:rsidRPr="006F5255">
        <w:rPr>
          <w:i/>
          <w:sz w:val="18"/>
          <w:szCs w:val="18"/>
        </w:rPr>
        <w:t xml:space="preserve">: </w:t>
      </w:r>
      <w:r w:rsidR="006F5255" w:rsidRPr="006F5255">
        <w:rPr>
          <w:i/>
          <w:sz w:val="18"/>
          <w:szCs w:val="18"/>
        </w:rPr>
        <w:t>Elements and compou</w:t>
      </w:r>
      <w:r w:rsidR="006F5255">
        <w:rPr>
          <w:i/>
          <w:sz w:val="18"/>
          <w:szCs w:val="18"/>
        </w:rPr>
        <w:t>nds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672953BF" w14:textId="77777777" w:rsidTr="00EF081E">
        <w:trPr>
          <w:trHeight w:val="321"/>
        </w:trPr>
        <w:tc>
          <w:tcPr>
            <w:tcW w:w="16831" w:type="dxa"/>
            <w:shd w:val="clear" w:color="auto" w:fill="FABF8F" w:themeFill="accent6" w:themeFillTint="99"/>
          </w:tcPr>
          <w:p w14:paraId="733F86F5"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128783B5" w14:textId="77777777" w:rsidTr="00EF081E">
        <w:trPr>
          <w:trHeight w:val="362"/>
        </w:trPr>
        <w:tc>
          <w:tcPr>
            <w:tcW w:w="16831" w:type="dxa"/>
            <w:shd w:val="clear" w:color="auto" w:fill="FBD4B4" w:themeFill="accent6" w:themeFillTint="66"/>
          </w:tcPr>
          <w:p w14:paraId="377EB236" w14:textId="145A54EB" w:rsidR="006F3279" w:rsidRPr="001413D2" w:rsidRDefault="006F5255" w:rsidP="00F34FD0">
            <w:pPr>
              <w:spacing w:after="60"/>
              <w:ind w:left="1304"/>
              <w:rPr>
                <w:b/>
                <w:color w:val="E36C0A" w:themeColor="accent6" w:themeShade="BF"/>
                <w:sz w:val="40"/>
                <w:szCs w:val="40"/>
              </w:rPr>
            </w:pPr>
            <w:r w:rsidRPr="006F5255">
              <w:rPr>
                <w:b/>
                <w:color w:val="000000" w:themeColor="text1"/>
                <w:sz w:val="40"/>
                <w:szCs w:val="40"/>
              </w:rPr>
              <w:t>CPS2.1</w:t>
            </w:r>
            <w:r w:rsidR="00821188" w:rsidRPr="006F5255">
              <w:rPr>
                <w:b/>
                <w:color w:val="000000" w:themeColor="text1"/>
                <w:sz w:val="40"/>
                <w:szCs w:val="40"/>
              </w:rPr>
              <w:t xml:space="preserve">: </w:t>
            </w:r>
            <w:r w:rsidRPr="006F5255">
              <w:rPr>
                <w:b/>
                <w:color w:val="000000" w:themeColor="text1"/>
                <w:sz w:val="40"/>
                <w:szCs w:val="40"/>
              </w:rPr>
              <w:t>Atoms and molecules</w:t>
            </w:r>
          </w:p>
        </w:tc>
      </w:tr>
    </w:tbl>
    <w:p w14:paraId="73D4722B" w14:textId="77777777" w:rsidR="003A07C6" w:rsidRDefault="003A07C6" w:rsidP="003A07C6">
      <w:pPr>
        <w:rPr>
          <w:b/>
          <w:color w:val="E36C0A" w:themeColor="accent6" w:themeShade="BF"/>
          <w:sz w:val="24"/>
        </w:rPr>
      </w:pPr>
    </w:p>
    <w:p w14:paraId="382CDD66"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3BC1F783" w14:textId="033E5A98" w:rsidR="006F5255" w:rsidRDefault="006F5255" w:rsidP="006F5255">
      <w:pPr>
        <w:spacing w:after="180"/>
      </w:pPr>
      <w:r>
        <w:t>A big idea in chemistry</w:t>
      </w:r>
      <w:r w:rsidRPr="00DD4D20">
        <w:t xml:space="preserve"> is</w:t>
      </w:r>
      <w:r>
        <w:t xml:space="preserve"> that all matter is made up of particles called atoms. The structural arrangement and movement of atoms and the forces between them, explain the properties of different materials. A key concept of this big idea is that the structural arrangement of atoms gives rise to the properties of substances.</w:t>
      </w:r>
    </w:p>
    <w:p w14:paraId="3C8B9C3F" w14:textId="77777777" w:rsidR="003A07C6" w:rsidRPr="00205977" w:rsidRDefault="003A07C6" w:rsidP="003A07C6">
      <w:pPr>
        <w:spacing w:after="180"/>
        <w:rPr>
          <w:b/>
          <w:color w:val="E36C0A" w:themeColor="accent6" w:themeShade="BF"/>
          <w:sz w:val="24"/>
        </w:rPr>
      </w:pPr>
      <w:r w:rsidRPr="00B412B0">
        <w:rPr>
          <w:b/>
          <w:color w:val="E36C0A" w:themeColor="accent6" w:themeShade="BF"/>
          <w:sz w:val="24"/>
        </w:rPr>
        <w:t xml:space="preserve">How </w:t>
      </w:r>
      <w:r w:rsidRPr="00205977">
        <w:rPr>
          <w:b/>
          <w:color w:val="E36C0A" w:themeColor="accent6" w:themeShade="BF"/>
          <w:sz w:val="24"/>
        </w:rPr>
        <w:t>does this key concept develop understanding of the big idea?</w:t>
      </w:r>
    </w:p>
    <w:p w14:paraId="52F5F2FA" w14:textId="4768E570" w:rsidR="003A07C6" w:rsidRPr="00205977" w:rsidRDefault="003A07C6" w:rsidP="003A07C6">
      <w:pPr>
        <w:spacing w:after="180"/>
      </w:pPr>
      <w:r w:rsidRPr="00205977">
        <w:t xml:space="preserve">This key concept develops the big idea by </w:t>
      </w:r>
      <w:r w:rsidR="006F5255" w:rsidRPr="00205977">
        <w:t xml:space="preserve">introducing the concept of different types of atom and the structural arrangement of these atoms as separate molecules or giant structures. </w:t>
      </w:r>
    </w:p>
    <w:p w14:paraId="2978F954" w14:textId="415F3C89" w:rsidR="00205977" w:rsidRDefault="00C17716" w:rsidP="001413D2">
      <w:pPr>
        <w:spacing w:after="180"/>
      </w:pPr>
      <w:r w:rsidRPr="00205977">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67683C03" wp14:editId="24D331CF">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sidRPr="00205977">
        <w:t xml:space="preserve">The conceptual progression starts by checking understanding of </w:t>
      </w:r>
      <w:r w:rsidR="006F5255" w:rsidRPr="00205977">
        <w:t>the difference in properties between a compound and its constituent elements</w:t>
      </w:r>
      <w:r w:rsidR="003A07C6" w:rsidRPr="00205977">
        <w:t xml:space="preserve">. It </w:t>
      </w:r>
      <w:r w:rsidRPr="00205977">
        <w:t xml:space="preserve">then </w:t>
      </w:r>
      <w:r w:rsidR="006F2CAB" w:rsidRPr="00205977">
        <w:t>supports the development of</w:t>
      </w:r>
      <w:r w:rsidR="003A07C6" w:rsidRPr="00205977">
        <w:t xml:space="preserve"> </w:t>
      </w:r>
      <w:r w:rsidR="006F5255" w:rsidRPr="00205977">
        <w:t xml:space="preserve">understanding </w:t>
      </w:r>
      <w:r w:rsidR="00205977">
        <w:t>of different types of atom</w:t>
      </w:r>
      <w:r w:rsidR="0091718C">
        <w:t>,</w:t>
      </w:r>
      <w:r w:rsidR="003A07C6" w:rsidRPr="00205977">
        <w:t xml:space="preserve"> in order to enable understanding of</w:t>
      </w:r>
      <w:r w:rsidR="006F5255" w:rsidRPr="00205977">
        <w:t xml:space="preserve"> the link between differences in properties and the structural arrangement of </w:t>
      </w:r>
      <w:r w:rsidR="00205977" w:rsidRPr="00205977">
        <w:t xml:space="preserve">the </w:t>
      </w:r>
      <w:r w:rsidR="006F5255" w:rsidRPr="00205977">
        <w:t>atoms</w:t>
      </w:r>
      <w:r w:rsidR="00205977" w:rsidRPr="00205977">
        <w:t>.</w:t>
      </w:r>
    </w:p>
    <w:p w14:paraId="3D1FE861" w14:textId="7DA23A58" w:rsidR="001413D2" w:rsidRPr="00205977" w:rsidRDefault="003A07C6" w:rsidP="001413D2">
      <w:pPr>
        <w:spacing w:after="180"/>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0C22B319"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14B4E5E2" w14:textId="77777777" w:rsidR="00CE7273" w:rsidRDefault="00CE7273">
      <w:pPr>
        <w:spacing w:after="200" w:line="276" w:lineRule="auto"/>
        <w:rPr>
          <w:b/>
          <w:color w:val="5F497A" w:themeColor="accent4" w:themeShade="BF"/>
          <w:sz w:val="24"/>
        </w:rPr>
      </w:pPr>
    </w:p>
    <w:p w14:paraId="7AE3B8AF"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79583BE3" w14:textId="53A5355C" w:rsidR="00F928E4" w:rsidRPr="003E660F" w:rsidRDefault="00F928E4" w:rsidP="00F928E4">
      <w:pPr>
        <w:spacing w:after="200" w:line="276" w:lineRule="auto"/>
        <w:rPr>
          <w:rFonts w:ascii="Calibri" w:eastAsia="Calibri" w:hAnsi="Calibri"/>
          <w:b/>
          <w:color w:val="F79646"/>
          <w:sz w:val="24"/>
          <w14:textFill>
            <w14:solidFill>
              <w14:srgbClr w14:val="F79646">
                <w14:lumMod w14:val="75000"/>
              </w14:srgbClr>
            </w14:solidFill>
          </w14:textFill>
        </w:rPr>
      </w:pPr>
    </w:p>
    <w:p w14:paraId="3B035BF5" w14:textId="0B1F1521" w:rsidR="00DF096A" w:rsidRPr="006229D7" w:rsidRDefault="00DF096A" w:rsidP="00DF096A">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t>Progression toolkit:</w:t>
      </w:r>
      <w:r>
        <w:rPr>
          <w:b/>
          <w:color w:val="5F497A" w:themeColor="accent4" w:themeShade="BF"/>
          <w:sz w:val="24"/>
        </w:rPr>
        <w:t xml:space="preserve"> </w:t>
      </w:r>
      <w:r w:rsidR="00205977" w:rsidRPr="000F4AED">
        <w:rPr>
          <w:b/>
          <w:color w:val="E36C0A" w:themeColor="accent6" w:themeShade="BF"/>
          <w:sz w:val="24"/>
        </w:rPr>
        <w:t>Atoms and molecules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DF096A" w:rsidRPr="006229D7" w14:paraId="4C98FCC5" w14:textId="77777777" w:rsidTr="009B5270">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AEB8F0E" w14:textId="77777777" w:rsidR="00DF096A" w:rsidRPr="006229D7" w:rsidRDefault="00DF096A" w:rsidP="009B5270">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09DBB41A" w14:textId="102E33B1" w:rsidR="00DF096A" w:rsidRPr="006229D7" w:rsidRDefault="00205977" w:rsidP="009B5270">
            <w:pPr>
              <w:jc w:val="center"/>
              <w:rPr>
                <w:rFonts w:ascii="Calibri" w:eastAsia="Calibri" w:hAnsi="Calibri" w:cs="Calibri"/>
                <w:sz w:val="24"/>
                <w:szCs w:val="20"/>
              </w:rPr>
            </w:pPr>
            <w:r w:rsidRPr="000F4AED">
              <w:rPr>
                <w:rFonts w:cstheme="minorHAnsi"/>
                <w:sz w:val="24"/>
                <w:szCs w:val="20"/>
              </w:rPr>
              <w:t xml:space="preserve">The properties of elements and compounds </w:t>
            </w:r>
            <w:r w:rsidR="009729EC" w:rsidRPr="000F4AED">
              <w:rPr>
                <w:rFonts w:cstheme="minorHAnsi"/>
                <w:sz w:val="24"/>
                <w:szCs w:val="20"/>
              </w:rPr>
              <w:t>arise</w:t>
            </w:r>
            <w:r w:rsidRPr="000F4AED">
              <w:rPr>
                <w:rFonts w:cstheme="minorHAnsi"/>
                <w:sz w:val="24"/>
                <w:szCs w:val="20"/>
              </w:rPr>
              <w:t xml:space="preserve"> from the structural arrangement of their constituent atoms.</w:t>
            </w:r>
          </w:p>
        </w:tc>
      </w:tr>
      <w:tr w:rsidR="00DF096A" w:rsidRPr="006229D7" w14:paraId="046A66EC"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2425FBAB" w14:textId="77777777" w:rsidR="00DF096A" w:rsidRPr="006229D7" w:rsidRDefault="00DF096A" w:rsidP="009B5270">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0348A63"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AADEBCD"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D3C10A1"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456E5AD"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4B5FAFB" w14:textId="77777777" w:rsidR="00DF096A" w:rsidRPr="006229D7" w:rsidRDefault="00DF096A" w:rsidP="009B5270">
            <w:pPr>
              <w:jc w:val="center"/>
              <w:rPr>
                <w:rFonts w:ascii="Calibri" w:eastAsia="Calibri" w:hAnsi="Calibri" w:cs="Calibri"/>
                <w:sz w:val="2"/>
                <w:szCs w:val="2"/>
              </w:rPr>
            </w:pPr>
          </w:p>
        </w:tc>
      </w:tr>
      <w:tr w:rsidR="00DF096A" w:rsidRPr="006229D7" w14:paraId="6DBD2D67" w14:textId="77777777" w:rsidTr="009B5270">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00FB2968" w14:textId="77777777" w:rsidR="00DF096A" w:rsidRPr="006229D7" w:rsidRDefault="00DF096A" w:rsidP="009B5270">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3E701AB3" w14:textId="77777777" w:rsidR="00DF096A" w:rsidRPr="006229D7" w:rsidRDefault="00DF096A" w:rsidP="009B5270">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1F87CF0C" wp14:editId="381EBAEE">
                      <wp:simplePos x="0" y="0"/>
                      <wp:positionH relativeFrom="column">
                        <wp:posOffset>59362</wp:posOffset>
                      </wp:positionH>
                      <wp:positionV relativeFrom="paragraph">
                        <wp:posOffset>19454</wp:posOffset>
                      </wp:positionV>
                      <wp:extent cx="7491730" cy="109109"/>
                      <wp:effectExtent l="0" t="57150" r="0" b="81915"/>
                      <wp:wrapNone/>
                      <wp:docPr id="18" name="Group 18"/>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8" name="Straight Arrow Connector 28"/>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9" name="Group 29"/>
                              <wpg:cNvGrpSpPr/>
                              <wpg:grpSpPr>
                                <a:xfrm>
                                  <a:off x="0" y="0"/>
                                  <a:ext cx="1791170" cy="108585"/>
                                  <a:chOff x="-3999" y="3399"/>
                                  <a:chExt cx="2107274" cy="108806"/>
                                </a:xfrm>
                              </wpg:grpSpPr>
                              <wps:wsp>
                                <wps:cNvPr id="224" name="Parallelogram 224"/>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Parallelogram 225"/>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74202CFA"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F87CF0C" id="Group 18" o:spid="_x0000_s1026" style="position:absolute;margin-left:4.65pt;margin-top:1.55pt;width:589.9pt;height:8.6pt;z-index:251721728;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">
                      <v:shapetype id="_x0000_t32" coordsize="21600,21600" o:spt="32" o:oned="t" path="m,l21600,21600e" filled="f">
                        <v:path arrowok="t" fillok="f" o:connecttype="none"/>
                        <o:lock v:ext="edit" shapetype="t"/>
                      </v:shapetype>
                      <v:shape id="Straight Arrow Connector 28"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" strokecolor="#e46c0a" strokeweight="4pt">
                        <v:stroke endarrow="block"/>
                      </v:shape>
                      <v:group id="Group 29"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24"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" adj="1102" fillcolor="#e46c0a" stroked="f" strokeweight="2pt"/>
                        <v:shape id="Parallelogram 225"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" fillcolor="#e46c0a" stroked="f">
                        <v:textbox inset="0,0,0,0">
                          <w:txbxContent>
                            <w:p w14:paraId="74202CFA"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490D6B" w:rsidRPr="00891401" w14:paraId="039B06AB" w14:textId="77777777" w:rsidTr="009B5270">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0D83AEB3" w14:textId="77777777" w:rsidR="00490D6B" w:rsidRPr="006229D7" w:rsidRDefault="00490D6B" w:rsidP="00490D6B">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7BE33669" w14:textId="6701391A" w:rsidR="00490D6B" w:rsidRPr="00E675A8" w:rsidRDefault="00490D6B" w:rsidP="00490D6B">
            <w:pPr>
              <w:spacing w:after="120"/>
              <w:rPr>
                <w:rFonts w:cstheme="minorHAnsi"/>
                <w:sz w:val="20"/>
                <w:szCs w:val="20"/>
              </w:rPr>
            </w:pPr>
            <w:r>
              <w:rPr>
                <w:rFonts w:cstheme="minorHAnsi"/>
                <w:sz w:val="20"/>
                <w:szCs w:val="20"/>
              </w:rPr>
              <w:t>Link the properties of an element to the collective behaviour its atoms.</w:t>
            </w:r>
          </w:p>
        </w:tc>
        <w:tc>
          <w:tcPr>
            <w:tcW w:w="2439" w:type="dxa"/>
            <w:tcBorders>
              <w:top w:val="nil"/>
              <w:left w:val="dashed" w:sz="4" w:space="0" w:color="E36C0A"/>
              <w:bottom w:val="single" w:sz="8" w:space="0" w:color="E36C0A"/>
              <w:right w:val="dashed" w:sz="4" w:space="0" w:color="E36C0A"/>
            </w:tcBorders>
          </w:tcPr>
          <w:p w14:paraId="56AB6270" w14:textId="207D1DFE" w:rsidR="00490D6B" w:rsidRPr="008636FD" w:rsidRDefault="00490D6B" w:rsidP="00490D6B">
            <w:pPr>
              <w:spacing w:after="120"/>
              <w:rPr>
                <w:rFonts w:cstheme="minorHAnsi"/>
                <w:sz w:val="20"/>
                <w:szCs w:val="20"/>
                <w:highlight w:val="yellow"/>
              </w:rPr>
            </w:pPr>
            <w:r w:rsidRPr="000F4AED">
              <w:rPr>
                <w:rFonts w:cstheme="minorHAnsi"/>
                <w:sz w:val="20"/>
                <w:szCs w:val="20"/>
              </w:rPr>
              <w:t xml:space="preserve">Explain differences in melting and boiling points between elements </w:t>
            </w:r>
            <w:r w:rsidR="005B4F3F">
              <w:rPr>
                <w:rFonts w:cstheme="minorHAnsi"/>
                <w:sz w:val="20"/>
                <w:szCs w:val="20"/>
              </w:rPr>
              <w:t>in terms of their structure (separate molecules or a single giant structure).</w:t>
            </w:r>
          </w:p>
        </w:tc>
        <w:tc>
          <w:tcPr>
            <w:tcW w:w="2439" w:type="dxa"/>
            <w:tcBorders>
              <w:top w:val="nil"/>
              <w:left w:val="dashed" w:sz="4" w:space="0" w:color="E36C0A"/>
              <w:bottom w:val="single" w:sz="8" w:space="0" w:color="E36C0A"/>
              <w:right w:val="dashed" w:sz="4" w:space="0" w:color="E36C0A"/>
            </w:tcBorders>
          </w:tcPr>
          <w:p w14:paraId="07EC4C1E" w14:textId="6A829C02" w:rsidR="00490D6B" w:rsidRPr="00891401" w:rsidRDefault="00F12ABA" w:rsidP="00490D6B">
            <w:pPr>
              <w:spacing w:after="120"/>
              <w:rPr>
                <w:rFonts w:cstheme="minorHAnsi"/>
                <w:sz w:val="20"/>
                <w:szCs w:val="20"/>
              </w:rPr>
            </w:pPr>
            <w:r w:rsidRPr="00891401">
              <w:rPr>
                <w:rFonts w:cstheme="minorHAnsi"/>
                <w:sz w:val="20"/>
                <w:szCs w:val="20"/>
              </w:rPr>
              <w:t xml:space="preserve">Identify the number of substances (elements or compounds) represented in a particle diagram </w:t>
            </w:r>
          </w:p>
        </w:tc>
        <w:tc>
          <w:tcPr>
            <w:tcW w:w="2439" w:type="dxa"/>
            <w:tcBorders>
              <w:top w:val="nil"/>
              <w:left w:val="dashed" w:sz="4" w:space="0" w:color="E36C0A"/>
              <w:bottom w:val="single" w:sz="8" w:space="0" w:color="E36C0A"/>
              <w:right w:val="dashed" w:sz="4" w:space="0" w:color="E36C0A"/>
            </w:tcBorders>
          </w:tcPr>
          <w:p w14:paraId="0F30BDD1" w14:textId="3981F733" w:rsidR="00490D6B" w:rsidRPr="00891401" w:rsidRDefault="00F12ABA" w:rsidP="00490D6B">
            <w:pPr>
              <w:spacing w:after="120"/>
              <w:rPr>
                <w:rFonts w:cstheme="minorHAnsi"/>
                <w:sz w:val="20"/>
                <w:szCs w:val="20"/>
              </w:rPr>
            </w:pPr>
            <w:r w:rsidRPr="00891401">
              <w:rPr>
                <w:rFonts w:cstheme="minorHAnsi"/>
                <w:sz w:val="20"/>
                <w:szCs w:val="20"/>
              </w:rPr>
              <w:t>Distinguish particle diagrams for elements, mixtures and compounds.</w:t>
            </w:r>
          </w:p>
        </w:tc>
        <w:tc>
          <w:tcPr>
            <w:tcW w:w="2439" w:type="dxa"/>
            <w:tcBorders>
              <w:top w:val="nil"/>
              <w:left w:val="dashed" w:sz="4" w:space="0" w:color="E36C0A"/>
              <w:bottom w:val="single" w:sz="8" w:space="0" w:color="E36C0A"/>
              <w:right w:val="single" w:sz="8" w:space="0" w:color="E36C0A"/>
            </w:tcBorders>
          </w:tcPr>
          <w:p w14:paraId="5BEEC720" w14:textId="77151A60" w:rsidR="00490D6B" w:rsidRPr="00891401" w:rsidRDefault="00490D6B" w:rsidP="00490D6B">
            <w:pPr>
              <w:spacing w:after="120"/>
              <w:rPr>
                <w:rFonts w:cstheme="minorHAnsi"/>
                <w:sz w:val="20"/>
                <w:szCs w:val="20"/>
              </w:rPr>
            </w:pPr>
            <w:r w:rsidRPr="00891401">
              <w:rPr>
                <w:rFonts w:cstheme="minorHAnsi"/>
                <w:sz w:val="20"/>
                <w:szCs w:val="20"/>
              </w:rPr>
              <w:t>Explain that the properties of a compound may not be inferred from the properties of elements made up of its constituent atoms.</w:t>
            </w:r>
          </w:p>
          <w:p w14:paraId="725A0C69" w14:textId="0128AFA6" w:rsidR="00490D6B" w:rsidRPr="00891401" w:rsidRDefault="00490D6B" w:rsidP="00490D6B">
            <w:pPr>
              <w:pStyle w:val="NoSpacing"/>
              <w:rPr>
                <w:rFonts w:asciiTheme="minorHAnsi" w:hAnsiTheme="minorHAnsi" w:cstheme="minorHAnsi"/>
                <w:sz w:val="20"/>
                <w:szCs w:val="20"/>
              </w:rPr>
            </w:pPr>
          </w:p>
        </w:tc>
      </w:tr>
      <w:tr w:rsidR="00490D6B" w:rsidRPr="006229D7" w14:paraId="4592889E" w14:textId="77777777" w:rsidTr="003C0649">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6D5B7E99" w14:textId="77777777" w:rsidR="00490D6B" w:rsidRPr="006229D7" w:rsidRDefault="00490D6B" w:rsidP="00490D6B">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A14A16D"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481B787"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F6A8337"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438D8A1"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3DB77DF" w14:textId="77777777" w:rsidR="00490D6B" w:rsidRPr="006229D7" w:rsidRDefault="00490D6B" w:rsidP="00490D6B">
            <w:pPr>
              <w:jc w:val="center"/>
              <w:rPr>
                <w:rFonts w:ascii="Calibri" w:eastAsia="Calibri" w:hAnsi="Calibri" w:cs="Calibri"/>
                <w:sz w:val="20"/>
                <w:szCs w:val="20"/>
              </w:rPr>
            </w:pPr>
          </w:p>
        </w:tc>
      </w:tr>
      <w:tr w:rsidR="00490D6B" w:rsidRPr="006229D7" w14:paraId="6992F84A" w14:textId="77777777" w:rsidTr="003C0649">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218FF0BD" w14:textId="77777777" w:rsidR="00490D6B" w:rsidRPr="006229D7" w:rsidRDefault="00490D6B" w:rsidP="00490D6B">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A13463F" w14:textId="7CB3A95F" w:rsidR="00490D6B" w:rsidRPr="006229D7" w:rsidRDefault="00490D6B" w:rsidP="00490D6B">
            <w:pPr>
              <w:jc w:val="center"/>
              <w:rPr>
                <w:rFonts w:ascii="Calibri" w:eastAsia="Calibri" w:hAnsi="Calibri" w:cs="Calibri"/>
                <w:sz w:val="20"/>
                <w:szCs w:val="20"/>
              </w:rPr>
            </w:pPr>
            <w:r>
              <w:rPr>
                <w:rFonts w:ascii="Calibri" w:eastAsia="Calibri" w:hAnsi="Calibri" w:cs="Calibri"/>
                <w:sz w:val="20"/>
                <w:szCs w:val="20"/>
              </w:rPr>
              <w:t>Properties of copper</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07AB295" w14:textId="36BF231A" w:rsidR="00490D6B" w:rsidRPr="006229D7" w:rsidRDefault="00185C05" w:rsidP="00490D6B">
            <w:pPr>
              <w:jc w:val="center"/>
              <w:rPr>
                <w:rFonts w:ascii="Calibri" w:eastAsia="Calibri" w:hAnsi="Calibri" w:cs="Calibri"/>
                <w:sz w:val="20"/>
                <w:szCs w:val="20"/>
              </w:rPr>
            </w:pPr>
            <w:r>
              <w:rPr>
                <w:rFonts w:ascii="Calibri" w:eastAsia="Calibri" w:hAnsi="Calibri" w:cs="Calibri"/>
                <w:sz w:val="20"/>
                <w:szCs w:val="20"/>
              </w:rPr>
              <w:t>Element differences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E21D3D9" w14:textId="270B72D2" w:rsidR="00490D6B" w:rsidRPr="006229D7" w:rsidRDefault="00F12ABA" w:rsidP="00490D6B">
            <w:pPr>
              <w:jc w:val="center"/>
              <w:rPr>
                <w:rFonts w:ascii="Calibri" w:eastAsia="Calibri" w:hAnsi="Calibri" w:cs="Calibri"/>
                <w:sz w:val="20"/>
                <w:szCs w:val="20"/>
              </w:rPr>
            </w:pPr>
            <w:r>
              <w:rPr>
                <w:rFonts w:ascii="Calibri" w:eastAsia="Calibri" w:hAnsi="Calibri" w:cs="Calibri"/>
                <w:sz w:val="20"/>
                <w:szCs w:val="20"/>
              </w:rPr>
              <w:t>Counting substances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2C8FDE1" w14:textId="4E189752" w:rsidR="00490D6B" w:rsidRPr="006229D7" w:rsidRDefault="00F12ABA" w:rsidP="00490D6B">
            <w:pPr>
              <w:jc w:val="center"/>
              <w:rPr>
                <w:rFonts w:ascii="Calibri" w:eastAsia="Calibri" w:hAnsi="Calibri" w:cs="Calibri"/>
                <w:sz w:val="20"/>
                <w:szCs w:val="20"/>
              </w:rPr>
            </w:pPr>
            <w:r>
              <w:rPr>
                <w:rFonts w:ascii="Calibri" w:eastAsia="Calibri" w:hAnsi="Calibri" w:cs="Calibri"/>
                <w:sz w:val="20"/>
                <w:szCs w:val="20"/>
              </w:rPr>
              <w:t>Element, mixture or compound?</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3C0769B" w14:textId="121D52C8" w:rsidR="00490D6B" w:rsidRPr="006229D7" w:rsidRDefault="008A6F4E" w:rsidP="00490D6B">
            <w:pPr>
              <w:jc w:val="center"/>
              <w:rPr>
                <w:rFonts w:ascii="Calibri" w:eastAsia="Calibri" w:hAnsi="Calibri" w:cs="Calibri"/>
                <w:sz w:val="20"/>
                <w:szCs w:val="20"/>
              </w:rPr>
            </w:pPr>
            <w:r>
              <w:rPr>
                <w:rFonts w:ascii="Calibri" w:eastAsia="Calibri" w:hAnsi="Calibri" w:cs="Calibri"/>
                <w:sz w:val="20"/>
                <w:szCs w:val="20"/>
              </w:rPr>
              <w:t>Which colour?</w:t>
            </w:r>
          </w:p>
        </w:tc>
      </w:tr>
      <w:tr w:rsidR="00490D6B" w:rsidRPr="006229D7" w14:paraId="08509569" w14:textId="77777777" w:rsidTr="003C0649">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4BA706A" w14:textId="77777777" w:rsidR="00490D6B" w:rsidRPr="006229D7" w:rsidRDefault="00490D6B" w:rsidP="00490D6B">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F773DE4"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C8E3430"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674DF8A"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CB0A3A0"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0F81F995" w14:textId="77777777" w:rsidR="00490D6B" w:rsidRPr="006229D7" w:rsidRDefault="00490D6B" w:rsidP="00490D6B">
            <w:pPr>
              <w:jc w:val="center"/>
              <w:rPr>
                <w:rFonts w:ascii="Calibri" w:eastAsia="Calibri" w:hAnsi="Calibri" w:cs="Calibri"/>
                <w:sz w:val="20"/>
                <w:szCs w:val="20"/>
              </w:rPr>
            </w:pPr>
          </w:p>
        </w:tc>
      </w:tr>
      <w:tr w:rsidR="00490D6B" w:rsidRPr="006229D7" w14:paraId="48080ABE" w14:textId="77777777" w:rsidTr="003C0649">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30D956A8" w14:textId="77777777" w:rsidR="00490D6B" w:rsidRPr="006229D7" w:rsidRDefault="00490D6B" w:rsidP="00490D6B">
            <w:pP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CDE2FD1" w14:textId="2ACC4397" w:rsidR="00490D6B" w:rsidRPr="006229D7" w:rsidRDefault="003C0649" w:rsidP="00490D6B">
            <w:pPr>
              <w:jc w:val="center"/>
              <w:rPr>
                <w:rFonts w:ascii="Calibri" w:eastAsia="Calibri" w:hAnsi="Calibri" w:cs="Calibri"/>
                <w:sz w:val="20"/>
                <w:szCs w:val="20"/>
              </w:rPr>
            </w:pPr>
            <w:r>
              <w:rPr>
                <w:rFonts w:ascii="Calibri" w:eastAsia="Calibri" w:hAnsi="Calibri" w:cs="Calibri"/>
                <w:sz w:val="20"/>
                <w:szCs w:val="20"/>
              </w:rPr>
              <w:t>Property mistakes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2DD3507" w14:textId="052D6D54" w:rsidR="00490D6B" w:rsidRPr="006229D7" w:rsidRDefault="003C0649" w:rsidP="00490D6B">
            <w:pPr>
              <w:jc w:val="center"/>
              <w:rPr>
                <w:rFonts w:ascii="Calibri" w:eastAsia="Calibri" w:hAnsi="Calibri" w:cs="Calibri"/>
                <w:sz w:val="20"/>
                <w:szCs w:val="20"/>
              </w:rPr>
            </w:pPr>
            <w:r>
              <w:rPr>
                <w:rFonts w:ascii="Calibri" w:eastAsia="Calibri" w:hAnsi="Calibri" w:cs="Calibri"/>
                <w:sz w:val="20"/>
                <w:szCs w:val="20"/>
              </w:rPr>
              <w:t>Changing to gas state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B4807B0" w14:textId="77777777" w:rsidR="00490D6B" w:rsidRPr="006229D7" w:rsidRDefault="00490D6B" w:rsidP="00490D6B">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55BC2FB" w14:textId="3DC19688" w:rsidR="00490D6B" w:rsidRPr="006229D7" w:rsidRDefault="003C0649" w:rsidP="00490D6B">
            <w:pPr>
              <w:jc w:val="center"/>
              <w:rPr>
                <w:rFonts w:ascii="Calibri" w:eastAsia="Calibri" w:hAnsi="Calibri" w:cs="Calibri"/>
                <w:sz w:val="20"/>
                <w:szCs w:val="20"/>
              </w:rPr>
            </w:pPr>
            <w:r>
              <w:rPr>
                <w:rFonts w:ascii="Calibri" w:eastAsia="Calibri" w:hAnsi="Calibri" w:cs="Calibri"/>
                <w:sz w:val="20"/>
                <w:szCs w:val="20"/>
              </w:rPr>
              <w:t>Diagram practice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C53DB11" w14:textId="77777777" w:rsidR="00490D6B" w:rsidRPr="006229D7" w:rsidRDefault="00490D6B" w:rsidP="00490D6B">
            <w:pPr>
              <w:jc w:val="center"/>
              <w:rPr>
                <w:rFonts w:ascii="Calibri" w:eastAsia="Calibri" w:hAnsi="Calibri" w:cs="Calibri"/>
                <w:sz w:val="20"/>
                <w:szCs w:val="20"/>
              </w:rPr>
            </w:pPr>
          </w:p>
        </w:tc>
      </w:tr>
    </w:tbl>
    <w:p w14:paraId="7791069E" w14:textId="77777777" w:rsidR="00DF096A" w:rsidRPr="006229D7" w:rsidRDefault="00DF096A" w:rsidP="00DF096A">
      <w:pPr>
        <w:rPr>
          <w:rFonts w:ascii="Calibri" w:eastAsia="Calibri" w:hAnsi="Calibri"/>
          <w:sz w:val="20"/>
        </w:rPr>
      </w:pPr>
    </w:p>
    <w:p w14:paraId="5BB9B9CD" w14:textId="77777777" w:rsidR="00DF096A" w:rsidRPr="00F928E4" w:rsidRDefault="00DF096A" w:rsidP="00DF096A">
      <w:pPr>
        <w:spacing w:after="200" w:line="276" w:lineRule="auto"/>
      </w:pPr>
      <w:r>
        <w:br w:type="page"/>
      </w:r>
    </w:p>
    <w:p w14:paraId="7F19D5FE"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750D6D9D" w14:textId="77777777" w:rsidR="00205977" w:rsidRDefault="00205977" w:rsidP="00205977">
      <w:pPr>
        <w:spacing w:after="180"/>
      </w:pPr>
      <w:r>
        <w:t>All matter is made up of atoms. Each element is made up of a different type of atom. A single atom does not have the properties of that element. The properties of an element arise due to the arrangement and behaviour of the atoms collectively. A compound is made up of two or more types of atom joined together. As different atoms are joined than in the separate elements, the compound has properties that are distinct from the elements that are made up of its constituent atoms.</w:t>
      </w:r>
    </w:p>
    <w:p w14:paraId="1F3328C8" w14:textId="77777777" w:rsidR="00205977" w:rsidRDefault="00205977" w:rsidP="00205977">
      <w:pPr>
        <w:spacing w:after="180"/>
      </w:pPr>
      <w:r>
        <w:t>Elements and compounds have one of two types of basic structure. Some are made up of separate groups of two or more atoms (molecules) whereas the atoms in others are joined to make one giant structure. These structures influence properties such as melting and boiling points because there are weaker forces between molecules than within molecules.</w:t>
      </w:r>
    </w:p>
    <w:p w14:paraId="5BD12D68"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02C7C7A6" w14:textId="3F6010BF" w:rsidR="00FB1FF6" w:rsidRPr="00265AA6" w:rsidRDefault="00B50B64" w:rsidP="00FB1FF6">
      <w:pPr>
        <w:spacing w:after="180"/>
      </w:pPr>
      <w:r w:rsidRPr="00265AA6">
        <w:t xml:space="preserve">A key difficulty of students in integrating macroscopic with sub-microscopic understanding of an observed property is the use of an additive rather than an emergent framework. </w:t>
      </w:r>
      <w:r w:rsidR="00265AA6" w:rsidRPr="00265AA6">
        <w:t xml:space="preserve">A research study </w:t>
      </w:r>
      <w:r w:rsidR="00265AA6" w:rsidRPr="00265AA6">
        <w:fldChar w:fldCharType="begin"/>
      </w:r>
      <w:r w:rsidR="00265AA6" w:rsidRPr="00265AA6">
        <w:instrText xml:space="preserve"> ADDIN EN.CITE &lt;EndNote&gt;&lt;Cite&gt;&lt;Author&gt;Talanquer&lt;/Author&gt;&lt;Year&gt;2007&lt;/Year&gt;&lt;IDText&gt;Students&amp;apos; predictions about the sensory properties of chemical compounds: Additive versus emergent frameworks&lt;/IDText&gt;&lt;DisplayText&gt;(Talanquer, 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format="utc"&gt;1532529763&lt;/last-updated-date&gt;&lt;volume&gt;92&lt;/volume&gt;&lt;/record&gt;&lt;/Cite&gt;&lt;/EndNote&gt;</w:instrText>
      </w:r>
      <w:r w:rsidR="00265AA6" w:rsidRPr="00265AA6">
        <w:fldChar w:fldCharType="separate"/>
      </w:r>
      <w:r w:rsidR="00265AA6" w:rsidRPr="00265AA6">
        <w:rPr>
          <w:noProof/>
        </w:rPr>
        <w:t>(Talanquer, 2007)</w:t>
      </w:r>
      <w:r w:rsidR="00265AA6" w:rsidRPr="00265AA6">
        <w:fldChar w:fldCharType="end"/>
      </w:r>
      <w:r w:rsidR="00265AA6" w:rsidRPr="00265AA6">
        <w:t xml:space="preserve"> included a question to investigate this. </w:t>
      </w:r>
      <w:r w:rsidRPr="00265AA6">
        <w:t xml:space="preserve"> Students were shown a particle diagram for a blue substance and a yellow substance, each made of one type of atom. The students were then asked to predict the colour of a third substance made up of a combination of the two types of atom. Many responses took an additive approach </w:t>
      </w:r>
      <w:r w:rsidR="00265AA6" w:rsidRPr="00265AA6">
        <w:t xml:space="preserve">and predicted </w:t>
      </w:r>
      <w:r w:rsidRPr="00265AA6">
        <w:t xml:space="preserve">that the colour of the compound would be green. </w:t>
      </w:r>
    </w:p>
    <w:p w14:paraId="573AEF96" w14:textId="27A084E2" w:rsidR="00B50B64" w:rsidRPr="00B50B64" w:rsidRDefault="00265AA6" w:rsidP="00FB1FF6">
      <w:pPr>
        <w:spacing w:after="180"/>
      </w:pPr>
      <w:r>
        <w:t xml:space="preserve">Research </w:t>
      </w:r>
      <w:r>
        <w:fldChar w:fldCharType="begin"/>
      </w:r>
      <w:r>
        <w:instrText xml:space="preserve"> ADDIN EN.CITE &lt;EndNote&gt;&lt;Cite&gt;&lt;Author&gt;Rappoport&lt;/Author&gt;&lt;Year&gt;2008&lt;/Year&gt;&lt;IDText&gt;Connecting levels of representation:Emergent versus submergent perspective&lt;/IDText&gt;&lt;DisplayText&gt;(Rappoport and Ashkenazi, 2008)&lt;/DisplayText&gt;&lt;record&gt;&lt;titles&gt;&lt;title&gt;Connecting levels of representation:Emergent versus submergent perspective&lt;/title&gt;&lt;secondary-title&gt;International Journal of Science Education&lt;/secondary-title&gt;&lt;/titles&gt;&lt;pages&gt;1585- 1603&lt;/pages&gt;&lt;number&gt;12&lt;/number&gt;&lt;contributors&gt;&lt;authors&gt;&lt;author&gt;Rappoport, Lana T.&lt;/author&gt;&lt;author&gt;Ashkenazi, Guy&lt;/author&gt;&lt;/authors&gt;&lt;/contributors&gt;&lt;added-date format="utc"&gt;1532529946&lt;/added-date&gt;&lt;ref-type name="Journal Article"&gt;17&lt;/ref-type&gt;&lt;dates&gt;&lt;year&gt;2008&lt;/year&gt;&lt;/dates&gt;&lt;rec-number&gt;12&lt;/rec-number&gt;&lt;last-updated-date format="utc"&gt;1532530043&lt;/last-updated-date&gt;&lt;volume&gt;30&lt;/volume&gt;&lt;/record&gt;&lt;/Cite&gt;&lt;/EndNote&gt;</w:instrText>
      </w:r>
      <w:r>
        <w:fldChar w:fldCharType="separate"/>
      </w:r>
      <w:r>
        <w:rPr>
          <w:noProof/>
        </w:rPr>
        <w:t>(Rappoport and Ashkenazi, 2008)</w:t>
      </w:r>
      <w:r>
        <w:fldChar w:fldCharType="end"/>
      </w:r>
      <w:r w:rsidR="00B50B64" w:rsidRPr="00B50B64">
        <w:t xml:space="preserve"> found that,</w:t>
      </w:r>
      <w:r w:rsidR="00B50B64">
        <w:t xml:space="preserve"> in comparison with their students, university lecturers used an emergent way of thinking that considered the atoms or molecules interacting as part of an overall system. This was much less the case with students</w:t>
      </w:r>
      <w:r w:rsidR="0091718C">
        <w:t xml:space="preserve">. Some students </w:t>
      </w:r>
      <w:r w:rsidR="00B50B64">
        <w:t xml:space="preserve">made connections in the reverse direction, that is to say they inferred properties on the atoms or molecules that related to the macroscopic property.  The research concludes that the explicit inclusion of </w:t>
      </w:r>
      <w:r w:rsidR="0091718C">
        <w:t>an</w:t>
      </w:r>
      <w:bookmarkStart w:id="0" w:name="_GoBack"/>
      <w:bookmarkEnd w:id="0"/>
      <w:r w:rsidR="00B50B64">
        <w:t xml:space="preserve"> emergent way of thinking in teaching programmes would be beneficial to </w:t>
      </w:r>
      <w:r w:rsidR="0091718C">
        <w:t>students and</w:t>
      </w:r>
      <w:r w:rsidR="00B50B64">
        <w:t xml:space="preserve"> would help to dispel some misunderstandings. </w:t>
      </w:r>
    </w:p>
    <w:p w14:paraId="4542EF1D" w14:textId="0B891619" w:rsidR="00FB1FF6" w:rsidRDefault="005779B5" w:rsidP="00FB1FF6">
      <w:pPr>
        <w:spacing w:after="180"/>
      </w:pPr>
      <w:r w:rsidRPr="00237384">
        <w:t xml:space="preserve">The progression pathway has been constructed to check understanding of the link between properties and the structural arrangement, and type of atom that a substance (element or compound) is made up of. It also uses findings </w:t>
      </w:r>
      <w:r w:rsidR="0091718C">
        <w:t>from  the Children’s Learning in Science Project</w:t>
      </w:r>
      <w:r w:rsidR="00265AA6" w:rsidRPr="00237384">
        <w:t xml:space="preserve"> </w:t>
      </w:r>
      <w:r w:rsidR="00265AA6" w:rsidRPr="00237384">
        <w:fldChar w:fldCharType="begin"/>
      </w:r>
      <w:r w:rsidR="00265AA6" w:rsidRPr="00237384">
        <w:instrText xml:space="preserve"> ADDIN EN.CITE &lt;EndNote&gt;&lt;Cite&gt;&lt;Author&gt;Briggs&lt;/Author&gt;&lt;Year&gt;1986&lt;/Year&gt;&lt;IDText&gt;Children&amp;apos;s Learning in Science Project. Aspects of secondary students&amp;apos; understanding of elementary ideas in chemistry: Full repoty.&lt;/IDText&gt;&lt;DisplayText&gt;(Briggs and Holding, 1986)&lt;/DisplayText&gt;&lt;record&gt;&lt;urls&gt;&lt;related-urls&gt;&lt;url&gt;https://www.stem.org.uk/elibrary/resource/26944&lt;/url&gt;&lt;/related-urls&gt;&lt;/urls&gt;&lt;titles&gt;&lt;title&gt;Children&amp;apos;s Learning in Science Project. Aspects of secondary students&amp;apos; understanding of elementary ideas in chemistry: Full repoty.&lt;/title&gt;&lt;/titles&gt;&lt;contributors&gt;&lt;authors&gt;&lt;author&gt;Briggs, Hazel&lt;/author&gt;&lt;author&gt;Holding, Brian&lt;/author&gt;&lt;/authors&gt;&lt;/contributors&gt;&lt;added-date format="utc"&gt;1532530166&lt;/added-date&gt;&lt;ref-type name="Web Page"&gt;12&lt;/ref-type&gt;&lt;dates&gt;&lt;year&gt;1986&lt;/year&gt;&lt;/dates&gt;&lt;rec-number&gt;13&lt;/rec-number&gt;&lt;last-updated-date format="utc"&gt;1532530388&lt;/last-updated-date&gt;&lt;/record&gt;&lt;/Cite&gt;&lt;/EndNote&gt;</w:instrText>
      </w:r>
      <w:r w:rsidR="00265AA6" w:rsidRPr="00237384">
        <w:fldChar w:fldCharType="separate"/>
      </w:r>
      <w:r w:rsidR="00265AA6" w:rsidRPr="00237384">
        <w:rPr>
          <w:noProof/>
        </w:rPr>
        <w:t>(Briggs and Holding, 1986)</w:t>
      </w:r>
      <w:r w:rsidR="00265AA6" w:rsidRPr="00237384">
        <w:fldChar w:fldCharType="end"/>
      </w:r>
      <w:r w:rsidRPr="00237384">
        <w:t xml:space="preserve"> which showed that many students do not adequately understand particle diagrams including the significance of the circles touching (atoms joined) or not touching (atoms not joined). </w:t>
      </w:r>
    </w:p>
    <w:p w14:paraId="33DC1423"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1CFD6313" w14:textId="34748D1C" w:rsidR="00FB1FF6" w:rsidRDefault="005779B5" w:rsidP="00FB1FF6">
      <w:pPr>
        <w:spacing w:after="180"/>
      </w:pPr>
      <w:r w:rsidRPr="00237384">
        <w:t xml:space="preserve">This topic introduces elements and compounds as two types of substance. This forms part of the big idea on substance and properties. </w:t>
      </w:r>
      <w:r w:rsidR="0091718C" w:rsidRPr="00237384">
        <w:t>However,</w:t>
      </w:r>
      <w:r w:rsidRPr="00237384">
        <w:t xml:space="preserve"> in terms of conceptual development the focus is on the sub-microscopic representation of particles (atoms) that make up elements and compounds and how their structural arrangement determines their properties.  For this </w:t>
      </w:r>
      <w:r w:rsidR="0091718C" w:rsidRPr="00237384">
        <w:t>reason,</w:t>
      </w:r>
      <w:r w:rsidRPr="00237384">
        <w:t xml:space="preserve"> the key concept is placed in the particles and structure big idea.</w:t>
      </w:r>
    </w:p>
    <w:p w14:paraId="4AD4BD3E" w14:textId="2521634C" w:rsidR="00265AA6" w:rsidRPr="0091718C" w:rsidRDefault="00FB1FF6" w:rsidP="0091718C">
      <w:pPr>
        <w:spacing w:after="180"/>
        <w:rPr>
          <w:b/>
          <w:color w:val="E36C0A" w:themeColor="accent6" w:themeShade="BF"/>
          <w:sz w:val="24"/>
        </w:rPr>
      </w:pPr>
      <w:r w:rsidRPr="00B10DE6">
        <w:rPr>
          <w:b/>
          <w:color w:val="E36C0A" w:themeColor="accent6" w:themeShade="BF"/>
          <w:sz w:val="24"/>
        </w:rPr>
        <w:t>References</w:t>
      </w:r>
    </w:p>
    <w:p w14:paraId="1DDDAB52" w14:textId="4A492F3B" w:rsidR="00265AA6" w:rsidRPr="00265AA6" w:rsidRDefault="00265AA6" w:rsidP="00265AA6">
      <w:pPr>
        <w:pStyle w:val="EndNoteBibliography"/>
      </w:pPr>
      <w:r>
        <w:fldChar w:fldCharType="begin"/>
      </w:r>
      <w:r>
        <w:instrText xml:space="preserve"> ADDIN EN.REFLIST </w:instrText>
      </w:r>
      <w:r>
        <w:fldChar w:fldCharType="separate"/>
      </w:r>
      <w:r w:rsidRPr="00265AA6">
        <w:t xml:space="preserve">Briggs, H. and Holding, B. (1986). </w:t>
      </w:r>
      <w:r w:rsidRPr="00265AA6">
        <w:rPr>
          <w:i/>
        </w:rPr>
        <w:t xml:space="preserve">Children's Learning in Science Project. Aspects of secondary students' understanding of elementary ideas in chemistry: Full repoty. </w:t>
      </w:r>
      <w:r w:rsidRPr="00265AA6">
        <w:t xml:space="preserve">[Online]. Available at: </w:t>
      </w:r>
      <w:hyperlink r:id="rId8" w:history="1">
        <w:r w:rsidRPr="00265AA6">
          <w:rPr>
            <w:rStyle w:val="Hyperlink"/>
          </w:rPr>
          <w:t>https://www.stem.org.uk/elibrary/resource/26944</w:t>
        </w:r>
      </w:hyperlink>
      <w:r w:rsidRPr="00265AA6">
        <w:t>.</w:t>
      </w:r>
    </w:p>
    <w:p w14:paraId="16996696" w14:textId="77777777" w:rsidR="00265AA6" w:rsidRPr="00265AA6" w:rsidRDefault="00265AA6" w:rsidP="00265AA6">
      <w:pPr>
        <w:pStyle w:val="EndNoteBibliography"/>
      </w:pPr>
      <w:r w:rsidRPr="00265AA6">
        <w:t xml:space="preserve">Rappoport, L. T. and Ashkenazi, G. (2008). Connecting levels of representation:Emergent versus submergent perspective. </w:t>
      </w:r>
      <w:r w:rsidRPr="00265AA6">
        <w:rPr>
          <w:i/>
        </w:rPr>
        <w:t>International Journal of Science Education,</w:t>
      </w:r>
      <w:r w:rsidRPr="00265AA6">
        <w:t xml:space="preserve"> 30(12)</w:t>
      </w:r>
      <w:r w:rsidRPr="00265AA6">
        <w:rPr>
          <w:b/>
        </w:rPr>
        <w:t>,</w:t>
      </w:r>
      <w:r w:rsidRPr="00265AA6">
        <w:t xml:space="preserve"> 1585- 1603.</w:t>
      </w:r>
    </w:p>
    <w:p w14:paraId="7A311B1D" w14:textId="77777777" w:rsidR="00265AA6" w:rsidRPr="00265AA6" w:rsidRDefault="00265AA6" w:rsidP="00265AA6">
      <w:pPr>
        <w:pStyle w:val="EndNoteBibliography"/>
      </w:pPr>
      <w:r w:rsidRPr="00265AA6">
        <w:t xml:space="preserve">Talanquer, V. (2007). Students' predictions about the sensory properties of chemical compounds: Additive versus emergent frameworks. </w:t>
      </w:r>
      <w:r w:rsidRPr="00265AA6">
        <w:rPr>
          <w:i/>
        </w:rPr>
        <w:t>Science Education,</w:t>
      </w:r>
      <w:r w:rsidRPr="00265AA6">
        <w:t xml:space="preserve"> 92(1)</w:t>
      </w:r>
      <w:r w:rsidRPr="00265AA6">
        <w:rPr>
          <w:b/>
        </w:rPr>
        <w:t>,</w:t>
      </w:r>
      <w:r w:rsidRPr="00265AA6">
        <w:t xml:space="preserve"> 96-114.</w:t>
      </w:r>
    </w:p>
    <w:p w14:paraId="73F70ADA" w14:textId="4B042CA2" w:rsidR="00D43788" w:rsidRDefault="00265AA6" w:rsidP="00AE5FB7">
      <w:pPr>
        <w:spacing w:after="200" w:line="276" w:lineRule="auto"/>
      </w:pPr>
      <w: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E7EBD" w14:textId="77777777" w:rsidR="00E46C35" w:rsidRDefault="00E46C35" w:rsidP="000B473B">
      <w:r>
        <w:separator/>
      </w:r>
    </w:p>
  </w:endnote>
  <w:endnote w:type="continuationSeparator" w:id="0">
    <w:p w14:paraId="7B6A66C1" w14:textId="77777777" w:rsidR="00E46C35" w:rsidRDefault="00E46C3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F1A2D"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1232CBF9" wp14:editId="41C7C029">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6339AD"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520EB">
      <w:rPr>
        <w:noProof/>
      </w:rPr>
      <w:t>5</w:t>
    </w:r>
    <w:r>
      <w:rPr>
        <w:noProof/>
      </w:rPr>
      <w:fldChar w:fldCharType="end"/>
    </w:r>
  </w:p>
  <w:p w14:paraId="192C3B0B"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50E1D0DD"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F35FA" w14:textId="77777777" w:rsidR="00E46C35" w:rsidRDefault="00E46C35" w:rsidP="000B473B">
      <w:r>
        <w:separator/>
      </w:r>
    </w:p>
  </w:footnote>
  <w:footnote w:type="continuationSeparator" w:id="0">
    <w:p w14:paraId="712AB91F" w14:textId="77777777" w:rsidR="00E46C35" w:rsidRDefault="00E46C3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4B51E"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852C4AD" wp14:editId="0A4FF8D1">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390926D8" wp14:editId="2F23F9CC">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E39D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74D8"/>
    <w:rsid w:val="000026EA"/>
    <w:rsid w:val="00015578"/>
    <w:rsid w:val="00023043"/>
    <w:rsid w:val="00024731"/>
    <w:rsid w:val="00026DEC"/>
    <w:rsid w:val="0003079C"/>
    <w:rsid w:val="00036EBA"/>
    <w:rsid w:val="000505CA"/>
    <w:rsid w:val="0005709C"/>
    <w:rsid w:val="000947E2"/>
    <w:rsid w:val="00095E04"/>
    <w:rsid w:val="000A4D1F"/>
    <w:rsid w:val="000B473B"/>
    <w:rsid w:val="000D0E89"/>
    <w:rsid w:val="000D2978"/>
    <w:rsid w:val="000E2689"/>
    <w:rsid w:val="000F4AED"/>
    <w:rsid w:val="000F5E42"/>
    <w:rsid w:val="00104331"/>
    <w:rsid w:val="00137415"/>
    <w:rsid w:val="001413D2"/>
    <w:rsid w:val="00142613"/>
    <w:rsid w:val="00144DA7"/>
    <w:rsid w:val="00161D3F"/>
    <w:rsid w:val="00185C05"/>
    <w:rsid w:val="001915D4"/>
    <w:rsid w:val="001A1FED"/>
    <w:rsid w:val="001A40E2"/>
    <w:rsid w:val="001A6A26"/>
    <w:rsid w:val="001B2603"/>
    <w:rsid w:val="001C4805"/>
    <w:rsid w:val="001F2B4D"/>
    <w:rsid w:val="00205977"/>
    <w:rsid w:val="002074D8"/>
    <w:rsid w:val="002178AC"/>
    <w:rsid w:val="00217F24"/>
    <w:rsid w:val="00223388"/>
    <w:rsid w:val="0022442F"/>
    <w:rsid w:val="00224B69"/>
    <w:rsid w:val="0022547C"/>
    <w:rsid w:val="00233BFE"/>
    <w:rsid w:val="00237384"/>
    <w:rsid w:val="0025410A"/>
    <w:rsid w:val="00265AA6"/>
    <w:rsid w:val="0028012F"/>
    <w:rsid w:val="00280B49"/>
    <w:rsid w:val="00287876"/>
    <w:rsid w:val="0029248B"/>
    <w:rsid w:val="00292C53"/>
    <w:rsid w:val="00294E22"/>
    <w:rsid w:val="00296E30"/>
    <w:rsid w:val="002C194B"/>
    <w:rsid w:val="002C36ED"/>
    <w:rsid w:val="002C59BA"/>
    <w:rsid w:val="002F08DF"/>
    <w:rsid w:val="002F3535"/>
    <w:rsid w:val="00301AA9"/>
    <w:rsid w:val="00306DB7"/>
    <w:rsid w:val="003117F6"/>
    <w:rsid w:val="003512FB"/>
    <w:rsid w:val="003533B8"/>
    <w:rsid w:val="003535C5"/>
    <w:rsid w:val="003752BE"/>
    <w:rsid w:val="00377662"/>
    <w:rsid w:val="003A07C6"/>
    <w:rsid w:val="003A346A"/>
    <w:rsid w:val="003B13BC"/>
    <w:rsid w:val="003B2917"/>
    <w:rsid w:val="003B541B"/>
    <w:rsid w:val="003C0649"/>
    <w:rsid w:val="003C7537"/>
    <w:rsid w:val="003E2B2F"/>
    <w:rsid w:val="003E6046"/>
    <w:rsid w:val="003E660F"/>
    <w:rsid w:val="003F16F9"/>
    <w:rsid w:val="00430C1F"/>
    <w:rsid w:val="00437318"/>
    <w:rsid w:val="00442595"/>
    <w:rsid w:val="00446189"/>
    <w:rsid w:val="0045323E"/>
    <w:rsid w:val="0047091F"/>
    <w:rsid w:val="00490D6B"/>
    <w:rsid w:val="004B0EE1"/>
    <w:rsid w:val="004D0D83"/>
    <w:rsid w:val="004E1DF1"/>
    <w:rsid w:val="004E5592"/>
    <w:rsid w:val="004F3A89"/>
    <w:rsid w:val="004F5021"/>
    <w:rsid w:val="0050055B"/>
    <w:rsid w:val="00524710"/>
    <w:rsid w:val="005519D4"/>
    <w:rsid w:val="00555342"/>
    <w:rsid w:val="005560E2"/>
    <w:rsid w:val="00575039"/>
    <w:rsid w:val="005767D5"/>
    <w:rsid w:val="005779B5"/>
    <w:rsid w:val="005A452E"/>
    <w:rsid w:val="005B4F3F"/>
    <w:rsid w:val="005E383D"/>
    <w:rsid w:val="005F115D"/>
    <w:rsid w:val="00620AFF"/>
    <w:rsid w:val="006355D8"/>
    <w:rsid w:val="00642ECD"/>
    <w:rsid w:val="0065024C"/>
    <w:rsid w:val="006502A0"/>
    <w:rsid w:val="006772F5"/>
    <w:rsid w:val="006B0615"/>
    <w:rsid w:val="006B633B"/>
    <w:rsid w:val="006C2DD9"/>
    <w:rsid w:val="006D166B"/>
    <w:rsid w:val="006E616D"/>
    <w:rsid w:val="006E73AB"/>
    <w:rsid w:val="006F01D8"/>
    <w:rsid w:val="006F2CAB"/>
    <w:rsid w:val="006F3279"/>
    <w:rsid w:val="006F5255"/>
    <w:rsid w:val="00704AEE"/>
    <w:rsid w:val="007100E4"/>
    <w:rsid w:val="00722F9A"/>
    <w:rsid w:val="00740EB8"/>
    <w:rsid w:val="00754539"/>
    <w:rsid w:val="00757297"/>
    <w:rsid w:val="00760E08"/>
    <w:rsid w:val="00795CB4"/>
    <w:rsid w:val="007A3C86"/>
    <w:rsid w:val="007A683E"/>
    <w:rsid w:val="007A748B"/>
    <w:rsid w:val="007C3B28"/>
    <w:rsid w:val="007D1D65"/>
    <w:rsid w:val="007E0A9E"/>
    <w:rsid w:val="007E5309"/>
    <w:rsid w:val="00800DE1"/>
    <w:rsid w:val="00802843"/>
    <w:rsid w:val="00813F47"/>
    <w:rsid w:val="00821188"/>
    <w:rsid w:val="008450D6"/>
    <w:rsid w:val="008544D9"/>
    <w:rsid w:val="00856FCA"/>
    <w:rsid w:val="008636FD"/>
    <w:rsid w:val="00872EB4"/>
    <w:rsid w:val="00873B8C"/>
    <w:rsid w:val="00891401"/>
    <w:rsid w:val="008A405F"/>
    <w:rsid w:val="008A6F4E"/>
    <w:rsid w:val="008C7F34"/>
    <w:rsid w:val="008E032D"/>
    <w:rsid w:val="008E13E0"/>
    <w:rsid w:val="008E580C"/>
    <w:rsid w:val="0090047A"/>
    <w:rsid w:val="00911B49"/>
    <w:rsid w:val="00913AD8"/>
    <w:rsid w:val="0091718C"/>
    <w:rsid w:val="00917940"/>
    <w:rsid w:val="00925026"/>
    <w:rsid w:val="00931264"/>
    <w:rsid w:val="00936FA0"/>
    <w:rsid w:val="00942A4B"/>
    <w:rsid w:val="00961D59"/>
    <w:rsid w:val="009729EC"/>
    <w:rsid w:val="009A6941"/>
    <w:rsid w:val="009B2D55"/>
    <w:rsid w:val="009B38BB"/>
    <w:rsid w:val="009C0343"/>
    <w:rsid w:val="009E0D11"/>
    <w:rsid w:val="00A24A16"/>
    <w:rsid w:val="00A37D14"/>
    <w:rsid w:val="00A6168B"/>
    <w:rsid w:val="00A62028"/>
    <w:rsid w:val="00AA6236"/>
    <w:rsid w:val="00AB6AE7"/>
    <w:rsid w:val="00AB6CA4"/>
    <w:rsid w:val="00AD21F5"/>
    <w:rsid w:val="00AD5043"/>
    <w:rsid w:val="00AE3956"/>
    <w:rsid w:val="00AE5FB7"/>
    <w:rsid w:val="00AF0E74"/>
    <w:rsid w:val="00AF7DB9"/>
    <w:rsid w:val="00B06225"/>
    <w:rsid w:val="00B10DE6"/>
    <w:rsid w:val="00B23C7A"/>
    <w:rsid w:val="00B33FEF"/>
    <w:rsid w:val="00B346B5"/>
    <w:rsid w:val="00B37C53"/>
    <w:rsid w:val="00B412B0"/>
    <w:rsid w:val="00B42E62"/>
    <w:rsid w:val="00B46FF9"/>
    <w:rsid w:val="00B50B64"/>
    <w:rsid w:val="00B548C0"/>
    <w:rsid w:val="00B75483"/>
    <w:rsid w:val="00BA5A78"/>
    <w:rsid w:val="00BA7952"/>
    <w:rsid w:val="00BB3EA6"/>
    <w:rsid w:val="00BD3160"/>
    <w:rsid w:val="00BE27BE"/>
    <w:rsid w:val="00BF0BBF"/>
    <w:rsid w:val="00BF6C8A"/>
    <w:rsid w:val="00C05571"/>
    <w:rsid w:val="00C06521"/>
    <w:rsid w:val="00C15989"/>
    <w:rsid w:val="00C17716"/>
    <w:rsid w:val="00C246CE"/>
    <w:rsid w:val="00C504BE"/>
    <w:rsid w:val="00C5553B"/>
    <w:rsid w:val="00C57FA2"/>
    <w:rsid w:val="00C63844"/>
    <w:rsid w:val="00C72918"/>
    <w:rsid w:val="00C8765D"/>
    <w:rsid w:val="00C87CA0"/>
    <w:rsid w:val="00C9265A"/>
    <w:rsid w:val="00CC2E4D"/>
    <w:rsid w:val="00CC78A5"/>
    <w:rsid w:val="00CC7B16"/>
    <w:rsid w:val="00CE15FE"/>
    <w:rsid w:val="00CE7273"/>
    <w:rsid w:val="00D02E15"/>
    <w:rsid w:val="00D14F44"/>
    <w:rsid w:val="00D278E8"/>
    <w:rsid w:val="00D421C8"/>
    <w:rsid w:val="00D43788"/>
    <w:rsid w:val="00D44604"/>
    <w:rsid w:val="00D479B3"/>
    <w:rsid w:val="00D515EC"/>
    <w:rsid w:val="00D51657"/>
    <w:rsid w:val="00D52283"/>
    <w:rsid w:val="00D524E5"/>
    <w:rsid w:val="00D72FEF"/>
    <w:rsid w:val="00D755FA"/>
    <w:rsid w:val="00DB2434"/>
    <w:rsid w:val="00DB7449"/>
    <w:rsid w:val="00DB7471"/>
    <w:rsid w:val="00DC4A4E"/>
    <w:rsid w:val="00DD1874"/>
    <w:rsid w:val="00DD63BD"/>
    <w:rsid w:val="00DF096A"/>
    <w:rsid w:val="00E172C6"/>
    <w:rsid w:val="00E22B55"/>
    <w:rsid w:val="00E24309"/>
    <w:rsid w:val="00E31116"/>
    <w:rsid w:val="00E46C35"/>
    <w:rsid w:val="00E53D82"/>
    <w:rsid w:val="00E54437"/>
    <w:rsid w:val="00E753A9"/>
    <w:rsid w:val="00E85A74"/>
    <w:rsid w:val="00EB5D87"/>
    <w:rsid w:val="00EE6B97"/>
    <w:rsid w:val="00EF081E"/>
    <w:rsid w:val="00F12ABA"/>
    <w:rsid w:val="00F12C3B"/>
    <w:rsid w:val="00F26884"/>
    <w:rsid w:val="00F34FD0"/>
    <w:rsid w:val="00F40370"/>
    <w:rsid w:val="00F471A9"/>
    <w:rsid w:val="00F520EB"/>
    <w:rsid w:val="00F604E7"/>
    <w:rsid w:val="00F66FF6"/>
    <w:rsid w:val="00F74824"/>
    <w:rsid w:val="00F75F0D"/>
    <w:rsid w:val="00F82443"/>
    <w:rsid w:val="00F8355F"/>
    <w:rsid w:val="00F90D64"/>
    <w:rsid w:val="00F928E4"/>
    <w:rsid w:val="00F95F3E"/>
    <w:rsid w:val="00FA14FE"/>
    <w:rsid w:val="00FA3196"/>
    <w:rsid w:val="00FB1FF6"/>
    <w:rsid w:val="00FC0B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A04B2"/>
  <w15:docId w15:val="{E0564569-EF42-483F-98DE-D9941101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65A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65AA6"/>
    <w:rPr>
      <w:rFonts w:ascii="Calibri" w:hAnsi="Calibri" w:cs="Calibri"/>
      <w:noProof/>
      <w:lang w:val="en-US"/>
    </w:rPr>
  </w:style>
  <w:style w:type="paragraph" w:customStyle="1" w:styleId="EndNoteBibliography">
    <w:name w:val="EndNote Bibliography"/>
    <w:basedOn w:val="Normal"/>
    <w:link w:val="EndNoteBibliographyChar"/>
    <w:rsid w:val="00265AA6"/>
    <w:rPr>
      <w:rFonts w:ascii="Calibri" w:hAnsi="Calibri" w:cs="Calibri"/>
      <w:noProof/>
      <w:lang w:val="en-US"/>
    </w:rPr>
  </w:style>
  <w:style w:type="character" w:customStyle="1" w:styleId="EndNoteBibliographyChar">
    <w:name w:val="EndNote Bibliography Char"/>
    <w:basedOn w:val="DefaultParagraphFont"/>
    <w:link w:val="EndNoteBibliography"/>
    <w:rsid w:val="00265AA6"/>
    <w:rPr>
      <w:rFonts w:ascii="Calibri" w:hAnsi="Calibri" w:cs="Calibri"/>
      <w:noProof/>
      <w:lang w:val="en-US"/>
    </w:rPr>
  </w:style>
  <w:style w:type="character" w:styleId="Hyperlink">
    <w:name w:val="Hyperlink"/>
    <w:basedOn w:val="DefaultParagraphFont"/>
    <w:uiPriority w:val="99"/>
    <w:unhideWhenUsed/>
    <w:rsid w:val="00265AA6"/>
    <w:rPr>
      <w:color w:val="0000FF" w:themeColor="hyperlink"/>
      <w:u w:val="single"/>
    </w:rPr>
  </w:style>
  <w:style w:type="character" w:styleId="UnresolvedMention">
    <w:name w:val="Unresolved Mention"/>
    <w:basedOn w:val="DefaultParagraphFont"/>
    <w:uiPriority w:val="99"/>
    <w:semiHidden/>
    <w:unhideWhenUsed/>
    <w:rsid w:val="00265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em.org.uk/elibrary/resource/26944"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Template>
  <TotalTime>291</TotalTime>
  <Pages>4</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9</cp:revision>
  <cp:lastPrinted>2018-07-25T14:30:00Z</cp:lastPrinted>
  <dcterms:created xsi:type="dcterms:W3CDTF">2018-07-05T13:10:00Z</dcterms:created>
  <dcterms:modified xsi:type="dcterms:W3CDTF">2018-07-26T09:30:00Z</dcterms:modified>
</cp:coreProperties>
</file>