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4B8" w:rsidRDefault="004D34B8"/>
    <w:tbl>
      <w:tblPr>
        <w:tblW w:w="11057" w:type="dxa"/>
        <w:tblInd w:w="-714" w:type="dxa"/>
        <w:tblCellMar>
          <w:left w:w="10" w:type="dxa"/>
          <w:right w:w="10" w:type="dxa"/>
        </w:tblCellMar>
        <w:tblLook w:val="0000" w:firstRow="0" w:lastRow="0" w:firstColumn="0" w:lastColumn="0" w:noHBand="0" w:noVBand="0"/>
      </w:tblPr>
      <w:tblGrid>
        <w:gridCol w:w="5389"/>
        <w:gridCol w:w="3967"/>
        <w:gridCol w:w="1701"/>
      </w:tblGrid>
      <w:tr w:rsidR="004D34B8">
        <w:tc>
          <w:tcPr>
            <w:tcW w:w="935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4B8" w:rsidRDefault="009B38D4">
            <w:pPr>
              <w:spacing w:before="120" w:after="0"/>
            </w:pPr>
            <w:r>
              <w:rPr>
                <w:b/>
                <w:color w:val="00B0F0"/>
                <w:sz w:val="28"/>
                <w:szCs w:val="28"/>
              </w:rPr>
              <w:t>Design Challenges (20 Minute Makes)</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pPr>
            <w:r>
              <w:rPr>
                <w:b/>
                <w:color w:val="00B0F0"/>
                <w:sz w:val="24"/>
                <w:szCs w:val="24"/>
              </w:rPr>
              <w:t>AGE 11-14</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Objectives </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Background </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E431E9" w:rsidRDefault="00E431E9" w:rsidP="00E431E9">
            <w:pPr>
              <w:pStyle w:val="ListParagraph"/>
              <w:numPr>
                <w:ilvl w:val="0"/>
                <w:numId w:val="1"/>
              </w:numPr>
            </w:pPr>
            <w:r w:rsidRPr="00E431E9">
              <w:t>Use new skills to evaluate a systems and control product.</w:t>
            </w:r>
          </w:p>
          <w:p w:rsidR="00E431E9" w:rsidRDefault="00E431E9" w:rsidP="00E431E9">
            <w:pPr>
              <w:pStyle w:val="ListParagraph"/>
              <w:numPr>
                <w:ilvl w:val="0"/>
                <w:numId w:val="1"/>
              </w:numPr>
            </w:pPr>
            <w:r>
              <w:t>A</w:t>
            </w:r>
            <w:r w:rsidRPr="00E431E9">
              <w:t>pply accurate cutting skills to the production of a systems and control product.</w:t>
            </w:r>
          </w:p>
          <w:p w:rsidR="00900E68" w:rsidRDefault="00900E68" w:rsidP="00900E68">
            <w:pPr>
              <w:pStyle w:val="ListParagraph"/>
              <w:numPr>
                <w:ilvl w:val="0"/>
                <w:numId w:val="1"/>
              </w:numPr>
            </w:pPr>
            <w:r w:rsidRPr="00E431E9">
              <w:t>Use new skills to understand various types of mechanisms.</w:t>
            </w:r>
          </w:p>
          <w:p w:rsidR="00900E68" w:rsidRDefault="00900E68" w:rsidP="00900E68">
            <w:pPr>
              <w:pStyle w:val="ListParagraph"/>
              <w:ind w:left="360"/>
            </w:pP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841D6F" w:rsidP="00B76F35">
            <w:r>
              <w:t>This 1 hour session is the 7</w:t>
            </w:r>
            <w:bookmarkStart w:id="0" w:name="_GoBack"/>
            <w:bookmarkEnd w:id="0"/>
            <w:r w:rsidR="00B76F35" w:rsidRPr="00B76F35">
              <w:rPr>
                <w:vertAlign w:val="superscript"/>
              </w:rPr>
              <w:t>th</w:t>
            </w:r>
            <w:r w:rsidR="00B76F35">
              <w:t xml:space="preserve"> of a series of 10 lessons, it is the first half of a 2 hour design challenge where students explore the development of a simple mechanism toy.</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The Big Questions</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Curriculum Links </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E431E9">
            <w:pPr>
              <w:pStyle w:val="ListParagraph"/>
              <w:numPr>
                <w:ilvl w:val="0"/>
                <w:numId w:val="2"/>
              </w:numPr>
            </w:pPr>
            <w:r>
              <w:t>How can we develop a simple mechanism to use in a toy?</w:t>
            </w:r>
          </w:p>
          <w:p w:rsidR="00E431E9" w:rsidRDefault="00E431E9">
            <w:pPr>
              <w:pStyle w:val="ListParagraph"/>
              <w:numPr>
                <w:ilvl w:val="0"/>
                <w:numId w:val="2"/>
              </w:numPr>
            </w:pPr>
            <w:r>
              <w:t>Can a toy inspire self confidence in young children?</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r>
              <w:t xml:space="preserve">Design &amp; Technology KS3 </w:t>
            </w:r>
            <w:proofErr w:type="spellStart"/>
            <w:r>
              <w:t>PoS</w:t>
            </w:r>
            <w:proofErr w:type="spellEnd"/>
          </w:p>
          <w:p w:rsidR="009857BC" w:rsidRDefault="009857BC" w:rsidP="009857BC">
            <w:r>
              <w:t>Design:</w:t>
            </w:r>
          </w:p>
          <w:p w:rsidR="00335396" w:rsidRDefault="00335396" w:rsidP="00335396">
            <w:pPr>
              <w:pStyle w:val="ListParagraph"/>
              <w:numPr>
                <w:ilvl w:val="0"/>
                <w:numId w:val="3"/>
              </w:numPr>
            </w:pPr>
            <w:r>
              <w:t xml:space="preserve">use research and exploration, such as the study of different cultures, to identify and understand user </w:t>
            </w:r>
            <w:r w:rsidR="009857BC">
              <w:t>needs</w:t>
            </w:r>
          </w:p>
          <w:p w:rsidR="00335396" w:rsidRDefault="00335396" w:rsidP="00335396">
            <w:pPr>
              <w:pStyle w:val="ListParagraph"/>
              <w:numPr>
                <w:ilvl w:val="0"/>
                <w:numId w:val="3"/>
              </w:numPr>
            </w:pPr>
            <w:r>
              <w:t>U</w:t>
            </w:r>
            <w:r w:rsidRPr="00335396">
              <w:t>se a variety of approaches [for example, biomimicry and user-</w:t>
            </w:r>
            <w:proofErr w:type="spellStart"/>
            <w:r w:rsidRPr="00335396">
              <w:t>centred</w:t>
            </w:r>
            <w:proofErr w:type="spellEnd"/>
            <w:r w:rsidRPr="00335396">
              <w:t xml:space="preserve"> design], to generate creative ideas and avoid stereotypical responses</w:t>
            </w:r>
          </w:p>
          <w:p w:rsidR="009857BC" w:rsidRDefault="009857BC" w:rsidP="009857BC">
            <w:r>
              <w:t>Technical knowledge:</w:t>
            </w:r>
          </w:p>
          <w:p w:rsidR="009857BC" w:rsidRDefault="009857BC" w:rsidP="009857BC">
            <w:pPr>
              <w:pStyle w:val="ListParagraph"/>
              <w:numPr>
                <w:ilvl w:val="0"/>
                <w:numId w:val="3"/>
              </w:numPr>
            </w:pPr>
            <w:r>
              <w:t>understand how more advanced mechanical systems used in their products enable changes in movement and force</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Unit Summary</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4D34B8">
            <w:pPr>
              <w:spacing w:before="120" w:after="0"/>
              <w:rPr>
                <w:b/>
                <w:color w:val="00B0F0"/>
                <w:sz w:val="24"/>
                <w:szCs w:val="24"/>
              </w:rPr>
            </w:pPr>
          </w:p>
        </w:tc>
      </w:tr>
      <w:tr w:rsidR="00335396" w:rsidTr="00394507">
        <w:tc>
          <w:tcPr>
            <w:tcW w:w="11057"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335396" w:rsidRDefault="00335396">
            <w:pPr>
              <w:pStyle w:val="ListParagraph"/>
              <w:numPr>
                <w:ilvl w:val="0"/>
                <w:numId w:val="4"/>
              </w:numPr>
              <w:spacing w:after="0"/>
              <w:ind w:left="177" w:hanging="142"/>
            </w:pPr>
            <w:r w:rsidRPr="009B38D4">
              <w:t xml:space="preserve">This unit of work is a series of </w:t>
            </w:r>
            <w:r>
              <w:t>5</w:t>
            </w:r>
            <w:r w:rsidRPr="009B38D4">
              <w:t xml:space="preserve"> design challenges that cover a range of materials areas with students challenged to create a small product in only 20 minutes, within a 2-hour session.</w:t>
            </w:r>
            <w:r>
              <w:t xml:space="preserve"> Different spiritual, moral, social and cultural themes are explored across the sessions, and a large emphasis is placed on the evaluation of the success of the students’ small product prototype.</w:t>
            </w:r>
          </w:p>
        </w:tc>
      </w:tr>
    </w:tbl>
    <w:p w:rsidR="004D34B8" w:rsidRDefault="004D34B8">
      <w:pPr>
        <w:ind w:hanging="567"/>
      </w:pPr>
    </w:p>
    <w:p w:rsidR="004D34B8" w:rsidRDefault="004D34B8"/>
    <w:p w:rsidR="004D34B8" w:rsidRDefault="004D34B8"/>
    <w:p w:rsidR="004D34B8" w:rsidRDefault="004D34B8">
      <w:pPr>
        <w:pageBreakBefore/>
        <w:suppressAutoHyphens w:val="0"/>
      </w:pPr>
    </w:p>
    <w:p w:rsidR="004D34B8" w:rsidRDefault="004D34B8"/>
    <w:tbl>
      <w:tblPr>
        <w:tblW w:w="11057" w:type="dxa"/>
        <w:tblInd w:w="-853" w:type="dxa"/>
        <w:tblCellMar>
          <w:left w:w="10" w:type="dxa"/>
          <w:right w:w="10" w:type="dxa"/>
        </w:tblCellMar>
        <w:tblLook w:val="0000" w:firstRow="0" w:lastRow="0" w:firstColumn="0" w:lastColumn="0" w:noHBand="0" w:noVBand="0"/>
      </w:tblPr>
      <w:tblGrid>
        <w:gridCol w:w="9356"/>
        <w:gridCol w:w="1701"/>
      </w:tblGrid>
      <w:tr w:rsidR="004D34B8">
        <w:tc>
          <w:tcPr>
            <w:tcW w:w="935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4B8" w:rsidRDefault="00031B5F">
            <w:pPr>
              <w:spacing w:before="120" w:after="0"/>
            </w:pPr>
            <w:r>
              <w:rPr>
                <w:b/>
                <w:color w:val="00B0F0"/>
                <w:sz w:val="28"/>
                <w:szCs w:val="28"/>
              </w:rPr>
              <w:t>(Title)</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pPr>
            <w:r>
              <w:rPr>
                <w:b/>
                <w:color w:val="00B0F0"/>
                <w:sz w:val="24"/>
                <w:szCs w:val="24"/>
              </w:rPr>
              <w:t>AGE 11-14</w:t>
            </w:r>
          </w:p>
        </w:tc>
      </w:tr>
    </w:tbl>
    <w:p w:rsidR="004D34B8" w:rsidRDefault="004D34B8">
      <w:pPr>
        <w:spacing w:after="0"/>
        <w:rPr>
          <w:vanish/>
        </w:rPr>
      </w:pPr>
    </w:p>
    <w:tbl>
      <w:tblPr>
        <w:tblW w:w="11057" w:type="dxa"/>
        <w:tblInd w:w="-851" w:type="dxa"/>
        <w:tblCellMar>
          <w:left w:w="10" w:type="dxa"/>
          <w:right w:w="10" w:type="dxa"/>
        </w:tblCellMar>
        <w:tblLook w:val="0000" w:firstRow="0" w:lastRow="0" w:firstColumn="0" w:lastColumn="0" w:noHBand="0" w:noVBand="0"/>
      </w:tblPr>
      <w:tblGrid>
        <w:gridCol w:w="5389"/>
        <w:gridCol w:w="139"/>
        <w:gridCol w:w="5529"/>
      </w:tblGrid>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1 Resources </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5 Plenary </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E431E9">
            <w:pPr>
              <w:pStyle w:val="ListParagraph"/>
              <w:numPr>
                <w:ilvl w:val="0"/>
                <w:numId w:val="5"/>
              </w:numPr>
              <w:suppressAutoHyphens w:val="0"/>
              <w:spacing w:line="247" w:lineRule="auto"/>
              <w:textAlignment w:val="auto"/>
            </w:pPr>
            <w:r>
              <w:t>Student PowerPoint</w:t>
            </w:r>
          </w:p>
          <w:p w:rsidR="00E431E9" w:rsidRDefault="00E431E9">
            <w:pPr>
              <w:pStyle w:val="ListParagraph"/>
              <w:numPr>
                <w:ilvl w:val="0"/>
                <w:numId w:val="5"/>
              </w:numPr>
              <w:suppressAutoHyphens w:val="0"/>
              <w:spacing w:line="247" w:lineRule="auto"/>
              <w:textAlignment w:val="auto"/>
            </w:pPr>
            <w:r>
              <w:t>Design challenges student workbook</w:t>
            </w:r>
          </w:p>
          <w:p w:rsidR="00591CB7" w:rsidRDefault="00591CB7">
            <w:pPr>
              <w:pStyle w:val="ListParagraph"/>
              <w:numPr>
                <w:ilvl w:val="0"/>
                <w:numId w:val="5"/>
              </w:numPr>
              <w:suppressAutoHyphens w:val="0"/>
              <w:spacing w:line="247" w:lineRule="auto"/>
              <w:textAlignment w:val="auto"/>
            </w:pPr>
            <w:r>
              <w:t>Thin white card</w:t>
            </w:r>
          </w:p>
          <w:p w:rsidR="00591CB7" w:rsidRDefault="00591CB7">
            <w:pPr>
              <w:pStyle w:val="ListParagraph"/>
              <w:numPr>
                <w:ilvl w:val="0"/>
                <w:numId w:val="5"/>
              </w:numPr>
              <w:suppressAutoHyphens w:val="0"/>
              <w:spacing w:line="247" w:lineRule="auto"/>
              <w:textAlignment w:val="auto"/>
            </w:pPr>
            <w:r>
              <w:t>Scissors</w:t>
            </w:r>
          </w:p>
          <w:p w:rsidR="00591CB7" w:rsidRDefault="00591CB7">
            <w:pPr>
              <w:pStyle w:val="ListParagraph"/>
              <w:numPr>
                <w:ilvl w:val="0"/>
                <w:numId w:val="5"/>
              </w:numPr>
              <w:suppressAutoHyphens w:val="0"/>
              <w:spacing w:line="247" w:lineRule="auto"/>
              <w:textAlignment w:val="auto"/>
            </w:pPr>
            <w:r>
              <w:t>Paper fasteners</w:t>
            </w:r>
          </w:p>
          <w:p w:rsidR="00E431E9" w:rsidRDefault="00E431E9">
            <w:pPr>
              <w:pStyle w:val="ListParagraph"/>
              <w:numPr>
                <w:ilvl w:val="0"/>
                <w:numId w:val="5"/>
              </w:numPr>
              <w:suppressAutoHyphens w:val="0"/>
              <w:spacing w:line="247" w:lineRule="auto"/>
              <w:textAlignment w:val="auto"/>
            </w:pPr>
            <w:r>
              <w:t>Litter grabber (optional)</w:t>
            </w:r>
          </w:p>
          <w:p w:rsidR="00A56755" w:rsidRDefault="00A56755" w:rsidP="00A56755">
            <w:pPr>
              <w:pStyle w:val="ListParagraph"/>
              <w:numPr>
                <w:ilvl w:val="0"/>
                <w:numId w:val="5"/>
              </w:numPr>
              <w:suppressAutoHyphens w:val="0"/>
              <w:spacing w:line="247" w:lineRule="auto"/>
              <w:textAlignment w:val="auto"/>
            </w:pPr>
            <w:r>
              <w:t xml:space="preserve">Mechanism examples - </w:t>
            </w:r>
            <w:r w:rsidRPr="00A56755">
              <w:t>reverse-motion linkage, parallel-motion linkage, bell</w:t>
            </w:r>
            <w:r>
              <w:t>-crank linkage, treadle linkage</w:t>
            </w:r>
            <w:r w:rsidRPr="00A56755">
              <w:t xml:space="preserve"> </w:t>
            </w:r>
            <w:r>
              <w:t>(optional)</w:t>
            </w:r>
          </w:p>
        </w:tc>
        <w:tc>
          <w:tcPr>
            <w:tcW w:w="5668" w:type="dxa"/>
            <w:gridSpan w:val="2"/>
            <w:vMerge w:val="restart"/>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4D34B8">
            <w:pPr>
              <w:spacing w:after="0"/>
            </w:pPr>
          </w:p>
          <w:p w:rsidR="00E431E9" w:rsidRPr="00E431E9" w:rsidRDefault="00E431E9" w:rsidP="00E431E9">
            <w:pPr>
              <w:rPr>
                <w:i/>
              </w:rPr>
            </w:pPr>
            <w:r w:rsidRPr="00E431E9">
              <w:rPr>
                <w:i/>
              </w:rPr>
              <w:t>5 minutes</w:t>
            </w:r>
          </w:p>
          <w:p w:rsidR="004D34B8" w:rsidRDefault="00591CB7" w:rsidP="00591CB7">
            <w:r>
              <w:t>Students carry out a self-assessment considering which aspects of spiritual, moral, social and cultural issues they have explored through their design work</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after="0"/>
            </w:pPr>
            <w:r>
              <w:rPr>
                <w:b/>
                <w:color w:val="00B0F0"/>
                <w:sz w:val="24"/>
                <w:szCs w:val="24"/>
              </w:rPr>
              <w:t xml:space="preserve">2 Starter </w:t>
            </w:r>
          </w:p>
        </w:tc>
        <w:tc>
          <w:tcPr>
            <w:tcW w:w="5668" w:type="dxa"/>
            <w:gridSpan w:val="2"/>
            <w:vMerge/>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4D34B8">
            <w:pPr>
              <w:rPr>
                <w:b/>
                <w:color w:val="00B0F0"/>
                <w:sz w:val="24"/>
                <w:szCs w:val="24"/>
              </w:rPr>
            </w:pP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Pr="00A56755" w:rsidRDefault="00A56755">
            <w:pPr>
              <w:spacing w:after="0"/>
              <w:rPr>
                <w:i/>
              </w:rPr>
            </w:pPr>
            <w:r>
              <w:rPr>
                <w:i/>
              </w:rPr>
              <w:t>5 minutes</w:t>
            </w:r>
          </w:p>
          <w:p w:rsidR="00E431E9" w:rsidRDefault="00E431E9" w:rsidP="00B9620B">
            <w:pPr>
              <w:spacing w:after="0"/>
            </w:pPr>
            <w:r>
              <w:t xml:space="preserve">Students look at the image of the </w:t>
            </w:r>
            <w:r w:rsidR="00B9620B">
              <w:t>litter picker (or physical example if available) and discuss, in pairs or small groups, what is the product used for, how does the product function, who has the product been designed for (target audience) and what two materials have been used to make the product? This is then fed back to the class and any misconceptions corrected by the teacher.</w:t>
            </w:r>
          </w:p>
          <w:p w:rsidR="00B9620B" w:rsidRDefault="00B9620B" w:rsidP="00B9620B">
            <w:pPr>
              <w:spacing w:after="0"/>
            </w:pPr>
          </w:p>
        </w:tc>
        <w:tc>
          <w:tcPr>
            <w:tcW w:w="5668" w:type="dxa"/>
            <w:gridSpan w:val="2"/>
            <w:vMerge/>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4D34B8"/>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3 Introduction </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6 Follow up session  </w:t>
            </w:r>
          </w:p>
        </w:tc>
      </w:tr>
      <w:tr w:rsidR="004D34B8">
        <w:tc>
          <w:tcPr>
            <w:tcW w:w="552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Pr="00A56755" w:rsidRDefault="00E431E9" w:rsidP="00A56755">
            <w:pPr>
              <w:spacing w:after="0"/>
            </w:pPr>
            <w:r w:rsidRPr="00A56755">
              <w:t>10 minutes</w:t>
            </w:r>
          </w:p>
          <w:p w:rsidR="00B9620B" w:rsidRDefault="00B9620B" w:rsidP="00A56755">
            <w:pPr>
              <w:spacing w:after="0"/>
            </w:pPr>
            <w:r>
              <w:t>The design b</w:t>
            </w:r>
            <w:r w:rsidR="00E431E9">
              <w:t>rief</w:t>
            </w:r>
            <w:r>
              <w:t xml:space="preserve"> is introduced, and students are asked what the purpose of creating the mechanism toy might be?</w:t>
            </w:r>
          </w:p>
          <w:p w:rsidR="00E431E9" w:rsidRDefault="00B9620B" w:rsidP="00A56755">
            <w:pPr>
              <w:spacing w:after="0"/>
            </w:pPr>
            <w:r>
              <w:t>The use of m</w:t>
            </w:r>
            <w:r w:rsidR="00E431E9">
              <w:t>echanisms</w:t>
            </w:r>
            <w:r>
              <w:t xml:space="preserve"> is explored to gauge students’ prior knowledge / learning on the topic, some examples are given that students may be familiar with (corkscrew, wheelbarrow, mechanical clock) and others can be listed, sketched and detailed.</w:t>
            </w:r>
          </w:p>
          <w:p w:rsidR="00E431E9" w:rsidRDefault="00E431E9"/>
        </w:tc>
        <w:tc>
          <w:tcPr>
            <w:tcW w:w="5529" w:type="dxa"/>
            <w:tcBorders>
              <w:top w:val="single" w:sz="4" w:space="0" w:color="000000"/>
              <w:bottom w:val="single" w:sz="4" w:space="0" w:color="000000"/>
            </w:tcBorders>
            <w:shd w:val="clear" w:color="auto" w:fill="auto"/>
            <w:tcMar>
              <w:top w:w="0" w:type="dxa"/>
              <w:left w:w="10" w:type="dxa"/>
              <w:bottom w:w="0" w:type="dxa"/>
              <w:right w:w="10" w:type="dxa"/>
            </w:tcMar>
          </w:tcPr>
          <w:p w:rsidR="004D34B8" w:rsidRDefault="00E431E9" w:rsidP="00E431E9">
            <w:r>
              <w:t>Students continue the design challenge in the second half of the challenge and will produce a simple card model of</w:t>
            </w:r>
            <w:r w:rsidR="00591CB7">
              <w:t xml:space="preserve"> their chosen mechanism toy, and provide a detailed evaluation to support further improvement and progress with similar work.</w:t>
            </w:r>
          </w:p>
        </w:tc>
      </w:tr>
      <w:tr w:rsidR="004D34B8">
        <w:tc>
          <w:tcPr>
            <w:tcW w:w="5389" w:type="dxa"/>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031B5F">
            <w:pPr>
              <w:spacing w:before="120" w:after="0"/>
              <w:rPr>
                <w:b/>
                <w:color w:val="00B0F0"/>
                <w:sz w:val="24"/>
                <w:szCs w:val="24"/>
              </w:rPr>
            </w:pPr>
            <w:r>
              <w:rPr>
                <w:b/>
                <w:color w:val="00B0F0"/>
                <w:sz w:val="24"/>
                <w:szCs w:val="24"/>
              </w:rPr>
              <w:t xml:space="preserve"> 4 Activity</w:t>
            </w:r>
          </w:p>
        </w:tc>
        <w:tc>
          <w:tcPr>
            <w:tcW w:w="5668"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4D34B8" w:rsidRDefault="004D34B8">
            <w:pPr>
              <w:spacing w:before="120" w:after="0"/>
              <w:rPr>
                <w:b/>
                <w:color w:val="00B0F0"/>
                <w:sz w:val="24"/>
                <w:szCs w:val="24"/>
              </w:rPr>
            </w:pPr>
          </w:p>
        </w:tc>
      </w:tr>
      <w:tr w:rsidR="00A56755" w:rsidTr="00BE03FC">
        <w:tc>
          <w:tcPr>
            <w:tcW w:w="11057" w:type="dxa"/>
            <w:gridSpan w:val="3"/>
            <w:tcBorders>
              <w:top w:val="single" w:sz="4" w:space="0" w:color="000000"/>
              <w:bottom w:val="single" w:sz="4" w:space="0" w:color="000000"/>
            </w:tcBorders>
            <w:shd w:val="clear" w:color="auto" w:fill="auto"/>
            <w:tcMar>
              <w:top w:w="0" w:type="dxa"/>
              <w:left w:w="108" w:type="dxa"/>
              <w:bottom w:w="0" w:type="dxa"/>
              <w:right w:w="108" w:type="dxa"/>
            </w:tcMar>
          </w:tcPr>
          <w:p w:rsidR="00A56755" w:rsidRPr="00A56755" w:rsidRDefault="00A56755" w:rsidP="00A56755">
            <w:pPr>
              <w:spacing w:after="0"/>
            </w:pPr>
            <w:r w:rsidRPr="00A56755">
              <w:t>5 minutes</w:t>
            </w:r>
          </w:p>
          <w:p w:rsidR="00A56755" w:rsidRDefault="00A56755" w:rsidP="00A56755">
            <w:pPr>
              <w:spacing w:after="0"/>
            </w:pPr>
            <w:r>
              <w:t>To help students visualize how the animals shown may help young children be inspired discussion should take place of how animals persevere in different situations, and how their qualities and skills are all different.</w:t>
            </w:r>
          </w:p>
          <w:p w:rsidR="00A56755" w:rsidRDefault="00A56755" w:rsidP="00A56755">
            <w:pPr>
              <w:spacing w:after="0"/>
            </w:pPr>
            <w:r>
              <w:t xml:space="preserve">To develop design ideas an explanation should be given of the different ways of producing design ideas, and ideally a sketch of an animal showing the part(s) which move can be drawn, in </w:t>
            </w:r>
            <w:proofErr w:type="spellStart"/>
            <w:r>
              <w:t>colour</w:t>
            </w:r>
            <w:proofErr w:type="spellEnd"/>
            <w:r>
              <w:t xml:space="preserve"> with labels, they should ass annotation to explain where could this idea be used and what materials could it be made from?</w:t>
            </w:r>
          </w:p>
          <w:p w:rsidR="00A56755" w:rsidRDefault="00A56755" w:rsidP="00A56755">
            <w:pPr>
              <w:spacing w:after="0"/>
            </w:pPr>
          </w:p>
          <w:p w:rsidR="00A56755" w:rsidRPr="00A56755" w:rsidRDefault="00A56755" w:rsidP="00A56755">
            <w:pPr>
              <w:spacing w:after="0"/>
            </w:pPr>
            <w:r w:rsidRPr="00A56755">
              <w:t>15 minutes</w:t>
            </w:r>
          </w:p>
          <w:p w:rsidR="00A56755" w:rsidRDefault="00A56755" w:rsidP="00A56755">
            <w:pPr>
              <w:spacing w:after="0"/>
            </w:pPr>
            <w:r>
              <w:t xml:space="preserve">Students produce 3 design ideas for their mechanism toy, they should be different, in </w:t>
            </w:r>
            <w:proofErr w:type="spellStart"/>
            <w:r>
              <w:t>colour</w:t>
            </w:r>
            <w:proofErr w:type="spellEnd"/>
            <w:r>
              <w:t>, and labelled and annotated.</w:t>
            </w:r>
          </w:p>
          <w:p w:rsidR="00A56755" w:rsidRDefault="00A56755" w:rsidP="00A56755">
            <w:pPr>
              <w:spacing w:after="0"/>
            </w:pPr>
          </w:p>
          <w:p w:rsidR="00A56755" w:rsidRDefault="00A56755" w:rsidP="00A56755">
            <w:pPr>
              <w:spacing w:after="0"/>
            </w:pPr>
          </w:p>
          <w:p w:rsidR="00A56755" w:rsidRPr="00A56755" w:rsidRDefault="00A56755" w:rsidP="00A56755">
            <w:pPr>
              <w:spacing w:after="0"/>
            </w:pPr>
            <w:r w:rsidRPr="00A56755">
              <w:t>5 minutes</w:t>
            </w:r>
          </w:p>
          <w:p w:rsidR="00A56755" w:rsidRDefault="00A56755" w:rsidP="00A56755">
            <w:pPr>
              <w:spacing w:after="0"/>
            </w:pPr>
            <w:r>
              <w:t xml:space="preserve">Using either the provided website </w:t>
            </w:r>
            <w:hyperlink r:id="rId7" w:history="1">
              <w:r w:rsidRPr="004A288F">
                <w:rPr>
                  <w:rStyle w:val="Hyperlink"/>
                </w:rPr>
                <w:t>http://www.bbc.co.uk/schools/gcsebitesize/design/systemscontrol/mechanismsrev3.shtml</w:t>
              </w:r>
            </w:hyperlink>
            <w:r>
              <w:t xml:space="preserve"> or if available examples of mechanism models or products using the mechanisms shown students should explore the different motions produced. The most suitable one(s) for their toy should be selected (from reverse-motion linkage, parallel-motion linkage, bell-crank linkage, treadle linkage).</w:t>
            </w:r>
          </w:p>
          <w:p w:rsidR="00A56755" w:rsidRDefault="00A56755" w:rsidP="00E431E9"/>
          <w:p w:rsidR="00A56755" w:rsidRPr="00A56755" w:rsidRDefault="00A56755" w:rsidP="00A56755">
            <w:pPr>
              <w:spacing w:after="0"/>
            </w:pPr>
            <w:r w:rsidRPr="00A56755">
              <w:t>15 minutes</w:t>
            </w:r>
          </w:p>
          <w:p w:rsidR="00A56755" w:rsidRDefault="00A56755" w:rsidP="00A56755">
            <w:pPr>
              <w:spacing w:after="0"/>
            </w:pPr>
            <w:r>
              <w:t xml:space="preserve">Using the mechanism example students </w:t>
            </w:r>
            <w:r w:rsidR="00591CB7">
              <w:t>produce</w:t>
            </w:r>
            <w:r>
              <w:t xml:space="preserve"> </w:t>
            </w:r>
            <w:r w:rsidR="00591CB7">
              <w:t>a selection of</w:t>
            </w:r>
            <w:r>
              <w:t xml:space="preserve"> card mechanisms</w:t>
            </w:r>
            <w:r w:rsidR="00591CB7">
              <w:t xml:space="preserve">, further examples can be found at </w:t>
            </w:r>
            <w:hyperlink r:id="rId8" w:history="1">
              <w:r w:rsidR="00591CB7" w:rsidRPr="004A288F">
                <w:rPr>
                  <w:rStyle w:val="Hyperlink"/>
                </w:rPr>
                <w:t>http://www.technologystudent.com/cams/link1.htm</w:t>
              </w:r>
            </w:hyperlink>
            <w:r w:rsidR="00591CB7">
              <w:t xml:space="preserve"> students can use cards strips approximately 10mm wide to produce their linkages, and these can be fixed to the paper and each other using paper fasteners. </w:t>
            </w:r>
          </w:p>
          <w:p w:rsidR="00A56755" w:rsidRDefault="00A56755">
            <w:pPr>
              <w:spacing w:after="0"/>
            </w:pPr>
          </w:p>
          <w:p w:rsidR="00A56755" w:rsidRDefault="00A56755"/>
        </w:tc>
      </w:tr>
    </w:tbl>
    <w:p w:rsidR="004D34B8" w:rsidRDefault="004D34B8">
      <w:pPr>
        <w:ind w:hanging="567"/>
      </w:pPr>
    </w:p>
    <w:p w:rsidR="004D34B8" w:rsidRDefault="004D34B8">
      <w:pPr>
        <w:suppressAutoHyphens w:val="0"/>
      </w:pPr>
    </w:p>
    <w:sectPr w:rsidR="004D34B8">
      <w:headerReference w:type="default" r:id="rId9"/>
      <w:footerReference w:type="default" r:id="rId10"/>
      <w:pgSz w:w="12240" w:h="15840"/>
      <w:pgMar w:top="1440" w:right="1440" w:bottom="907" w:left="144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D9B" w:rsidRDefault="00344D9B">
      <w:pPr>
        <w:spacing w:after="0"/>
      </w:pPr>
      <w:r>
        <w:separator/>
      </w:r>
    </w:p>
  </w:endnote>
  <w:endnote w:type="continuationSeparator" w:id="0">
    <w:p w:rsidR="00344D9B" w:rsidRDefault="00344D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CD" w:rsidRDefault="00344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D9B" w:rsidRDefault="00344D9B">
      <w:pPr>
        <w:spacing w:after="0"/>
      </w:pPr>
      <w:r>
        <w:rPr>
          <w:color w:val="000000"/>
        </w:rPr>
        <w:separator/>
      </w:r>
    </w:p>
  </w:footnote>
  <w:footnote w:type="continuationSeparator" w:id="0">
    <w:p w:rsidR="00344D9B" w:rsidRDefault="00344D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CD" w:rsidRDefault="00031B5F">
    <w:pPr>
      <w:pStyle w:val="Header"/>
    </w:pPr>
    <w:r>
      <w:rPr>
        <w:noProof/>
        <w:lang w:val="en-GB" w:eastAsia="en-GB"/>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1080135"/>
              <wp:effectExtent l="0" t="0" r="0" b="5715"/>
              <wp:wrapNone/>
              <wp:docPr id="1" name="Rectangle 1"/>
              <wp:cNvGraphicFramePr/>
              <a:graphic xmlns:a="http://schemas.openxmlformats.org/drawingml/2006/main">
                <a:graphicData uri="http://schemas.microsoft.com/office/word/2010/wordprocessingShape">
                  <wps:wsp>
                    <wps:cNvSpPr/>
                    <wps:spPr>
                      <a:xfrm>
                        <a:off x="0" y="0"/>
                        <a:ext cx="7772400" cy="1080135"/>
                      </a:xfrm>
                      <a:prstGeom prst="rect">
                        <a:avLst/>
                      </a:prstGeom>
                      <a:solidFill>
                        <a:srgbClr val="7C7B7B"/>
                      </a:solidFill>
                      <a:ln cap="flat">
                        <a:noFill/>
                        <a:prstDash val="solid"/>
                      </a:ln>
                    </wps:spPr>
                    <wps:txbx>
                      <w:txbxContent>
                        <w:p w:rsidR="009F0BCD" w:rsidRDefault="00344D9B">
                          <w:pPr>
                            <w:ind w:left="23"/>
                            <w:rPr>
                              <w:b/>
                              <w:color w:val="FFFFFF"/>
                              <w:spacing w:val="-3"/>
                              <w:sz w:val="28"/>
                            </w:rPr>
                          </w:pPr>
                        </w:p>
                        <w:p w:rsidR="009F0BCD" w:rsidRDefault="00031B5F">
                          <w:pPr>
                            <w:spacing w:after="0"/>
                            <w:ind w:left="23" w:firstLine="544"/>
                          </w:pPr>
                          <w:r>
                            <w:rPr>
                              <w:b/>
                              <w:color w:val="FFFFFF"/>
                              <w:spacing w:val="-3"/>
                              <w:sz w:val="28"/>
                            </w:rPr>
                            <w:t>Design &amp; Technology Resources</w:t>
                          </w:r>
                        </w:p>
                        <w:p w:rsidR="009F0BCD" w:rsidRDefault="00031B5F">
                          <w:pPr>
                            <w:spacing w:after="0"/>
                            <w:ind w:left="23" w:firstLine="544"/>
                          </w:pPr>
                          <w:r>
                            <w:rPr>
                              <w:rFonts w:ascii="Trebuchet MS" w:hAnsi="Trebuchet MS"/>
                              <w:color w:val="FFD944"/>
                              <w:sz w:val="28"/>
                            </w:rPr>
                            <w:t>TEACHING NOTES</w:t>
                          </w:r>
                        </w:p>
                      </w:txbxContent>
                    </wps:txbx>
                    <wps:bodyPr vert="horz" wrap="square" lIns="91440" tIns="45720" rIns="91440" bIns="45720" anchor="t" anchorCtr="0" compatLnSpc="0">
                      <a:noAutofit/>
                    </wps:bodyPr>
                  </wps:wsp>
                </a:graphicData>
              </a:graphic>
            </wp:anchor>
          </w:drawing>
        </mc:Choice>
        <mc:Fallback>
          <w:pict>
            <v:rect id="Rectangle 1" o:spid="_x0000_s1026" style="position:absolute;margin-left:0;margin-top:0;width:612pt;height:85.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" fillcolor="#7c7b7b" stroked="f">
              <v:textbox>
                <w:txbxContent>
                  <w:p w:rsidR="009F0BCD" w:rsidRDefault="009857BC">
                    <w:pPr>
                      <w:ind w:left="23"/>
                      <w:rPr>
                        <w:b/>
                        <w:color w:val="FFFFFF"/>
                        <w:spacing w:val="-3"/>
                        <w:sz w:val="28"/>
                      </w:rPr>
                    </w:pPr>
                  </w:p>
                  <w:p w:rsidR="009F0BCD" w:rsidRDefault="00031B5F">
                    <w:pPr>
                      <w:spacing w:after="0"/>
                      <w:ind w:left="23" w:firstLine="544"/>
                    </w:pPr>
                    <w:r>
                      <w:rPr>
                        <w:b/>
                        <w:color w:val="FFFFFF"/>
                        <w:spacing w:val="-3"/>
                        <w:sz w:val="28"/>
                      </w:rPr>
                      <w:t>Design &amp; Technology Resources</w:t>
                    </w:r>
                  </w:p>
                  <w:p w:rsidR="009F0BCD" w:rsidRDefault="00031B5F">
                    <w:pPr>
                      <w:spacing w:after="0"/>
                      <w:ind w:left="23" w:firstLine="544"/>
                    </w:pPr>
                    <w:r>
                      <w:rPr>
                        <w:rFonts w:ascii="Trebuchet MS" w:hAnsi="Trebuchet MS"/>
                        <w:color w:val="FFD944"/>
                        <w:sz w:val="28"/>
                      </w:rPr>
                      <w:t>TEACHING NOTES</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4374"/>
    <w:multiLevelType w:val="multilevel"/>
    <w:tmpl w:val="012416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2CB379D1"/>
    <w:multiLevelType w:val="multilevel"/>
    <w:tmpl w:val="2B34C6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3F431DE5"/>
    <w:multiLevelType w:val="multilevel"/>
    <w:tmpl w:val="22429A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6A546B72"/>
    <w:multiLevelType w:val="multilevel"/>
    <w:tmpl w:val="9A2E6A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84F36CB"/>
    <w:multiLevelType w:val="multilevel"/>
    <w:tmpl w:val="959289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B8"/>
    <w:rsid w:val="00031B5F"/>
    <w:rsid w:val="00335396"/>
    <w:rsid w:val="00344D9B"/>
    <w:rsid w:val="004D34B8"/>
    <w:rsid w:val="00591CB7"/>
    <w:rsid w:val="00841D6F"/>
    <w:rsid w:val="00900E68"/>
    <w:rsid w:val="009857BC"/>
    <w:rsid w:val="009957B9"/>
    <w:rsid w:val="009B38D4"/>
    <w:rsid w:val="00A56755"/>
    <w:rsid w:val="00B76F35"/>
    <w:rsid w:val="00B9620B"/>
    <w:rsid w:val="00E43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BD0F"/>
  <w15:docId w15:val="{09AFF8F6-081A-4C38-9F99-6C3C2EAA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customStyle="1" w:styleId="UnresolvedMention">
    <w:name w:val="Unresolved Mention"/>
    <w:basedOn w:val="DefaultParagraphFont"/>
    <w:rPr>
      <w:color w:val="808080"/>
      <w:shd w:val="clear" w:color="auto" w:fill="E6E6E6"/>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echnologystudent.com/cams/link1.htm" TargetMode="External"/><Relationship Id="rId3" Type="http://schemas.openxmlformats.org/officeDocument/2006/relationships/settings" Target="settings.xml"/><Relationship Id="rId7" Type="http://schemas.openxmlformats.org/officeDocument/2006/relationships/hyperlink" Target="http://www.bbc.co.uk/schools/gcsebitesize/design/systemscontrol/mechanismsrev3.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Kings School</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Wharton</dc:creator>
  <dc:description/>
  <cp:lastModifiedBy>David Hudson</cp:lastModifiedBy>
  <cp:revision>9</cp:revision>
  <cp:lastPrinted>2017-08-20T15:19:00Z</cp:lastPrinted>
  <dcterms:created xsi:type="dcterms:W3CDTF">2018-05-04T08:32:00Z</dcterms:created>
  <dcterms:modified xsi:type="dcterms:W3CDTF">2018-08-17T20:06:00Z</dcterms:modified>
</cp:coreProperties>
</file>